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Renames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Two services, ten tables, twenty-four operations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TICVAI — Renames</w:t>
      </w:r>
      <w:r>
        <w:t xml:space="preserve">”</w:t>
      </w:r>
    </w:p>
    <w:bookmarkStart w:id="30" w:name="renames-26-august-2026"/>
    <w:p>
      <w:pPr>
        <w:pStyle w:val="Heading1"/>
      </w:pPr>
      <w:r>
        <w:t xml:space="preserve">Renames — 26 August 2026</w:t>
      </w:r>
    </w:p>
    <w:p>
      <w:pPr>
        <w:pStyle w:val="FirstParagraph"/>
      </w:pPr>
      <w:r>
        <w:rPr>
          <w:bCs/>
          <w:b/>
        </w:rPr>
        <w:t xml:space="preserve">For the backend team. Nothing is built yet, so none of this is a migration</w:t>
      </w:r>
      <w:r>
        <w:t xml:space="preserve"> </w:t>
      </w:r>
      <w:r>
        <w:t xml:space="preserve">— build is 0%, no DDL</w:t>
      </w:r>
      <w:r>
        <w:t xml:space="preserve"> </w:t>
      </w:r>
      <w:r>
        <w:t xml:space="preserve">exists, and every name below changes in the contracts before a single table is written.</w:t>
      </w:r>
    </w:p>
    <w:p>
      <w:pPr>
        <w:pStyle w:val="BodyText"/>
      </w:pPr>
      <w:r>
        <w:rPr>
          <w:bCs/>
          <w:b/>
        </w:rPr>
        <w:t xml:space="preserve">Two services, ten tables, ten schemas, four operations.</w:t>
      </w:r>
      <w:r>
        <w:t xml:space="preserve"> </w:t>
      </w:r>
      <w:r>
        <w:t xml:space="preserve">All nine validators pass.</w:t>
      </w:r>
    </w:p>
    <w:bookmarkStart w:id="20" w:name="why-now"/>
    <w:p>
      <w:pPr>
        <w:pStyle w:val="Heading2"/>
      </w:pPr>
      <w:r>
        <w:t xml:space="preserve">Why now</w:t>
      </w:r>
    </w:p>
    <w:p>
      <w:pPr>
        <w:pStyle w:val="FirstParagraph"/>
      </w:pPr>
      <w:r>
        <w:rPr>
          <w:bCs/>
          <w:b/>
        </w:rPr>
        <w:t xml:space="preserve">The names were readable to whoever wrote them and opaque to everybody else.</w:t>
      </w:r>
      <w:r>
        <w:t xml:space="preserve"> </w:t>
      </w:r>
      <w:r>
        <w:t xml:space="preserve">Fifty of 368 tables</w:t>
      </w:r>
      <w:r>
        <w:t xml:space="preserve"> </w:t>
      </w:r>
      <w:r>
        <w:t xml:space="preserve">had a name that did not say what they held; thirty-four of those had no description either.</w:t>
      </w:r>
    </w:p>
    <w:p>
      <w:pPr>
        <w:pStyle w:val="BodyText"/>
      </w:pPr>
      <w:r>
        <w:rPr>
          <w:bCs/>
          <w:b/>
        </w:rPr>
        <w:t xml:space="preserve">Renaming after the build is a migration. Renaming now is a find-and-replace.</w:t>
      </w:r>
      <w:r>
        <w:t xml:space="preserve"> </w:t>
      </w:r>
      <w:r>
        <w:t xml:space="preserve">This is the last</w:t>
      </w:r>
      <w:r>
        <w:t xml:space="preserve"> </w:t>
      </w:r>
      <w:r>
        <w:t xml:space="preserve">cheap moment.</w:t>
      </w:r>
    </w:p>
    <w:bookmarkEnd w:id="20"/>
    <w:bookmarkStart w:id="21" w:name="services"/>
    <w:p>
      <w:pPr>
        <w:pStyle w:val="Heading2"/>
      </w:pPr>
      <w:r>
        <w:t xml:space="preserve">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93"/>
        <w:gridCol w:w="1942"/>
        <w:gridCol w:w="4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CrossCellService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CrossRegionService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quickly,</w:t>
            </w:r>
            <w:r>
              <w:t xml:space="preserve"> </w:t>
            </w:r>
            <w:r>
              <w:rPr>
                <w:rStyle w:val="VerbatimChar"/>
              </w:rPr>
              <w:t xml:space="preserve">CrossCell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Cs/>
                <w:i/>
              </w:rPr>
              <w:t xml:space="preserve">cross-sell</w:t>
            </w:r>
            <w:r>
              <w:t xml:space="preserve"> </w:t>
            </w:r>
            <w:r>
              <w:t xml:space="preserve">— and this platform has a real cross-sell surface (</w:t>
            </w:r>
            <w:r>
              <w:rPr>
                <w:rStyle w:val="VerbatimChar"/>
              </w:rPr>
              <w:t xml:space="preserve">GST-058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createUpsellRule</w:t>
            </w:r>
            <w:r>
              <w:t xml:space="preserve">).</w:t>
            </w:r>
            <w:r>
              <w:t xml:space="preserve"> </w:t>
            </w:r>
            <w:r>
              <w:rPr>
                <w:bCs/>
                <w:b/>
              </w:rPr>
              <w:t xml:space="preserve">Two things one letter apart, one about revenue and one about jurisdictions.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PlatformService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Control</w:t>
            </w:r>
            <w:r>
              <w:t xml:space="preserve"> </w:t>
            </w:r>
            <w:r>
              <w:t xml:space="preserve">of what? It provisions tenants, holds licensing and owns the developer API. It is the service behind</w:t>
            </w:r>
            <w:r>
              <w:t xml:space="preserve"> </w:t>
            </w:r>
            <w:r>
              <w:rPr>
                <w:rStyle w:val="VerbatimChar"/>
              </w:rPr>
              <w:t xml:space="preserve">P09 TICVAI Web</w:t>
            </w:r>
            <w:r>
              <w:t xml:space="preserve">, the platform console, and now says so.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 renamed, deliberately.</w:t>
      </w:r>
      <w:r>
        <w:t xml:space="preserve"> </w:t>
      </w:r>
      <w:r>
        <w:rPr>
          <w:rStyle w:val="VerbatimChar"/>
        </w:rPr>
        <w:t xml:space="preserve">FnbService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VenueOpsService</w:t>
      </w:r>
      <w:r>
        <w:t xml:space="preserve"> </w:t>
      </w:r>
      <w:r>
        <w:t xml:space="preserve">are terse but not</w:t>
      </w:r>
      <w:r>
        <w:t xml:space="preserve"> </w:t>
      </w:r>
      <w:r>
        <w:t xml:space="preserve">misleading, and renaming them costs 1,025 lineage entries and sixteen LLD files for less than it</w:t>
      </w:r>
      <w:r>
        <w:t xml:space="preserve"> </w:t>
      </w:r>
      <w:r>
        <w:t xml:space="preserve">gains.</w:t>
      </w:r>
    </w:p>
    <w:p>
      <w:pPr>
        <w:pStyle w:val="BodyText"/>
      </w:pPr>
      <w:r>
        <w:rPr>
          <w:rStyle w:val="VerbatimChar"/>
          <w:bCs/>
          <w:b/>
        </w:rPr>
        <w:t xml:space="preserve">CrossDBService</w:t>
      </w:r>
      <w:r>
        <w:rPr>
          <w:bCs/>
          <w:b/>
        </w:rPr>
        <w:t xml:space="preserve"> </w:t>
      </w:r>
      <w:r>
        <w:rPr>
          <w:bCs/>
          <w:b/>
        </w:rPr>
        <w:t xml:space="preserve">was considered and rejected.</w:t>
      </w:r>
      <w:r>
        <w:t xml:space="preserve"> </w:t>
      </w:r>
      <w:r>
        <w:t xml:space="preserve">The service crosses a</w:t>
      </w:r>
      <w:r>
        <w:t xml:space="preserve"> </w:t>
      </w:r>
      <w:r>
        <w:rPr>
          <w:bCs/>
          <w:b/>
        </w:rPr>
        <w:t xml:space="preserve">legal</w:t>
      </w:r>
      <w:r>
        <w:t xml:space="preserve"> </w:t>
      </w:r>
      <w:r>
        <w:t xml:space="preserve">boundary, not a</w:t>
      </w:r>
      <w:r>
        <w:t xml:space="preserve"> </w:t>
      </w:r>
      <w:r>
        <w:t xml:space="preserve">storage one — ADR-0010 has it moving a pseudonymous guest link rather than a guest, because personal</w:t>
      </w:r>
      <w:r>
        <w:t xml:space="preserve"> </w:t>
      </w:r>
      <w:r>
        <w:t xml:space="preserve">data may not leave the jurisdiction.</w:t>
      </w:r>
      <w:r>
        <w:t xml:space="preserve"> </w:t>
      </w:r>
      <w:r>
        <w:rPr>
          <w:bCs/>
          <w:b/>
        </w:rPr>
        <w:t xml:space="preserve">And CF-161 is open</w:t>
      </w:r>
      <w:r>
        <w:t xml:space="preserve">: if per-service database segregation</w:t>
      </w:r>
      <w:r>
        <w:t xml:space="preserve"> </w:t>
      </w:r>
      <w:r>
        <w:t xml:space="preserve">wins, every service crosses databases and the name means nothing.</w:t>
      </w:r>
    </w:p>
    <w:bookmarkEnd w:id="21"/>
    <w:bookmarkStart w:id="23" w:name="tables"/>
    <w:p>
      <w:pPr>
        <w:pStyle w:val="Heading2"/>
      </w:pPr>
      <w:r>
        <w:t xml:space="preserve">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67"/>
        <w:gridCol w:w="3168"/>
        <w:gridCol w:w="666"/>
        <w:gridCol w:w="583"/>
        <w:gridCol w:w="8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platform.scope_node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platform.org_unit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catalogue.envelope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catalogue.channel_capacity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catalogue.attribute_axis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catalogue.variant_dimension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catalogue.inventory_lease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catalogue.inventory_hold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identity.grant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identity.delegated_access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ledger.entry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ledger.posting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queue.entry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queue.waiting_guest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access.admission_profile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access.admission_rules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platform.redemption_right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platform.cross_region_entitlement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control.plan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control.subscription_plan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bookmarkStart w:id="22" w:name="the-reasoning-one-line-each"/>
    <w:p>
      <w:pPr>
        <w:pStyle w:val="Heading3"/>
      </w:pPr>
      <w:r>
        <w:t xml:space="preserve">The reasoning, one line each</w:t>
      </w:r>
    </w:p>
    <w:p>
      <w:pPr>
        <w:pStyle w:val="FirstParagraph"/>
      </w:pPr>
      <w:r>
        <w:rPr>
          <w:rStyle w:val="VerbatimChar"/>
          <w:bCs/>
          <w:b/>
        </w:rPr>
        <w:t xml:space="preserve">org_unit</w:t>
      </w:r>
      <w:r>
        <w:t xml:space="preserve"> </w:t>
      </w:r>
      <w:r>
        <w:t xml:space="preserve">— one row is one organisational unit: a tenant, a brand, a region, a venue, a</w:t>
      </w:r>
      <w:r>
        <w:t xml:space="preserve"> </w:t>
      </w:r>
      <w:r>
        <w:t xml:space="preserve">department, a workstation, an outlet.</w:t>
      </w:r>
      <w:r>
        <w:t xml:space="preserve"> </w:t>
      </w:r>
      <w:r>
        <w:rPr>
          <w:iCs/>
          <w:i/>
        </w:rPr>
        <w:t xml:space="preserve">Node</w:t>
      </w:r>
      <w:r>
        <w:t xml:space="preserve"> </w:t>
      </w:r>
      <w:r>
        <w:t xml:space="preserve">said</w:t>
      </w:r>
      <w:r>
        <w:t xml:space="preserve"> </w:t>
      </w:r>
      <w:r>
        <w:rPr>
          <w:iCs/>
          <w:i/>
        </w:rPr>
        <w:t xml:space="preserve">this is a graph</w:t>
      </w:r>
      <w:r>
        <w:t xml:space="preserve"> </w:t>
      </w:r>
      <w:r>
        <w:t xml:space="preserve">and hid what the graph is of.</w:t>
      </w:r>
      <w:r>
        <w:t xml:space="preserve"> </w:t>
      </w:r>
      <w:r>
        <w:rPr>
          <w:bCs/>
          <w:b/>
        </w:rPr>
        <w:t xml:space="preserve">76 tables reference it, more than any other table in the package.</w:t>
      </w:r>
    </w:p>
    <w:p>
      <w:pPr>
        <w:pStyle w:val="BodyText"/>
      </w:pPr>
      <w:r>
        <w:rPr>
          <w:rStyle w:val="VerbatimChar"/>
          <w:bCs/>
          <w:b/>
        </w:rPr>
        <w:t xml:space="preserve">channel_capacity</w:t>
      </w:r>
      <w:r>
        <w:t xml:space="preserve"> </w:t>
      </w:r>
      <w:r>
        <w:t xml:space="preserve">— how many of a performance’s seats the web may sell versus the box office.</w:t>
      </w:r>
      <w:r>
        <w:t xml:space="preserve"> </w:t>
      </w:r>
      <w:r>
        <w:rPr>
          <w:iCs/>
          <w:i/>
        </w:rPr>
        <w:t xml:space="preserve">Envelope</w:t>
      </w:r>
      <w:r>
        <w:t xml:space="preserve"> </w:t>
      </w:r>
      <w:r>
        <w:t xml:space="preserve">was unguessable.</w:t>
      </w:r>
    </w:p>
    <w:p>
      <w:pPr>
        <w:pStyle w:val="BodyText"/>
      </w:pPr>
      <w:r>
        <w:rPr>
          <w:rStyle w:val="VerbatimChar"/>
          <w:bCs/>
          <w:b/>
        </w:rPr>
        <w:t xml:space="preserve">variant_dimension</w:t>
      </w:r>
      <w:r>
        <w:t xml:space="preserve"> </w:t>
      </w:r>
      <w:r>
        <w:t xml:space="preserve">— the dimension a variant varies on: size, colour.</w:t>
      </w:r>
    </w:p>
    <w:p>
      <w:pPr>
        <w:pStyle w:val="BodyText"/>
      </w:pPr>
      <w:r>
        <w:rPr>
          <w:rStyle w:val="VerbatimChar"/>
          <w:bCs/>
          <w:b/>
        </w:rPr>
        <w:t xml:space="preserve">inventory_hold</w:t>
      </w:r>
      <w:r>
        <w:t xml:space="preserve"> </w:t>
      </w:r>
      <w:r>
        <w:t xml:space="preserve">— a temporary claim on contended stock (CF-115).</w:t>
      </w:r>
      <w:r>
        <w:t xml:space="preserve"> </w:t>
      </w:r>
      <w:r>
        <w:rPr>
          <w:iCs/>
          <w:i/>
        </w:rPr>
        <w:t xml:space="preserve">Lease</w:t>
      </w:r>
      <w:r>
        <w:t xml:space="preserve"> </w:t>
      </w:r>
      <w:r>
        <w:t xml:space="preserve">reads as a rental</w:t>
      </w:r>
      <w:r>
        <w:t xml:space="preserve"> </w:t>
      </w:r>
      <w:r>
        <w:t xml:space="preserve">agreement, which this platform also has.</w:t>
      </w:r>
    </w:p>
    <w:p>
      <w:pPr>
        <w:pStyle w:val="BodyText"/>
      </w:pPr>
      <w:r>
        <w:rPr>
          <w:rStyle w:val="VerbatimChar"/>
          <w:bCs/>
          <w:b/>
        </w:rPr>
        <w:t xml:space="preserve">delegated_access</w:t>
      </w:r>
      <w:r>
        <w:t xml:space="preserve"> </w:t>
      </w:r>
      <w:r>
        <w:t xml:space="preserve">— one principal acting on another’s behalf.</w:t>
      </w:r>
      <w:r>
        <w:t xml:space="preserve"> </w:t>
      </w:r>
      <w:r>
        <w:rPr>
          <w:iCs/>
          <w:i/>
        </w:rPr>
        <w:t xml:space="preserve">Grant</w:t>
      </w:r>
      <w:r>
        <w:t xml:space="preserve"> </w:t>
      </w:r>
      <w:r>
        <w:t xml:space="preserve">is a verb, a subsidy, or</w:t>
      </w:r>
      <w:r>
        <w:t xml:space="preserve"> </w:t>
      </w:r>
      <w:r>
        <w:t xml:space="preserve">a permission, and seventeen operations used it without any of them being obvious.</w:t>
      </w:r>
    </w:p>
    <w:p>
      <w:pPr>
        <w:pStyle w:val="BodyText"/>
      </w:pPr>
      <w:r>
        <w:rPr>
          <w:rStyle w:val="VerbatimChar"/>
          <w:bCs/>
          <w:b/>
        </w:rPr>
        <w:t xml:space="preserve">posting</w:t>
      </w:r>
      <w:r>
        <w:t xml:space="preserve"> </w:t>
      </w:r>
      <w:r>
        <w:t xml:space="preserve">— it sat beside</w:t>
      </w:r>
      <w:r>
        <w:t xml:space="preserve"> </w:t>
      </w:r>
      <w:r>
        <w:rPr>
          <w:rStyle w:val="VerbatimChar"/>
        </w:rPr>
        <w:t xml:space="preserve">journal_entry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journal_line</w:t>
      </w:r>
      <w:r>
        <w:t xml:space="preserve">.</w:t>
      </w:r>
      <w:r>
        <w:t xml:space="preserve"> </w:t>
      </w:r>
      <w:r>
        <w:rPr>
          <w:bCs/>
          <w:b/>
        </w:rPr>
        <w:t xml:space="preserve">Three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entry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things in one</w:t>
      </w:r>
      <w:r>
        <w:rPr>
          <w:bCs/>
          <w:b/>
        </w:rPr>
        <w:t xml:space="preserve"> </w:t>
      </w:r>
      <w:r>
        <w:rPr>
          <w:bCs/>
          <w:b/>
        </w:rPr>
        <w:t xml:space="preserve">schema is a schema nobody reads twice.</w:t>
      </w:r>
    </w:p>
    <w:p>
      <w:pPr>
        <w:pStyle w:val="BodyText"/>
      </w:pPr>
      <w:r>
        <w:rPr>
          <w:rStyle w:val="VerbatimChar"/>
          <w:bCs/>
          <w:b/>
        </w:rPr>
        <w:t xml:space="preserve">waiting_guest</w:t>
      </w:r>
      <w:r>
        <w:t xml:space="preserve"> </w:t>
      </w:r>
      <w:r>
        <w:t xml:space="preserve">— it is a person in a queue, not a row in a table.</w:t>
      </w:r>
    </w:p>
    <w:p>
      <w:pPr>
        <w:pStyle w:val="BodyText"/>
      </w:pPr>
      <w:r>
        <w:rPr>
          <w:rStyle w:val="VerbatimChar"/>
          <w:bCs/>
          <w:b/>
        </w:rPr>
        <w:t xml:space="preserve">admission_rules</w:t>
      </w:r>
      <w:r>
        <w:t xml:space="preserve"> </w:t>
      </w:r>
      <w:r>
        <w:t xml:space="preserve">— the rules a gate applies.</w:t>
      </w:r>
      <w:r>
        <w:t xml:space="preserve"> </w:t>
      </w:r>
      <w:r>
        <w:rPr>
          <w:iCs/>
          <w:i/>
        </w:rPr>
        <w:t xml:space="preserve">Profile</w:t>
      </w:r>
      <w:r>
        <w:t xml:space="preserve"> </w:t>
      </w:r>
      <w:r>
        <w:t xml:space="preserve">reads as a person, and this schema is</w:t>
      </w:r>
      <w:r>
        <w:t xml:space="preserve"> </w:t>
      </w:r>
      <w:r>
        <w:t xml:space="preserve">full of people.</w:t>
      </w:r>
    </w:p>
    <w:p>
      <w:pPr>
        <w:pStyle w:val="BodyText"/>
      </w:pPr>
      <w:r>
        <w:rPr>
          <w:rStyle w:val="VerbatimChar"/>
          <w:bCs/>
          <w:b/>
        </w:rPr>
        <w:t xml:space="preserve">cross_region_entitlement</w:t>
      </w:r>
      <w:r>
        <w:t xml:space="preserve"> </w:t>
      </w:r>
      <w:r>
        <w:t xml:space="preserve">— an entitlement bought in one jurisdiction and honoured in another.</w:t>
      </w:r>
      <w:r>
        <w:t xml:space="preserve"> </w:t>
      </w:r>
      <w:r>
        <w:rPr>
          <w:iCs/>
          <w:i/>
        </w:rPr>
        <w:t xml:space="preserve">RedemptionRight</w:t>
      </w:r>
      <w:r>
        <w:t xml:space="preserve"> </w:t>
      </w:r>
      <w:r>
        <w:t xml:space="preserve">asked</w:t>
      </w:r>
      <w:r>
        <w:t xml:space="preserve"> </w:t>
      </w:r>
      <w:r>
        <w:rPr>
          <w:iCs/>
          <w:i/>
        </w:rPr>
        <w:t xml:space="preserve">a right to redeem what, where?</w:t>
      </w:r>
    </w:p>
    <w:p>
      <w:pPr>
        <w:pStyle w:val="BodyText"/>
      </w:pPr>
      <w:r>
        <w:rPr>
          <w:rStyle w:val="VerbatimChar"/>
          <w:bCs/>
          <w:b/>
        </w:rPr>
        <w:t xml:space="preserve">subscription_plan</w:t>
      </w:r>
      <w:r>
        <w:t xml:space="preserve"> </w:t>
      </w:r>
      <w:r>
        <w:t xml:space="preserve">— it sat beside</w:t>
      </w:r>
      <w:r>
        <w:t xml:space="preserve"> </w:t>
      </w:r>
      <w:r>
        <w:rPr>
          <w:rStyle w:val="VerbatimChar"/>
        </w:rPr>
        <w:t xml:space="preserve">migration_plan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production_plan</w:t>
      </w:r>
      <w:r>
        <w:t xml:space="preserve">.</w:t>
      </w:r>
    </w:p>
    <w:bookmarkEnd w:id="22"/>
    <w:bookmarkEnd w:id="23"/>
    <w:bookmarkStart w:id="24" w:name="contract-schemas"/>
    <w:p>
      <w:pPr>
        <w:pStyle w:val="Heading2"/>
      </w:pPr>
      <w:r>
        <w:t xml:space="preserve">Contract schemas</w:t>
      </w:r>
    </w:p>
    <w:p>
      <w:pPr>
        <w:pStyle w:val="FirstParagraph"/>
      </w:pPr>
      <w:r>
        <w:rPr>
          <w:bCs/>
          <w:b/>
        </w:rPr>
        <w:t xml:space="preserve">Table names derive from these</w:t>
      </w:r>
      <w:r>
        <w:t xml:space="preserve">, so the schema is where the rename actually happens.</w:t>
      </w:r>
    </w:p>
    <w:p>
      <w:pPr>
        <w:pStyle w:val="SourceCode"/>
      </w:pPr>
      <w:r>
        <w:rPr>
          <w:rStyle w:val="VerbatimChar"/>
        </w:rPr>
        <w:t xml:space="preserve">tenancy.ScopeNode             -&gt; tenancy.OrgUnit</w:t>
      </w:r>
      <w:r>
        <w:br/>
      </w:r>
      <w:r>
        <w:rPr>
          <w:rStyle w:val="VerbatimChar"/>
        </w:rPr>
        <w:t xml:space="preserve">catalogue.Envelope            -&gt; catalogue.ChannelCapacity</w:t>
      </w:r>
      <w:r>
        <w:br/>
      </w:r>
      <w:r>
        <w:rPr>
          <w:rStyle w:val="VerbatimChar"/>
        </w:rPr>
        <w:t xml:space="preserve">catalogue.AttributeAxis       -&gt; catalogue.VariantDimension</w:t>
      </w:r>
      <w:r>
        <w:br/>
      </w:r>
      <w:r>
        <w:rPr>
          <w:rStyle w:val="VerbatimChar"/>
        </w:rPr>
        <w:t xml:space="preserve">catalogue.Lease               -&gt; catalogue.InventoryHold</w:t>
      </w:r>
      <w:r>
        <w:br/>
      </w:r>
      <w:r>
        <w:rPr>
          <w:rStyle w:val="VerbatimChar"/>
        </w:rPr>
        <w:t xml:space="preserve">identity.Grant                -&gt; identity.DelegatedAccess</w:t>
      </w:r>
      <w:r>
        <w:br/>
      </w:r>
      <w:r>
        <w:rPr>
          <w:rStyle w:val="VerbatimChar"/>
        </w:rPr>
        <w:t xml:space="preserve">finance.LedgerEntry           -&gt; finance.Posting</w:t>
      </w:r>
      <w:r>
        <w:br/>
      </w:r>
      <w:r>
        <w:rPr>
          <w:rStyle w:val="VerbatimChar"/>
        </w:rPr>
        <w:t xml:space="preserve">queue.QueueEntry              -&gt; queue.WaitingGuest</w:t>
      </w:r>
      <w:r>
        <w:br/>
      </w:r>
      <w:r>
        <w:rPr>
          <w:rStyle w:val="VerbatimChar"/>
        </w:rPr>
        <w:t xml:space="preserve">access.AdmissionProfile       -&gt; access.AdmissionRules</w:t>
      </w:r>
      <w:r>
        <w:br/>
      </w:r>
      <w:r>
        <w:rPr>
          <w:rStyle w:val="VerbatimChar"/>
        </w:rPr>
        <w:t xml:space="preserve">cross-cell.RedemptionRight    -&gt; cross-cell.CrossRegionEntitlement</w:t>
      </w:r>
      <w:r>
        <w:br/>
      </w:r>
      <w:r>
        <w:rPr>
          <w:rStyle w:val="VerbatimChar"/>
        </w:rPr>
        <w:t xml:space="preserve">subscription.Plan             -&gt; subscription.SubscriptionPlan</w:t>
      </w:r>
    </w:p>
    <w:bookmarkEnd w:id="24"/>
    <w:bookmarkStart w:id="26" w:name="operations-and-paths-24-renamed"/>
    <w:p>
      <w:pPr>
        <w:pStyle w:val="Heading2"/>
      </w:pPr>
      <w:r>
        <w:t xml:space="preserve">Operations and paths — 24 renamed</w:t>
      </w:r>
    </w:p>
    <w:p>
      <w:pPr>
        <w:pStyle w:val="FirstParagraph"/>
      </w:pPr>
      <w:r>
        <w:rPr>
          <w:bCs/>
          <w:b/>
        </w:rPr>
        <w:t xml:space="preserve">A table renamed while its API keeps the old word is worse than neither.</w:t>
      </w:r>
      <w:r>
        <w:t xml:space="preserve"> </w:t>
      </w:r>
      <w:r>
        <w:t xml:space="preserve">A developer reading</w:t>
      </w:r>
      <w:r>
        <w:t xml:space="preserve"> </w:t>
      </w:r>
      <w:r>
        <w:rPr>
          <w:rStyle w:val="VerbatimChar"/>
        </w:rPr>
        <w:t xml:space="preserve">createScopeNode</w:t>
      </w:r>
      <w:r>
        <w:t xml:space="preserve"> </w:t>
      </w:r>
      <w:r>
        <w:t xml:space="preserve">and finding</w:t>
      </w:r>
      <w:r>
        <w:t xml:space="preserve"> </w:t>
      </w:r>
      <w:r>
        <w:rPr>
          <w:rStyle w:val="VerbatimChar"/>
        </w:rPr>
        <w:t xml:space="preserve">platform.org_unit</w:t>
      </w:r>
      <w:r>
        <w:t xml:space="preserve"> </w:t>
      </w:r>
      <w:r>
        <w:t xml:space="preserve">has two vocabularies for one thing.</w:t>
      </w:r>
    </w:p>
    <w:p>
      <w:pPr>
        <w:pStyle w:val="BodyText"/>
      </w:pPr>
      <w:r>
        <w:rPr>
          <w:bCs/>
          <w:b/>
        </w:rPr>
        <w:t xml:space="preserve">Six of the ten tables had operations named after them</w:t>
      </w:r>
      <w:r>
        <w:t xml:space="preserve">, and the first draft of this document</w:t>
      </w:r>
      <w:r>
        <w:t xml:space="preserve"> </w:t>
      </w:r>
      <w:r>
        <w:t xml:space="preserve">caught only one of the six.</w:t>
      </w:r>
    </w:p>
    <w:p>
      <w:pPr>
        <w:pStyle w:val="SourceCode"/>
      </w:pPr>
      <w:r>
        <w:rPr>
          <w:rStyle w:val="VerbatimChar"/>
        </w:rPr>
        <w:t xml:space="preserve">createScopeNode              -&gt; createOrgUnit</w:t>
      </w:r>
      <w:r>
        <w:br/>
      </w:r>
      <w:r>
        <w:rPr>
          <w:rStyle w:val="VerbatimChar"/>
        </w:rPr>
        <w:t xml:space="preserve">getScopeNode                 -&gt; getOrgUnit</w:t>
      </w:r>
      <w:r>
        <w:br/>
      </w:r>
      <w:r>
        <w:rPr>
          <w:rStyle w:val="VerbatimChar"/>
        </w:rPr>
        <w:t xml:space="preserve">listScopeNodes               -&gt; listOrgUnits</w:t>
      </w:r>
      <w:r>
        <w:br/>
      </w:r>
      <w:r>
        <w:rPr>
          <w:rStyle w:val="VerbatimChar"/>
        </w:rPr>
        <w:t xml:space="preserve">updateScopeNode              -&gt; updateOrgUnit</w:t>
      </w:r>
      <w:r>
        <w:br/>
      </w:r>
      <w:r>
        <w:br/>
      </w:r>
      <w:r>
        <w:rPr>
          <w:rStyle w:val="VerbatimChar"/>
        </w:rPr>
        <w:t xml:space="preserve">createEnvelope               -&gt; createChannelCapacity</w:t>
      </w:r>
      <w:r>
        <w:br/>
      </w:r>
      <w:r>
        <w:rPr>
          <w:rStyle w:val="VerbatimChar"/>
        </w:rPr>
        <w:t xml:space="preserve">listEnvelopes                -&gt; listChannelCapacities</w:t>
      </w:r>
      <w:r>
        <w:br/>
      </w:r>
      <w:r>
        <w:rPr>
          <w:rStyle w:val="VerbatimChar"/>
        </w:rPr>
        <w:t xml:space="preserve">updateEnvelope               -&gt; updateChannelCapacity</w:t>
      </w:r>
      <w:r>
        <w:br/>
      </w:r>
      <w:r>
        <w:br/>
      </w:r>
      <w:r>
        <w:rPr>
          <w:rStyle w:val="VerbatimChar"/>
        </w:rPr>
        <w:t xml:space="preserve">acquireLease                 -&gt; acquireInventoryHold</w:t>
      </w:r>
      <w:r>
        <w:br/>
      </w:r>
      <w:r>
        <w:rPr>
          <w:rStyle w:val="VerbatimChar"/>
        </w:rPr>
        <w:t xml:space="preserve">releaseLease                 -&gt; releaseInventoryHold</w:t>
      </w:r>
      <w:r>
        <w:br/>
      </w:r>
      <w:r>
        <w:rPr>
          <w:rStyle w:val="VerbatimChar"/>
        </w:rPr>
        <w:t xml:space="preserve">renewLease                   -&gt; renewInventoryHold</w:t>
      </w:r>
      <w:r>
        <w:br/>
      </w:r>
      <w:r>
        <w:rPr>
          <w:rStyle w:val="VerbatimChar"/>
        </w:rPr>
        <w:t xml:space="preserve">listLeases                   -&gt; listInventoryHolds</w:t>
      </w:r>
      <w:r>
        <w:br/>
      </w:r>
      <w:r>
        <w:rPr>
          <w:rStyle w:val="VerbatimChar"/>
        </w:rPr>
        <w:t xml:space="preserve">forceReleaseLease            -&gt; forceReleaseInventoryHold</w:t>
      </w:r>
      <w:r>
        <w:br/>
      </w:r>
      <w:r>
        <w:br/>
      </w:r>
      <w:r>
        <w:rPr>
          <w:rStyle w:val="VerbatimChar"/>
        </w:rPr>
        <w:t xml:space="preserve">createGrant                  -&gt; createDelegatedAccess</w:t>
      </w:r>
      <w:r>
        <w:br/>
      </w:r>
      <w:r>
        <w:rPr>
          <w:rStyle w:val="VerbatimChar"/>
        </w:rPr>
        <w:t xml:space="preserve">deleteGrant                  -&gt; deleteDelegatedAccess</w:t>
      </w:r>
      <w:r>
        <w:br/>
      </w:r>
      <w:r>
        <w:rPr>
          <w:rStyle w:val="VerbatimChar"/>
        </w:rPr>
        <w:t xml:space="preserve">listGrants                   -&gt; listDelegatedAccess</w:t>
      </w:r>
      <w:r>
        <w:br/>
      </w:r>
      <w:r>
        <w:br/>
      </w:r>
      <w:r>
        <w:rPr>
          <w:rStyle w:val="VerbatimChar"/>
        </w:rPr>
        <w:t xml:space="preserve">getQueueEntry                -&gt; getWaitingGuest</w:t>
      </w:r>
      <w:r>
        <w:br/>
      </w:r>
      <w:r>
        <w:rPr>
          <w:rStyle w:val="VerbatimChar"/>
        </w:rPr>
        <w:t xml:space="preserve">overrideQueueEntry           -&gt; overrideWaitingGuest</w:t>
      </w:r>
      <w:r>
        <w:br/>
      </w:r>
      <w:r>
        <w:rPr>
          <w:rStyle w:val="VerbatimChar"/>
        </w:rPr>
        <w:t xml:space="preserve">redeemQueueEntry             -&gt; redeemWaitingGuest</w:t>
      </w:r>
      <w:r>
        <w:br/>
      </w:r>
      <w:r>
        <w:br/>
      </w:r>
      <w:r>
        <w:rPr>
          <w:rStyle w:val="VerbatimChar"/>
        </w:rPr>
        <w:t xml:space="preserve">createAdmissionProfile       -&gt; createAdmissionRules</w:t>
      </w:r>
      <w:r>
        <w:br/>
      </w:r>
      <w:r>
        <w:rPr>
          <w:rStyle w:val="VerbatimChar"/>
        </w:rPr>
        <w:t xml:space="preserve">listAdmissionProfiles        -&gt; listAdmissionRules</w:t>
      </w:r>
      <w:r>
        <w:br/>
      </w:r>
      <w:r>
        <w:rPr>
          <w:rStyle w:val="VerbatimChar"/>
        </w:rPr>
        <w:t xml:space="preserve">updateAdmissionProfile       -&gt; updateAdmissionRules</w:t>
      </w:r>
      <w:r>
        <w:br/>
      </w:r>
      <w:r>
        <w:br/>
      </w:r>
      <w:r>
        <w:rPr>
          <w:rStyle w:val="VerbatimChar"/>
        </w:rPr>
        <w:t xml:space="preserve">consumeRedemptionRight       -&gt; consumeCrossRegionEntitlement</w:t>
      </w:r>
      <w:r>
        <w:br/>
      </w:r>
      <w:r>
        <w:rPr>
          <w:rStyle w:val="VerbatimChar"/>
        </w:rPr>
        <w:t xml:space="preserve">getRedemptionRight           -&gt; getCrossRegionEntitlement</w:t>
      </w:r>
      <w:r>
        <w:br/>
      </w:r>
      <w:r>
        <w:rPr>
          <w:rStyle w:val="VerbatimChar"/>
        </w:rPr>
        <w:t xml:space="preserve">propagateRedemptionRight     -&gt; propagateCrossRegionEntitlement</w:t>
      </w:r>
      <w:r>
        <w:br/>
      </w:r>
      <w:r>
        <w:rPr>
          <w:rStyle w:val="VerbatimChar"/>
        </w:rPr>
        <w:t xml:space="preserve">revokeRedemptionRight        -&gt; revokeCrossRegionEntitlement</w:t>
      </w:r>
    </w:p>
    <w:p>
      <w:pPr>
        <w:pStyle w:val="FirstParagraph"/>
      </w:pPr>
      <w:r>
        <w:rPr>
          <w:bCs/>
          <w:b/>
        </w:rPr>
        <w:t xml:space="preserve">Paths follow the operation.</w:t>
      </w:r>
      <w:r>
        <w:t xml:space="preserve"> </w:t>
      </w:r>
      <w:r>
        <w:rPr>
          <w:rStyle w:val="VerbatimChar"/>
        </w:rPr>
        <w:t xml:space="preserve">/scope-nodes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/org-units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/leases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/inventory-holds</w:t>
      </w:r>
      <w:r>
        <w:t xml:space="preserve">,</w:t>
      </w:r>
      <w:r>
        <w:t xml:space="preserve"> </w:t>
      </w:r>
      <w:r>
        <w:rPr>
          <w:rStyle w:val="VerbatimChar"/>
        </w:rPr>
        <w:t xml:space="preserve">/grants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/delegated-access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/redemption-rights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/cross-region-entitlements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Path parameters too</w:t>
      </w:r>
      <w:r>
        <w:t xml:space="preserve">:</w:t>
      </w:r>
      <w:r>
        <w:t xml:space="preserve"> </w:t>
      </w:r>
      <w:r>
        <w:rPr>
          <w:rStyle w:val="VerbatimChar"/>
        </w:rPr>
        <w:t xml:space="preserve">scopeNodeId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orgUnitId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leaseId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inventoryHoldId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redemptionRightId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crossRegionEntitlementId</w:t>
      </w:r>
      <w:r>
        <w:t xml:space="preserve">.</w:t>
      </w:r>
    </w:p>
    <w:bookmarkStart w:id="25" w:name="X95cded2e9a7620e717791c66b800b3775d28a1d"/>
    <w:p>
      <w:pPr>
        <w:pStyle w:val="Heading3"/>
      </w:pPr>
      <w:r>
        <w:t xml:space="preserve">Two words that look like renames and are not</w:t>
      </w:r>
    </w:p>
    <w:p>
      <w:pPr>
        <w:pStyle w:val="FirstParagraph"/>
      </w:pPr>
      <w:r>
        <w:rPr>
          <w:rStyle w:val="VerbatimChar"/>
          <w:bCs/>
          <w:b/>
        </w:rPr>
        <w:t xml:space="preserve">createRelease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promoteRelease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getReleaseReadiness</w:t>
      </w:r>
      <w:r>
        <w:t xml:space="preserve"> </w:t>
      </w:r>
      <w:r>
        <w:t xml:space="preserve">are the</w:t>
      </w:r>
      <w:r>
        <w:t xml:space="preserve"> </w:t>
      </w:r>
      <w:r>
        <w:rPr>
          <w:iCs/>
          <w:i/>
        </w:rPr>
        <w:t xml:space="preserve">deployment</w:t>
      </w:r>
      <w:r>
        <w:t xml:space="preserve"> </w:t>
      </w:r>
      <w:r>
        <w:t xml:space="preserve">sense of release</w:t>
      </w:r>
      <w:r>
        <w:t xml:space="preserve"> </w:t>
      </w:r>
      <w:r>
        <w:t xml:space="preserve">and are untouched.</w:t>
      </w:r>
      <w:r>
        <w:t xml:space="preserve"> </w:t>
      </w:r>
      <w:r>
        <w:rPr>
          <w:rStyle w:val="VerbatimChar"/>
          <w:bCs/>
          <w:b/>
        </w:rPr>
        <w:t xml:space="preserve">releaseCustomDomain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releaseSeatHold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releaseStoredValue</w:t>
      </w:r>
      <w:r>
        <w:t xml:space="preserve"> </w:t>
      </w:r>
      <w:r>
        <w:t xml:space="preserve">are the</w:t>
      </w:r>
      <w:r>
        <w:t xml:space="preserve"> </w:t>
      </w:r>
      <w:r>
        <w:rPr>
          <w:iCs/>
          <w:i/>
        </w:rPr>
        <w:t xml:space="preserve">let</w:t>
      </w:r>
      <w:r>
        <w:rPr>
          <w:iCs/>
          <w:i/>
        </w:rPr>
        <w:t xml:space="preserve"> </w:t>
      </w:r>
      <w:r>
        <w:rPr>
          <w:iCs/>
          <w:i/>
        </w:rPr>
        <w:t xml:space="preserve">go of</w:t>
      </w:r>
      <w:r>
        <w:t xml:space="preserve"> </w:t>
      </w:r>
      <w:r>
        <w:t xml:space="preserve">sense. Only</w:t>
      </w:r>
      <w:r>
        <w:t xml:space="preserve"> </w:t>
      </w:r>
      <w:r>
        <w:rPr>
          <w:rStyle w:val="VerbatimChar"/>
        </w:rPr>
        <w:t xml:space="preserve">releaseLease</w:t>
      </w:r>
      <w:r>
        <w:t xml:space="preserve"> </w:t>
      </w:r>
      <w:r>
        <w:t xml:space="preserve">— releasing a lease — was in scope, and a naive</w:t>
      </w:r>
      <w:r>
        <w:t xml:space="preserve"> </w:t>
      </w:r>
      <w:r>
        <w:t xml:space="preserve">find-and-replace on</w:t>
      </w:r>
      <w:r>
        <w:t xml:space="preserve"> </w:t>
      </w:r>
      <w:r>
        <w:rPr>
          <w:rStyle w:val="VerbatimChar"/>
        </w:rPr>
        <w:t xml:space="preserve">Lease</w:t>
      </w:r>
      <w:r>
        <w:t xml:space="preserve"> </w:t>
      </w:r>
      <w:r>
        <w:t xml:space="preserve">would have broken nineteen operations that merely contain the letters.</w:t>
      </w:r>
    </w:p>
    <w:p>
      <w:pPr>
        <w:pStyle w:val="BodyText"/>
      </w:pPr>
      <w:r>
        <w:rPr>
          <w:rStyle w:val="VerbatimChar"/>
          <w:bCs/>
          <w:b/>
        </w:rPr>
        <w:t xml:space="preserve">grantDelegation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as a verb. The table was renamed because</w:t>
      </w:r>
      <w:r>
        <w:t xml:space="preserve"> </w:t>
      </w:r>
      <w:r>
        <w:rPr>
          <w:iCs/>
          <w:i/>
        </w:rPr>
        <w:t xml:space="preserve">Grant</w:t>
      </w:r>
      <w:r>
        <w:t xml:space="preserve"> </w:t>
      </w:r>
      <w:r>
        <w:t xml:space="preserve">as a noun was</w:t>
      </w:r>
      <w:r>
        <w:t xml:space="preserve"> </w:t>
      </w:r>
      <w:r>
        <w:t xml:space="preserve">ambiguous; the verb is not.</w:t>
      </w:r>
    </w:p>
    <w:bookmarkEnd w:id="25"/>
    <w:bookmarkEnd w:id="26"/>
    <w:bookmarkStart w:id="27" w:name="what-deliberately-did-not-change"/>
    <w:p>
      <w:pPr>
        <w:pStyle w:val="Heading2"/>
      </w:pPr>
      <w:r>
        <w:t xml:space="preserve">What deliberately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</w:t>
      </w:r>
    </w:p>
    <w:p>
      <w:pPr>
        <w:pStyle w:val="FirstParagraph"/>
      </w:pPr>
      <w:r>
        <w:rPr>
          <w:rStyle w:val="VerbatimChar"/>
          <w:bCs/>
          <w:b/>
        </w:rPr>
        <w:t xml:space="preserve">scope_path</w:t>
      </w:r>
      <w:r>
        <w:rPr>
          <w:bCs/>
          <w:b/>
        </w:rPr>
        <w:t xml:space="preserve"> </w:t>
      </w:r>
      <w:r>
        <w:rPr>
          <w:bCs/>
          <w:b/>
        </w:rPr>
        <w:t xml:space="preserve">stays, on 28 tables.</w:t>
      </w:r>
      <w:r>
        <w:t xml:space="preserve"> </w:t>
      </w:r>
      <w:r>
        <w:t xml:space="preserve">So does</w:t>
      </w:r>
      <w:r>
        <w:t xml:space="preserve"> </w:t>
      </w:r>
      <w:r>
        <w:rPr>
          <w:rStyle w:val="VerbatimChar"/>
        </w:rPr>
        <w:t xml:space="preserve">ScopeLevel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x-ticvai-scope-level</w:t>
      </w:r>
      <w:r>
        <w:t xml:space="preserve"> </w:t>
      </w:r>
      <w:r>
        <w:t xml:space="preserve">on all 1,025</w:t>
      </w:r>
      <w:r>
        <w:t xml:space="preserve"> </w:t>
      </w:r>
      <w:r>
        <w:t xml:space="preserve">operations.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Scope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appears 1,426 times across the contracts and it is the right word.</w:t>
      </w:r>
    </w:p>
    <w:p>
      <w:pPr>
        <w:pStyle w:val="BodyText"/>
      </w:pPr>
      <w:r>
        <w:rPr>
          <w:bCs/>
          <w:b/>
        </w:rPr>
        <w:t xml:space="preserve">The org unit is the thing; a scope is what you get when you use one for authorisation.</w:t>
      </w:r>
      <w:r>
        <w:t xml:space="preserve"> </w:t>
      </w:r>
      <w:r>
        <w:t xml:space="preserve">Same row,</w:t>
      </w:r>
      <w:r>
        <w:t xml:space="preserve"> </w:t>
      </w:r>
      <w:r>
        <w:t xml:space="preserve">two roles.</w:t>
      </w:r>
      <w:r>
        <w:t xml:space="preserve"> </w:t>
      </w:r>
      <w:r>
        <w:rPr>
          <w:rStyle w:val="VerbatimChar"/>
        </w:rPr>
        <w:t xml:space="preserve">identity.delegated_access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scope_path</w:t>
      </w:r>
      <w:r>
        <w:t xml:space="preserve"> </w:t>
      </w:r>
      <w:r>
        <w:t xml:space="preserve">because a grant is</w:t>
      </w:r>
      <w:r>
        <w:t xml:space="preserve"> </w:t>
      </w:r>
      <w:r>
        <w:rPr>
          <w:iCs/>
          <w:i/>
        </w:rPr>
        <w:t xml:space="preserve">scoped</w:t>
      </w:r>
      <w:r>
        <w:t xml:space="preserve">;</w:t>
      </w:r>
      <w:r>
        <w:t xml:space="preserve"> </w:t>
      </w:r>
      <w:r>
        <w:rPr>
          <w:rStyle w:val="VerbatimChar"/>
        </w:rPr>
        <w:t xml:space="preserve">platform.org_unit</w:t>
      </w:r>
      <w:r>
        <w:t xml:space="preserve"> </w:t>
      </w:r>
      <w:r>
        <w:t xml:space="preserve">is the structure being scoped against.</w:t>
      </w:r>
    </w:p>
    <w:p>
      <w:pPr>
        <w:pStyle w:val="BodyText"/>
      </w:pPr>
      <w:r>
        <w:rPr>
          <w:bCs/>
          <w:b/>
        </w:rPr>
        <w:t xml:space="preserve">Renaming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scope_path</w:t>
      </w:r>
      <w:r>
        <w:rPr>
          <w:bCs/>
          <w:b/>
        </w:rPr>
        <w:t xml:space="preserve"> </w:t>
      </w:r>
      <w:r>
        <w:rPr>
          <w:bCs/>
          <w:b/>
        </w:rPr>
        <w:t xml:space="preserve">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org_path</w:t>
      </w:r>
      <w:r>
        <w:rPr>
          <w:bCs/>
          <w:b/>
        </w:rPr>
        <w:t xml:space="preserve"> </w:t>
      </w:r>
      <w:r>
        <w:rPr>
          <w:bCs/>
          <w:b/>
        </w:rPr>
        <w:t xml:space="preserve">would have traded one confusion for a much larger one.</w:t>
      </w:r>
    </w:p>
    <w:p>
      <w:pPr>
        <w:pStyle w:val="BodyText"/>
      </w:pPr>
      <w:r>
        <w:rPr>
          <w:bCs/>
          <w:b/>
        </w:rPr>
        <w:t xml:space="preserve">Column names are unchanged.</w:t>
      </w:r>
      <w:r>
        <w:t xml:space="preserve"> </w:t>
      </w:r>
      <w:r>
        <w:t xml:space="preserve">The primary key stays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 foreign keys stay</w:t>
      </w:r>
      <w:r>
        <w:t xml:space="preserve"> </w:t>
      </w:r>
      <w:r>
        <w:rPr>
          <w:rStyle w:val="VerbatimChar"/>
        </w:rPr>
        <w:t xml:space="preserve">&lt;referent&gt;_id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 </w:t>
      </w:r>
      <w:r>
        <w:t xml:space="preserve">59 times,</w:t>
      </w:r>
      <w:r>
        <w:t xml:space="preserve"> </w:t>
      </w:r>
      <w:r>
        <w:rPr>
          <w:rStyle w:val="VerbatimChar"/>
        </w:rPr>
        <w:t xml:space="preserve">subject_id</w:t>
      </w:r>
      <w:r>
        <w:t xml:space="preserve"> </w:t>
      </w:r>
      <w:r>
        <w:t xml:space="preserve">46,</w:t>
      </w:r>
      <w:r>
        <w:t xml:space="preserve"> </w:t>
      </w:r>
      <w:r>
        <w:rPr>
          <w:rStyle w:val="VerbatimChar"/>
        </w:rPr>
        <w:t xml:space="preserve">principal_id</w:t>
      </w:r>
      <w:r>
        <w:t xml:space="preserve"> </w:t>
      </w:r>
      <w:r>
        <w:t xml:space="preserve">24.</w:t>
      </w:r>
      <w:r>
        <w:t xml:space="preserve"> </w:t>
      </w:r>
      <w:r>
        <w:rPr>
          <w:bCs/>
          <w:b/>
        </w:rPr>
        <w:t xml:space="preserve">Renaming the key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&lt;table&gt;_id</w:t>
      </w:r>
      <w:r>
        <w:rPr>
          <w:bCs/>
          <w:b/>
        </w:rPr>
        <w:t xml:space="preserve"> </w:t>
      </w:r>
      <w:r>
        <w:rPr>
          <w:bCs/>
          <w:b/>
        </w:rPr>
        <w:t xml:space="preserve">was</w:t>
      </w:r>
      <w:r>
        <w:rPr>
          <w:bCs/>
          <w:b/>
        </w:rPr>
        <w:t xml:space="preserve"> </w:t>
      </w:r>
      <w:r>
        <w:rPr>
          <w:bCs/>
          <w:b/>
        </w:rPr>
        <w:t xml:space="preserve">considered and dropped</w:t>
      </w:r>
      <w:r>
        <w:t xml:space="preserve">: the column names come from contract properties, so it would mean renaming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 every schema and in 522 path parameters, for readability the foreign-key naming already</w:t>
      </w:r>
      <w:r>
        <w:t xml:space="preserve"> </w:t>
      </w:r>
      <w:r>
        <w:t xml:space="preserve">provides.</w:t>
      </w:r>
    </w:p>
    <w:bookmarkEnd w:id="27"/>
    <w:bookmarkStart w:id="28" w:name="what-to-do-with-this"/>
    <w:p>
      <w:pPr>
        <w:pStyle w:val="Heading2"/>
      </w:pPr>
      <w:r>
        <w:t xml:space="preserve">What to do with this</w:t>
      </w:r>
    </w:p>
    <w:p>
      <w:pPr>
        <w:pStyle w:val="FirstParagraph"/>
      </w:pPr>
      <w:r>
        <w:rPr>
          <w:bCs/>
          <w:b/>
        </w:rPr>
        <w:t xml:space="preserve">Nothing urgent.</w:t>
      </w:r>
      <w:r>
        <w:t xml:space="preserve"> </w:t>
      </w:r>
      <w:r>
        <w:t xml:space="preserve">No code exists against the old names and no data exists in them.</w:t>
      </w:r>
    </w:p>
    <w:p>
      <w:pPr>
        <w:pStyle w:val="BodyText"/>
      </w:pPr>
      <w:r>
        <w:rPr>
          <w:bCs/>
          <w:b/>
        </w:rPr>
        <w:t xml:space="preserve">When you write the DDL, write it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handoff/schema-reference.json</w:t>
      </w:r>
      <w:r>
        <w:t xml:space="preserve"> </w:t>
      </w:r>
      <w:r>
        <w:t xml:space="preserve">— that is the derived</w:t>
      </w:r>
      <w:r>
        <w:t xml:space="preserve"> </w:t>
      </w:r>
      <w:r>
        <w:t xml:space="preserve">truth, it now carries the new names, and it is regenerated from the contracts on every</w:t>
      </w:r>
      <w:r>
        <w:t xml:space="preserve"> </w:t>
      </w:r>
      <w:r>
        <w:rPr>
          <w:rStyle w:val="VerbatimChar"/>
        </w:rPr>
        <w:t xml:space="preserve">refresh.sh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If you have a local branch that names any of the ten</w:t>
      </w:r>
      <w:r>
        <w:t xml:space="preserve">, the mapping above is the whole change. The</w:t>
      </w:r>
      <w:r>
        <w:t xml:space="preserve"> </w:t>
      </w:r>
      <w:r>
        <w:t xml:space="preserve">package has no other reference to the old names: verified by search across contracts, screens,</w:t>
      </w:r>
      <w:r>
        <w:t xml:space="preserve"> </w:t>
      </w:r>
      <w:r>
        <w:t xml:space="preserve">flows, states, events, diagrams, handoff and tools.</w:t>
      </w:r>
    </w:p>
    <w:bookmarkEnd w:id="28"/>
    <w:bookmarkStart w:id="29" w:name="also-landing-in-the-same-drop"/>
    <w:p>
      <w:pPr>
        <w:pStyle w:val="Heading2"/>
      </w:pPr>
      <w:r>
        <w:t xml:space="preserve">Also landing in the same drop</w:t>
      </w:r>
    </w:p>
    <w:p>
      <w:pPr>
        <w:pStyle w:val="FirstParagraph"/>
      </w:pPr>
      <w:r>
        <w:rPr>
          <w:rStyle w:val="VerbatimChar"/>
          <w:bCs/>
          <w:b/>
        </w:rPr>
        <w:t xml:space="preserve">subject</w:t>
      </w:r>
      <w:r>
        <w:rPr>
          <w:bCs/>
          <w:b/>
        </w:rPr>
        <w:t xml:space="preserve"> </w:t>
      </w:r>
      <w:r>
        <w:rPr>
          <w:bCs/>
          <w:b/>
        </w:rPr>
        <w:t xml:space="preserve">is a new config scope</w:t>
      </w:r>
      <w:r>
        <w:t xml:space="preserve"> </w:t>
      </w:r>
      <w:r>
        <w:t xml:space="preserve">for guest-owned settings — consent, marketing preferences,</w:t>
      </w:r>
      <w:r>
        <w:t xml:space="preserve"> </w:t>
      </w:r>
      <w:r>
        <w:t xml:space="preserve">registered devices, wishlist.</w:t>
      </w:r>
      <w:r>
        <w:t xml:space="preserve"> </w:t>
      </w:r>
      <w:r>
        <w:rPr>
          <w:bCs/>
          <w:b/>
        </w:rPr>
        <w:t xml:space="preserve">Nine operations moved onto it.</w:t>
      </w:r>
      <w:r>
        <w:t xml:space="preserve"> </w:t>
      </w:r>
      <w:r>
        <w:t xml:space="preserve">It is not a level of the org tree:</w:t>
      </w:r>
      <w:r>
        <w:t xml:space="preserve"> </w:t>
      </w:r>
      <w:r>
        <w:t xml:space="preserve">it does not inherit down and an operator cannot override it.</w:t>
      </w:r>
    </w:p>
    <w:p>
      <w:pPr>
        <w:pStyle w:val="BodyText"/>
      </w:pPr>
      <w:r>
        <w:rPr>
          <w:rStyle w:val="VerbatimChar"/>
          <w:bCs/>
          <w:b/>
        </w:rPr>
        <w:t xml:space="preserve">ingestFxRates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setFxProvider</w:t>
      </w:r>
      <w:r>
        <w:rPr>
          <w:bCs/>
          <w:b/>
        </w:rPr>
        <w:t xml:space="preserve"> </w:t>
      </w:r>
      <w:r>
        <w:rPr>
          <w:bCs/>
          <w:b/>
        </w:rPr>
        <w:t xml:space="preserve">are new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FxRateSource</w:t>
      </w:r>
      <w:r>
        <w:t xml:space="preserve"> </w:t>
      </w:r>
      <w:r>
        <w:t xml:space="preserve">widened to name the provider —</w:t>
      </w:r>
      <w:r>
        <w:t xml:space="preserve"> </w:t>
      </w:r>
      <w:r>
        <w:rPr>
          <w:rStyle w:val="VerbatimChar"/>
        </w:rPr>
        <w:t xml:space="preserve">uaeCentralBank</w:t>
      </w:r>
      <w:r>
        <w:t xml:space="preserve"> </w:t>
      </w:r>
      <w:r>
        <w:t xml:space="preserve">is the default for AED pairs because it is what a UAE auditor expects.</w:t>
      </w:r>
    </w:p>
    <w:p>
      <w:pPr>
        <w:pStyle w:val="BodyText"/>
      </w:pPr>
      <w:r>
        <w:rPr>
          <w:bCs/>
          <w:b/>
        </w:rPr>
        <w:t xml:space="preserve">Cross-region wallet spend now records its conversion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fxRate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fxRateId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fxRateSource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amountInConsumingCurrency</w:t>
      </w:r>
      <w:r>
        <w:t xml:space="preserve"> </w:t>
      </w:r>
      <w:r>
        <w:t xml:space="preserve">on the authorisation,</w:t>
      </w:r>
      <w:r>
        <w:t xml:space="preserve"> </w:t>
      </w:r>
      <w:r>
        <w:rPr>
          <w:bCs/>
          <w:b/>
        </w:rPr>
        <w:t xml:space="preserve">fixed at authorisation rather than capture</w:t>
      </w:r>
      <w:r>
        <w:t xml:space="preserve"> </w:t>
      </w:r>
      <w:r>
        <w:t xml:space="preserve">—</w:t>
      </w:r>
      <w:r>
        <w:t xml:space="preserve"> </w:t>
      </w:r>
      <w:r>
        <w:t xml:space="preserve">a hold taken Friday and captured Monday converts at Friday’s rate.</w:t>
      </w:r>
    </w:p>
    <w:bookmarkEnd w:id="29"/>
    <w:bookmarkEnd w:id="30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2026-08-27T11:38:47Z</dcterms:created>
  <dcterms:modified xsi:type="dcterms:W3CDTF">2026-08-27T11:38:47Z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