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9.png" ContentType="image/png"/>
  <Override PartName="/word/media/rId22.png" ContentType="image/png"/>
  <Override PartName="/word/media/rId37.png" ContentType="image/png"/>
  <Override PartName="/word/media/" ContentType="application/octet-stream"/>
  <Override PartName="/word/media/0945e3337fa8c14055445d9d977aecceabf118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480" w:before="720"/>
        <w:jc w:val="center"/>
      </w:pPr>
      <w:r>
        <w:drawing>
          <wp:inline distT="0" distB="0" distL="0" distR="0">
            <wp:extent cx="3048000" cy="1362075"/>
            <wp:effectExtent t="0" r="0" b="0" l="0"/>
            <wp:docPr id="1" name="logo" descr="Softlabs Group Ainfinite" title="Softlabs 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0F6E56" w:sz="14" w:space="1"/>
        </w:pBdr>
        <w:jc w:val="center"/>
      </w:pPr>
    </w:p>
    <w:p>
      <w:pPr>
        <w:spacing w:after="0" w:before="480"/>
      </w:pP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B2A4A"/>
          <w:sz w:val="80"/>
          <w:szCs w:val="80"/>
        </w:rPr>
        <w:t xml:space="preserve">TICVAI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F6E56"/>
          <w:sz w:val="48"/>
          <w:szCs w:val="48"/>
        </w:rPr>
        <w:t xml:space="preserve">Architecture Note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Hierarchy, Data Segregation and Services</w:t>
      </w:r>
    </w:p>
    <w:p>
      <w:pPr>
        <w:spacing w:after="0" w:before="360"/>
      </w:pPr>
    </w:p>
    <w:p>
      <w:pPr>
        <w:pBdr>
          <w:bottom w:val="single" w:color="0F6E56" w:sz="14" w:space="1"/>
        </w:pBdr>
        <w:jc w:val="center"/>
      </w:pPr>
    </w:p>
    <w:p>
      <w:pPr>
        <w:spacing w:after="0" w:before="320"/>
      </w:pP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Submitted to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Miracle Star Trading L.L.C.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Dubai, United Arab Emirates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Submitted by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Softlabs Group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Softlabs Technologies And Development Pvt. Ltd.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Mumbai, India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24 August 2026  —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Design Package  —  Version 1.0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120"/>
      </w:pPr>
    </w:p>
    <w:p>
      <w:pPr>
        <w:jc w:val="center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CONFIDENTIAL</w:t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contents"/>
    <w:p>
      <w:pPr>
        <w:pStyle w:val="Heading2"/>
      </w:pPr>
      <w:r>
        <w:t xml:space="preserve">Contents</w:t>
      </w:r>
    </w:p>
    <w:p>
      <w:pPr>
        <w:numPr>
          <w:ilvl w:val="0"/>
          <w:numId w:val="1001"/>
        </w:numPr>
        <w:pStyle w:val="Compact"/>
      </w:pPr>
      <w:r>
        <w:t xml:space="preserve">1. Overview</w:t>
      </w:r>
    </w:p>
    <w:p>
      <w:pPr>
        <w:numPr>
          <w:ilvl w:val="0"/>
          <w:numId w:val="1001"/>
        </w:numPr>
        <w:pStyle w:val="Compact"/>
      </w:pPr>
      <w:r>
        <w:t xml:space="preserve">2. The hierarchy</w:t>
      </w:r>
    </w:p>
    <w:p>
      <w:pPr>
        <w:numPr>
          <w:ilvl w:val="0"/>
          <w:numId w:val="1001"/>
        </w:numPr>
        <w:pStyle w:val="Compact"/>
      </w:pPr>
      <w:r>
        <w:t xml:space="preserve">3. Data segregation</w:t>
      </w:r>
    </w:p>
    <w:p>
      <w:pPr>
        <w:numPr>
          <w:ilvl w:val="0"/>
          <w:numId w:val="1001"/>
        </w:numPr>
        <w:pStyle w:val="Compact"/>
      </w:pPr>
      <w:r>
        <w:t xml:space="preserve">4. Sixteen services</w:t>
      </w:r>
    </w:p>
    <w:p>
      <w:pPr>
        <w:numPr>
          <w:ilvl w:val="0"/>
          <w:numId w:val="1001"/>
        </w:numPr>
        <w:pStyle w:val="Compact"/>
      </w:pPr>
      <w:r>
        <w:t xml:space="preserve">5. Consequences</w:t>
      </w:r>
    </w:p>
    <w:p>
      <w:pPr>
        <w:numPr>
          <w:ilvl w:val="0"/>
          <w:numId w:val="1001"/>
        </w:numPr>
        <w:pStyle w:val="Compact"/>
      </w:pPr>
      <w:r>
        <w:t xml:space="preserve">6. Merges considered</w:t>
      </w:r>
    </w:p>
    <w:p>
      <w:pPr>
        <w:numPr>
          <w:ilvl w:val="0"/>
          <w:numId w:val="1001"/>
        </w:numPr>
        <w:pStyle w:val="Compact"/>
      </w:pPr>
      <w:r>
        <w:t xml:space="preserve">7. Limitations</w:t>
      </w:r>
    </w:p>
    <w:p>
      <w:pPr>
        <w:numPr>
          <w:ilvl w:val="0"/>
          <w:numId w:val="1001"/>
        </w:numPr>
        <w:pStyle w:val="Compact"/>
      </w:pPr>
      <w:r>
        <w:t xml:space="preserve">8. Accompanying material</w:t>
      </w:r>
    </w:p>
    <w:bookmarkEnd w:id="20"/>
    <w:bookmarkStart w:id="49" w:name="Xd387c967d7b4b50d90c2b5cd68a1a2c66d3f4fa"/>
    <w:p>
      <w:pPr>
        <w:pStyle w:val="Heading1"/>
      </w:pPr>
      <w:r>
        <w:t xml:space="preserve">TICVAI — Hierarchy, Data Segregation and Services</w:t>
      </w:r>
    </w:p>
    <w:p>
      <w:pPr>
        <w:pStyle w:val="FirstParagraph"/>
      </w:pPr>
      <w:r>
        <w:rPr>
          <w:bCs/>
          <w:b/>
        </w:rPr>
        <w:t xml:space="preserve">Architecture note · 24 August 2026 · Softlabs</w:t>
      </w:r>
    </w:p>
    <w:bookmarkStart w:id="21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Three questions, answered against a package of 1,014 operations, 379 tables and 477 screens.</w:t>
      </w:r>
    </w:p>
    <w:p>
      <w:pPr>
        <w:pStyle w:val="BodyText"/>
      </w:pPr>
      <w:r>
        <w:rPr>
          <w:bCs/>
          <w:b/>
        </w:rPr>
        <w:t xml:space="preserve">Where does configuration live?</w:t>
      </w:r>
      <w:r>
        <w:t xml:space="preserve"> </w:t>
      </w:r>
      <w:r>
        <w:t xml:space="preserve">Eight scope levels, each earning its place by owning something</w:t>
      </w:r>
      <w:r>
        <w:t xml:space="preserve"> </w:t>
      </w:r>
      <w:r>
        <w:t xml:space="preserve">nothing above or below can own.</w:t>
      </w:r>
    </w:p>
    <w:p>
      <w:pPr>
        <w:pStyle w:val="BodyText"/>
      </w:pPr>
      <w:r>
        <w:rPr>
          <w:bCs/>
          <w:b/>
        </w:rPr>
        <w:t xml:space="preserve">How is the data divided?</w:t>
      </w:r>
      <w:r>
        <w:t xml:space="preserve"> </w:t>
      </w:r>
      <w:r>
        <w:t xml:space="preserve">26 schemas in one Postgres per cell — not one database per tenant, and</w:t>
      </w:r>
      <w:r>
        <w:t xml:space="preserve"> </w:t>
      </w:r>
      <w:r>
        <w:t xml:space="preserve">not one shared table with a tenant column.</w:t>
      </w:r>
    </w:p>
    <w:p>
      <w:pPr>
        <w:pStyle w:val="BodyText"/>
      </w:pPr>
      <w:r>
        <w:rPr>
          <w:bCs/>
          <w:b/>
        </w:rPr>
        <w:t xml:space="preserve">What ships together?</w:t>
      </w:r>
      <w:r>
        <w:t xml:space="preserve"> </w:t>
      </w:r>
      <w:r>
        <w:t xml:space="preserve">Sixteen services, and the data boundary decides where they split.</w:t>
      </w:r>
    </w:p>
    <w:p>
      <w:pPr>
        <w:pStyle w:val="BodyText"/>
      </w:pPr>
      <w:r>
        <w:rPr>
          <w:bCs/>
          <w:b/>
        </w:rPr>
        <w:t xml:space="preserve">The three answers are not independent.</w:t>
      </w:r>
      <w:r>
        <w:t xml:space="preserve"> </w:t>
      </w:r>
      <w:r>
        <w:t xml:space="preserve">Service boundaries follow schema boundaries; schema</w:t>
      </w:r>
      <w:r>
        <w:t xml:space="preserve"> </w:t>
      </w:r>
      <w:r>
        <w:t xml:space="preserve">boundaries follow the scope model.</w:t>
      </w:r>
      <w:r>
        <w:t xml:space="preserve"> </w:t>
      </w:r>
      <w:r>
        <w:rPr>
          <w:bCs/>
          <w:b/>
        </w:rPr>
        <w:t xml:space="preserve">Getting the order wrong means drawing service boundaries and</w:t>
      </w:r>
      <w:r>
        <w:rPr>
          <w:bCs/>
          <w:b/>
        </w:rPr>
        <w:t xml:space="preserve"> </w:t>
      </w:r>
      <w:r>
        <w:rPr>
          <w:bCs/>
          <w:b/>
        </w:rPr>
        <w:t xml:space="preserve">then discovering the tables disagree</w:t>
      </w:r>
      <w:r>
        <w:t xml:space="preserve"> </w:t>
      </w:r>
      <w:r>
        <w:t xml:space="preserve">— which is exactly what happened once during this work, and</w:t>
      </w:r>
      <w:r>
        <w:t xml:space="preserve"> </w:t>
      </w:r>
      <w:r>
        <w:t xml:space="preserve">section 4 says so.</w:t>
      </w:r>
    </w:p>
    <w:bookmarkEnd w:id="21"/>
    <w:bookmarkStart w:id="28" w:name="the-hierarchy"/>
    <w:p>
      <w:pPr>
        <w:pStyle w:val="Heading2"/>
      </w:pPr>
      <w:r>
        <w:t xml:space="preserve">2. The hierarchy</w:t>
      </w:r>
    </w:p>
    <w:p>
      <w:pPr>
        <w:pStyle w:val="CaptionedFigure"/>
      </w:pPr>
      <w:r>
        <w:drawing>
          <wp:inline>
            <wp:extent cx="6400800" cy="4409440"/>
            <wp:effectExtent b="0" l="0" r="0" t="0"/>
            <wp:docPr descr="The eight scope levels and what resolves at each" title="" id="23" name="Picture"/>
            <a:graphic>
              <a:graphicData uri="http://schemas.openxmlformats.org/drawingml/2006/picture">
                <pic:pic>
                  <pic:nvPicPr>
                    <pic:cNvPr descr="/tmp/dia/scope-hierarchy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409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eight scope levels and what resolves at each</w:t>
      </w:r>
    </w:p>
    <w:bookmarkStart w:id="25" w:name="why-a-hierarchy-at-all"/>
    <w:p>
      <w:pPr>
        <w:pStyle w:val="Heading3"/>
      </w:pPr>
      <w:r>
        <w:t xml:space="preserve">2.1 Why a hierarchy at all</w:t>
      </w:r>
    </w:p>
    <w:p>
      <w:pPr>
        <w:pStyle w:val="FirstParagraph"/>
      </w:pPr>
      <w:r>
        <w:t xml:space="preserve">A venue operator does not have one set of settings.</w:t>
      </w:r>
      <w:r>
        <w:t xml:space="preserve"> </w:t>
      </w:r>
      <w:r>
        <w:rPr>
          <w:bCs/>
          <w:b/>
        </w:rPr>
        <w:t xml:space="preserve">A tenant with four brands across two countries</w:t>
      </w:r>
      <w:r>
        <w:rPr>
          <w:bCs/>
          <w:b/>
        </w:rPr>
        <w:t xml:space="preserve"> </w:t>
      </w:r>
      <w:r>
        <w:rPr>
          <w:bCs/>
          <w:b/>
        </w:rPr>
        <w:t xml:space="preserve">and eleven venues has settings belonging at four different heights.</w:t>
      </w:r>
      <w:r>
        <w:t xml:space="preserve"> </w:t>
      </w:r>
      <w:r>
        <w:t xml:space="preserve">Flattening them produces one</w:t>
      </w:r>
      <w:r>
        <w:t xml:space="preserve"> </w:t>
      </w:r>
      <w:r>
        <w:t xml:space="preserve">of two failures: every venue configures everything from scratch, or one change at the top breaks a</w:t>
      </w:r>
      <w:r>
        <w:t xml:space="preserve"> </w:t>
      </w:r>
      <w:r>
        <w:t xml:space="preserve">venue that needed to differ.</w:t>
      </w:r>
    </w:p>
    <w:p>
      <w:pPr>
        <w:pStyle w:val="BodyText"/>
      </w:pPr>
      <w:r>
        <w:rPr>
          <w:rStyle w:val="VerbatimChar"/>
        </w:rPr>
        <w:t xml:space="preserve">platform.scope_node</w:t>
      </w:r>
      <w:r>
        <w:t xml:space="preserve"> </w:t>
      </w:r>
      <w:r>
        <w:t xml:space="preserve">is the answer, and</w:t>
      </w:r>
      <w:r>
        <w:t xml:space="preserve"> </w:t>
      </w:r>
      <w:r>
        <w:rPr>
          <w:bCs/>
          <w:b/>
        </w:rPr>
        <w:t xml:space="preserve">it is reached by 289 of 379 tables</w:t>
      </w:r>
      <w:r>
        <w:t xml:space="preserve"> </w:t>
      </w:r>
      <w:r>
        <w:t xml:space="preserve">— the tenancy spine.</w:t>
      </w:r>
      <w:r>
        <w:t xml:space="preserve"> </w:t>
      </w:r>
      <w:r>
        <w:t xml:space="preserve">A node has a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, a</w:t>
      </w:r>
      <w:r>
        <w:t xml:space="preserve"> </w:t>
      </w:r>
      <w:r>
        <w:rPr>
          <w:rStyle w:val="VerbatimChar"/>
        </w:rPr>
        <w:t xml:space="preserve">parent_id</w:t>
      </w:r>
      <w:r>
        <w:t xml:space="preserve"> </w:t>
      </w:r>
      <w:r>
        <w:t xml:space="preserve">and a materialised</w:t>
      </w:r>
      <w:r>
        <w:t xml:space="preserve"> </w:t>
      </w:r>
      <w:r>
        <w:rPr>
          <w:rStyle w:val="VerbatimChar"/>
        </w:rPr>
        <w:t xml:space="preserve">path</w:t>
      </w:r>
      <w:r>
        <w:t xml:space="preserve">; configuration resolves by walking</w:t>
      </w:r>
      <w:r>
        <w:t xml:space="preserve"> </w:t>
      </w:r>
      <w:r>
        <w:t xml:space="preserve">that path upward until something answers.</w:t>
      </w:r>
    </w:p>
    <w:p>
      <w:pPr>
        <w:pStyle w:val="BodyText"/>
      </w:pPr>
      <w:r>
        <w:rPr>
          <w:bCs/>
          <w:b/>
        </w:rPr>
        <w:t xml:space="preserve">ADR-0011 made the hierarchy binding.</w:t>
      </w:r>
      <w:r>
        <w:t xml:space="preserve"> </w:t>
      </w:r>
      <w:r>
        <w:t xml:space="preserve">Seven levels were confirmed with the client;</w:t>
      </w:r>
      <w:r>
        <w:t xml:space="preserve"> </w:t>
      </w:r>
      <w:r>
        <w:rPr>
          <w:rStyle w:val="VerbatimChar"/>
        </w:rPr>
        <w:t xml:space="preserve">outlet</w:t>
      </w:r>
      <w:r>
        <w:t xml:space="preserve"> </w:t>
      </w:r>
      <w:r>
        <w:t xml:space="preserve">was</w:t>
      </w:r>
      <w:r>
        <w:t xml:space="preserve"> </w:t>
      </w:r>
      <w:r>
        <w:t xml:space="preserve">added on 18 August as an eighth.</w:t>
      </w:r>
    </w:p>
    <w:bookmarkEnd w:id="25"/>
    <w:bookmarkStart w:id="26" w:name="why-each-level-exists"/>
    <w:p>
      <w:pPr>
        <w:pStyle w:val="Heading3"/>
      </w:pPr>
      <w:r>
        <w:t xml:space="preserve">2.2 Why each level exists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13"/>
        <w:gridCol w:w="742"/>
        <w:gridCol w:w="2351"/>
        <w:gridCol w:w="37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Plans, licences, roles, templates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Bought here.</w:t>
            </w:r>
            <w:r>
              <w:t xml:space="preserve"> </w:t>
            </w:r>
            <w:r>
              <w:t xml:space="preserve">A role defined at venue would be defined eleven times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 identity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Optional and free when unused</w:t>
            </w:r>
            <w:r>
              <w:t xml:space="preserve"> </w:t>
            </w:r>
            <w:r>
              <w:t xml:space="preserve">— a tenant with one brand never creates a 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Currency, decimal scale, timezone, fiscal year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overridable below.</w:t>
            </w:r>
            <w:r>
              <w:t xml:space="preserve"> </w:t>
            </w:r>
            <w:r>
              <w:t xml:space="preserve">One venue on a different decimal scale is a ledger that cannot consolidate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Almost everything operational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Two thirds of all operations.</w:t>
            </w:r>
            <w:r>
              <w:t xml:space="preserve"> </w:t>
            </w:r>
            <w:r>
              <w:t xml:space="preserve">The platform’s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Requisitions, rotas, cost centres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staffing and budget tree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second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profile, offline policy, deposit 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till is a scope, not just a device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(5 configs)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Menu, tables, return policy, hours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sibling of department</w:t>
            </w:r>
            <w:r>
              <w:t xml:space="preserve"> </w:t>
            </w:r>
            <w:r>
              <w:t xml:space="preserve">— see below</w:t>
            </w:r>
          </w:p>
        </w:tc>
      </w:tr>
    </w:tbl>
    <w:bookmarkEnd w:id="26"/>
    <w:bookmarkStart w:id="27" w:name="why-outlet-is-a-sibling-and-not-a-child"/>
    <w:p>
      <w:pPr>
        <w:pStyle w:val="Heading3"/>
      </w:pPr>
      <w:r>
        <w:t xml:space="preserve">2.3 Why</w:t>
      </w:r>
      <w:r>
        <w:t xml:space="preserve"> </w:t>
      </w:r>
      <w:r>
        <w:rPr>
          <w:rStyle w:val="VerbatimChar"/>
        </w:rPr>
        <w:t xml:space="preserve">outlet</w:t>
      </w:r>
      <w:r>
        <w:t xml:space="preserve"> </w:t>
      </w:r>
      <w:r>
        <w:t xml:space="preserve">is a sibling and not a child</w:t>
      </w:r>
    </w:p>
    <w:p>
      <w:pPr>
        <w:pStyle w:val="FirstParagraph"/>
      </w:pPr>
      <w:r>
        <w:rPr>
          <w:bCs/>
          <w:b/>
        </w:rPr>
        <w:t xml:space="preserve">This is the decision worth defending.</w:t>
      </w:r>
    </w:p>
    <w:p>
      <w:pPr>
        <w:pStyle w:val="BodyText"/>
      </w:pPr>
      <w:r>
        <w:t xml:space="preserve">A restaurant inside a venue has a menu, hours, a table layout, a return policy and stock. On the</w:t>
      </w:r>
      <w:r>
        <w:t xml:space="preserve"> </w:t>
      </w:r>
      <w:r>
        <w:t xml:space="preserve">face of it that is a department.</w:t>
      </w:r>
    </w:p>
    <w:p>
      <w:pPr>
        <w:pStyle w:val="BodyText"/>
      </w:pPr>
      <w:r>
        <w:rPr>
          <w:bCs/>
          <w:b/>
        </w:rPr>
        <w:t xml:space="preserve">Modelling it as one puts the restaurant in the staffing tree.</w:t>
      </w:r>
      <w:r>
        <w:t xml:space="preserve"> </w:t>
      </w:r>
      <w:r>
        <w:t xml:space="preserve">Departments carry requisitions,</w:t>
      </w:r>
      <w:r>
        <w:t xml:space="preserve"> </w:t>
      </w:r>
      <w:r>
        <w:t xml:space="preserve">rotas and cost centres — and</w:t>
      </w:r>
      <w:r>
        <w:t xml:space="preserve"> </w:t>
      </w:r>
      <w:r>
        <w:rPr>
          <w:bCs/>
          <w:b/>
        </w:rPr>
        <w:t xml:space="preserve">a venue whose restaurant is run by a concession would be describing</w:t>
      </w:r>
      <w:r>
        <w:rPr>
          <w:bCs/>
          <w:b/>
        </w:rPr>
        <w:t xml:space="preserve"> </w:t>
      </w:r>
      <w:r>
        <w:rPr>
          <w:bCs/>
          <w:b/>
        </w:rPr>
        <w:t xml:space="preserve">staff it does not employ.</w:t>
      </w:r>
    </w:p>
    <w:p>
      <w:pPr>
        <w:pStyle w:val="BodyText"/>
      </w:pPr>
      <w:r>
        <w:rPr>
          <w:bCs/>
          <w:b/>
        </w:rPr>
        <w:t xml:space="preserve">A department answers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who works where</w:t>
      </w:r>
      <w:r>
        <w:rPr>
          <w:bCs/>
          <w:b/>
        </w:rPr>
        <w:t xml:space="preserve">; an outlet answers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what is sold where</w:t>
      </w:r>
      <w:r>
        <w:rPr>
          <w:bCs/>
          <w:b/>
        </w:rPr>
        <w:t xml:space="preserve">.</w:t>
      </w:r>
      <w:r>
        <w:t xml:space="preserve"> </w:t>
      </w:r>
      <w:r>
        <w:t xml:space="preserve">The same</w:t>
      </w:r>
      <w:r>
        <w:t xml:space="preserve"> </w:t>
      </w:r>
      <w:r>
        <w:t xml:space="preserve">physical restaurant can be one department and two outlets — a kitchen and a bar.</w:t>
      </w:r>
    </w:p>
    <w:p>
      <w:pPr>
        <w:pStyle w:val="BodyText"/>
      </w:pPr>
      <w:r>
        <w:rPr>
          <w:bCs/>
          <w:b/>
        </w:rPr>
        <w:t xml:space="preserve">Only five configurations resolve at outlet</w:t>
      </w:r>
      <w:r>
        <w:t xml:space="preserve">, and everything else has no outlet on its path.</w:t>
      </w:r>
      <w:r>
        <w:t xml:space="preserve"> </w:t>
      </w:r>
      <w:r>
        <w:t xml:space="preserve">That is what made an eighth level cheap enough to add after the hierarchy was already binding.</w:t>
      </w:r>
    </w:p>
    <w:p>
      <w:pPr>
        <w:pStyle w:val="BodyText"/>
      </w:pPr>
      <w:r>
        <w:t xml:space="preserve">Raised as CF-138, decided in ADR-0018.</w:t>
      </w:r>
    </w:p>
    <w:bookmarkEnd w:id="27"/>
    <w:bookmarkEnd w:id="28"/>
    <w:bookmarkStart w:id="36" w:name="data-segregation"/>
    <w:p>
      <w:pPr>
        <w:pStyle w:val="Heading2"/>
      </w:pPr>
      <w:r>
        <w:t xml:space="preserve">3. Data segregation</w:t>
      </w:r>
    </w:p>
    <w:p>
      <w:pPr>
        <w:pStyle w:val="CaptionedFigure"/>
      </w:pPr>
      <w:r>
        <w:drawing>
          <wp:inline>
            <wp:extent cx="6400800" cy="4267200"/>
            <wp:effectExtent b="0" l="0" r="0" t="0"/>
            <wp:docPr descr="Twenty-six schemas and who owns them" title="" id="30" name="Picture"/>
            <a:graphic>
              <a:graphicData uri="http://schemas.openxmlformats.org/drawingml/2006/picture">
                <pic:pic>
                  <pic:nvPicPr>
                    <pic:cNvPr descr="/tmp/dia/schema-ownership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Twenty-six schemas and who owns them</w:t>
      </w:r>
    </w:p>
    <w:bookmarkStart w:id="32" w:name="the-shape"/>
    <w:p>
      <w:pPr>
        <w:pStyle w:val="Heading3"/>
      </w:pPr>
      <w:r>
        <w:t xml:space="preserve">3.1 The shape</w:t>
      </w:r>
    </w:p>
    <w:p>
      <w:pPr>
        <w:pStyle w:val="FirstParagraph"/>
      </w:pPr>
      <w:r>
        <w:rPr>
          <w:bCs/>
          <w:b/>
        </w:rPr>
        <w:t xml:space="preserve">26 schemas in one Postgres per cell.</w:t>
      </w:r>
      <w:r>
        <w:t xml:space="preserve"> </w:t>
      </w:r>
      <w:r>
        <w:t xml:space="preserve">One cell per jurisdiction (ADR-0001); within a cell,</w:t>
      </w:r>
      <w:r>
        <w:t xml:space="preserve"> </w:t>
      </w:r>
      <w:r>
        <w:t xml:space="preserve">segregation by domain rather than by tenant.</w:t>
      </w:r>
    </w:p>
    <w:p>
      <w:pPr>
        <w:pStyle w:val="BodyText"/>
      </w:pPr>
      <w:r>
        <w:rPr>
          <w:bCs/>
          <w:b/>
        </w:rPr>
        <w:t xml:space="preserve">Not one database per tenant</w:t>
      </w:r>
      <w:r>
        <w:t xml:space="preserve"> </w:t>
      </w:r>
      <w:r>
        <w:t xml:space="preserve">(ADR-0005). A venue operator with eleven venues is one tenant, and</w:t>
      </w:r>
      <w:r>
        <w:t xml:space="preserve"> </w:t>
      </w:r>
      <w:r>
        <w:t xml:space="preserve">four hundred tenants would be four hundred databases to migrate, back up and monitor.</w:t>
      </w:r>
      <w:r>
        <w:t xml:space="preserve"> </w:t>
      </w:r>
      <w:r>
        <w:rPr>
          <w:bCs/>
          <w:b/>
        </w:rPr>
        <w:t xml:space="preserve">Tenancy is</w:t>
      </w:r>
      <w:r>
        <w:rPr>
          <w:bCs/>
          <w:b/>
        </w:rPr>
        <w:t xml:space="preserve"> </w:t>
      </w:r>
      <w:r>
        <w:rPr>
          <w:bCs/>
          <w:b/>
        </w:rPr>
        <w:t xml:space="preserve">a partition key, not a deployment boundary.</w:t>
      </w:r>
    </w:p>
    <w:p>
      <w:pPr>
        <w:pStyle w:val="BodyText"/>
      </w:pPr>
      <w:r>
        <w:rPr>
          <w:bCs/>
          <w:b/>
        </w:rPr>
        <w:t xml:space="preserve">Not one shared schema either.</w:t>
      </w:r>
      <w:r>
        <w:t xml:space="preserve"> </w:t>
      </w:r>
      <w:r>
        <w:t xml:space="preserve">379 tables in one namespace is a namespace nobody can reason</w:t>
      </w:r>
      <w:r>
        <w:t xml:space="preserve"> </w:t>
      </w:r>
      <w:r>
        <w:t xml:space="preserve">about, and it makes the service boundary impossible to enforce.</w:t>
      </w:r>
    </w:p>
    <w:bookmarkEnd w:id="32"/>
    <w:bookmarkStart w:id="33" w:name="every-schema"/>
    <w:p>
      <w:pPr>
        <w:pStyle w:val="Heading3"/>
      </w:pPr>
      <w:r>
        <w:t xml:space="preserve">3.2 Every schema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43"/>
        <w:gridCol w:w="747"/>
        <w:gridCol w:w="1046"/>
        <w:gridCol w:w="1942"/>
        <w:gridCol w:w="25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access, catalogue, 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postgres, postgres-analytical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ai, reporting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approvals, subscription, workforce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VenueOps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catalogue, fnb, inventory, 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marketing-crm, platform-ops, public-api, subscription, white-label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fnb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VenueOps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postgres, 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identity, orders, public-api, tenancy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derived, 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fnb, inventory, maintenance, retail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finance, orders, shift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VenueOps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access, fnb, identity, marketing-crm, orders, public-api, workforce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fnb, identity, marketing-crm, orders, resources, shift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access, identity, marketing-crm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cross-cell, identity, inventory, tenancy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promotions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promotions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VenueOps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derived, 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VenueOps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orders, retail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access, games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venuemap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VenueOps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venue-map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whitelabel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white-label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workforce</w:t>
            </w:r>
          </w:p>
        </w:tc>
      </w:tr>
    </w:tbl>
    <w:bookmarkEnd w:id="33"/>
    <w:bookmarkStart w:id="34" w:name="the-five-that-need-stating"/>
    <w:p>
      <w:pPr>
        <w:pStyle w:val="Heading3"/>
      </w:pPr>
      <w:r>
        <w:t xml:space="preserve">3.3 The five that need stating</w:t>
      </w:r>
    </w:p>
    <w:p>
      <w:pPr>
        <w:pStyle w:val="FirstParagraph"/>
      </w:pPr>
      <w:r>
        <w:rPr>
          <w:rStyle w:val="VerbatimChar"/>
          <w:bCs/>
          <w:b/>
        </w:rPr>
        <w:t xml:space="preserve">pii</w:t>
      </w:r>
      <w:r>
        <w:rPr>
          <w:bCs/>
          <w:b/>
        </w:rPr>
        <w:t xml:space="preserve"> </w:t>
      </w:r>
      <w:r>
        <w:rPr>
          <w:bCs/>
          <w:b/>
        </w:rPr>
        <w:t xml:space="preserve">is separate from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identity</w:t>
      </w:r>
      <w:r>
        <w:rPr>
          <w:bCs/>
          <w:b/>
        </w:rPr>
        <w:t xml:space="preserve">.</w:t>
      </w:r>
      <w:r>
        <w:t xml:space="preserve"> </w:t>
      </w:r>
      <w:r>
        <w:t xml:space="preserve">A principal is who may act; a subject is who they are</w:t>
      </w:r>
      <w:r>
        <w:t xml:space="preserve"> </w:t>
      </w:r>
      <w:r>
        <w:t xml:space="preserve">(ADR-0023).</w:t>
      </w:r>
      <w:r>
        <w:t xml:space="preserve"> </w:t>
      </w:r>
      <w:r>
        <w:rPr>
          <w:bCs/>
          <w:b/>
        </w:rPr>
        <w:t xml:space="preserve">Three writers, narrowly scoped</w:t>
      </w:r>
      <w:r>
        <w:t xml:space="preserve"> </w:t>
      </w:r>
      <w:r>
        <w:t xml:space="preserve">— identity mints the subject, access enrols a face,</w:t>
      </w:r>
      <w:r>
        <w:t xml:space="preserve"> </w:t>
      </w:r>
      <w:r>
        <w:t xml:space="preserve">marketing updates a profile the subject owns. That narrowness is what makes a subject-access export</w:t>
      </w:r>
      <w:r>
        <w:t xml:space="preserve"> </w:t>
      </w:r>
      <w:r>
        <w:t xml:space="preserve">and a deletion request answerable.</w:t>
      </w:r>
    </w:p>
    <w:p>
      <w:pPr>
        <w:pStyle w:val="BodyText"/>
      </w:pPr>
      <w:r>
        <w:rPr>
          <w:rStyle w:val="VerbatimChar"/>
          <w:bCs/>
          <w:b/>
        </w:rPr>
        <w:t xml:space="preserve">ledger</w:t>
      </w:r>
      <w:r>
        <w:rPr>
          <w:bCs/>
          <w:b/>
        </w:rPr>
        <w:t xml:space="preserve"> </w:t>
      </w:r>
      <w:r>
        <w:rPr>
          <w:bCs/>
          <w:b/>
        </w:rPr>
        <w:t xml:space="preserve">is append-only.</w:t>
      </w:r>
      <w:r>
        <w:t xml:space="preserve"> </w:t>
      </w:r>
      <w:r>
        <w:t xml:space="preserve">Never updated, never deleted — a different discipline from everything</w:t>
      </w:r>
      <w:r>
        <w:t xml:space="preserve"> </w:t>
      </w:r>
      <w:r>
        <w:t xml:space="preserve">around it, and one that should not share a schema with tables that mutate.</w:t>
      </w:r>
    </w:p>
    <w:p>
      <w:pPr>
        <w:pStyle w:val="BodyText"/>
      </w:pPr>
      <w:r>
        <w:rPr>
          <w:rStyle w:val="VerbatimChar"/>
          <w:bCs/>
          <w:b/>
        </w:rPr>
        <w:t xml:space="preserve">platform</w:t>
      </w:r>
      <w:r>
        <w:rPr>
          <w:bCs/>
          <w:b/>
        </w:rPr>
        <w:t xml:space="preserve"> </w:t>
      </w:r>
      <w:r>
        <w:rPr>
          <w:bCs/>
          <w:b/>
        </w:rPr>
        <w:t xml:space="preserve">holds the spine.</w:t>
      </w:r>
      <w:r>
        <w:t xml:space="preserve"> </w:t>
      </w:r>
      <w:r>
        <w:rPr>
          <w:rStyle w:val="VerbatimChar"/>
        </w:rPr>
        <w:t xml:space="preserve">scope_node</w:t>
      </w:r>
      <w:r>
        <w:t xml:space="preserve">, reached by 289 tables.</w:t>
      </w:r>
    </w:p>
    <w:p>
      <w:pPr>
        <w:pStyle w:val="BodyText"/>
      </w:pPr>
      <w:r>
        <w:rPr>
          <w:rStyle w:val="VerbatimChar"/>
          <w:bCs/>
          <w:b/>
        </w:rPr>
        <w:t xml:space="preserve">inventory.stock_level</w:t>
      </w:r>
      <w:r>
        <w:rPr>
          <w:bCs/>
          <w:b/>
        </w:rPr>
        <w:t xml:space="preserve"> </w:t>
      </w:r>
      <w:r>
        <w:rPr>
          <w:bCs/>
          <w:b/>
        </w:rPr>
        <w:t xml:space="preserve">is derived and never stored.</w:t>
      </w:r>
      <w:r>
        <w:t xml:space="preserve"> </w:t>
      </w:r>
      <w:r>
        <w:t xml:space="preserve">Four operations wrote it directly and were</w:t>
      </w:r>
      <w:r>
        <w:t xml:space="preserve"> </w:t>
      </w:r>
      <w:r>
        <w:t xml:space="preserve">found on 20 August.</w:t>
      </w:r>
      <w:r>
        <w:t xml:space="preserve"> </w:t>
      </w:r>
      <w:r>
        <w:rPr>
          <w:bCs/>
          <w:b/>
        </w:rPr>
        <w:t xml:space="preserve">A stored level and a movement ledger that disagree is a stock count nobody can</w:t>
      </w:r>
      <w:r>
        <w:rPr>
          <w:bCs/>
          <w:b/>
        </w:rPr>
        <w:t xml:space="preserve"> </w:t>
      </w:r>
      <w:r>
        <w:rPr>
          <w:bCs/>
          <w:b/>
        </w:rPr>
        <w:t xml:space="preserve">reconcile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check-package</w:t>
      </w:r>
      <w:r>
        <w:t xml:space="preserve"> </w:t>
      </w:r>
      <w:r>
        <w:t xml:space="preserve">now refuses any write to a derived table.</w:t>
      </w:r>
    </w:p>
    <w:p>
      <w:pPr>
        <w:pStyle w:val="BodyText"/>
      </w:pPr>
      <w:r>
        <w:rPr>
          <w:rStyle w:val="VerbatimChar"/>
          <w:bCs/>
          <w:b/>
        </w:rPr>
        <w:t xml:space="preserve">ai</w:t>
      </w:r>
      <w:r>
        <w:rPr>
          <w:bCs/>
          <w:b/>
        </w:rPr>
        <w:t xml:space="preserve"> </w:t>
      </w:r>
      <w:r>
        <w:rPr>
          <w:bCs/>
          <w:b/>
        </w:rPr>
        <w:t xml:space="preserve">is written by one contract only</w:t>
      </w:r>
      <w:r>
        <w:t xml:space="preserve"> </w:t>
      </w:r>
      <w:r>
        <w:t xml:space="preserve">(ADR-0020). That boundary caught four wrongly-placed writes</w:t>
      </w:r>
      <w:r>
        <w:t xml:space="preserve"> </w:t>
      </w:r>
      <w:r>
        <w:t xml:space="preserve">in a single week.</w:t>
      </w:r>
    </w:p>
    <w:bookmarkEnd w:id="34"/>
    <w:bookmarkStart w:id="35" w:name="cross-schema-writes"/>
    <w:p>
      <w:pPr>
        <w:pStyle w:val="Heading3"/>
      </w:pPr>
      <w:r>
        <w:t xml:space="preserve">3.4 Cross-schema writes</w:t>
      </w:r>
    </w:p>
    <w:p>
      <w:pPr>
        <w:pStyle w:val="FirstParagraph"/>
      </w:pPr>
      <w:r>
        <w:rPr>
          <w:bCs/>
          <w:b/>
        </w:rPr>
        <w:t xml:space="preserve">22 tables are written by more than one contract, and all 22 are correct.</w:t>
      </w:r>
    </w:p>
    <w:p>
      <w:pPr>
        <w:pStyle w:val="BodyText"/>
      </w:pPr>
      <w:r>
        <w:rPr>
          <w:bCs/>
          <w:b/>
        </w:rPr>
        <w:t xml:space="preserve">The rule: the owner defines the row; a foreign writer may only append to it.</w:t>
      </w:r>
      <w:r>
        <w:t xml:space="preserve"> </w:t>
      </w:r>
      <w:r>
        <w:t xml:space="preserve">A till closing</w:t>
      </w:r>
      <w:r>
        <w:t xml:space="preserve"> </w:t>
      </w:r>
      <w:r>
        <w:t xml:space="preserve">posts to</w:t>
      </w:r>
      <w:r>
        <w:t xml:space="preserve"> </w:t>
      </w:r>
      <w:r>
        <w:rPr>
          <w:rStyle w:val="VerbatimChar"/>
        </w:rPr>
        <w:t xml:space="preserve">ledger.entry</w:t>
      </w:r>
      <w:r>
        <w:t xml:space="preserve"> </w:t>
      </w:r>
      <w:r>
        <w:t xml:space="preserve">because settling a shift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a ledger act.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access.entitlement</w:t>
      </w:r>
      <w:r>
        <w:t xml:space="preserve"> </w:t>
      </w:r>
      <w:r>
        <w:t xml:space="preserve">because a sale issues a ticket.</w:t>
      </w:r>
    </w:p>
    <w:bookmarkEnd w:id="35"/>
    <w:bookmarkEnd w:id="36"/>
    <w:bookmarkStart w:id="44" w:name="sixteen-services"/>
    <w:p>
      <w:pPr>
        <w:pStyle w:val="Heading2"/>
      </w:pPr>
      <w:r>
        <w:t xml:space="preserve">4. Sixteen services</w:t>
      </w:r>
    </w:p>
    <w:p>
      <w:pPr>
        <w:pStyle w:val="CaptionedFigure"/>
      </w:pPr>
      <w:r>
        <w:drawing>
          <wp:inline>
            <wp:extent cx="6400800" cy="4133850"/>
            <wp:effectExtent b="0" l="0" r="0" t="0"/>
            <wp:docPr descr="The service map and the writes that cross between services" title="" id="38" name="Picture"/>
            <a:graphic>
              <a:graphicData uri="http://schemas.openxmlformats.org/drawingml/2006/picture">
                <pic:pic>
                  <pic:nvPicPr>
                    <pic:cNvPr descr="/tmp/dia/service-map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133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service map and the writes that cross between services</w:t>
      </w:r>
    </w:p>
    <w:bookmarkStart w:id="40" w:name="how-the-number-was-reached"/>
    <w:p>
      <w:pPr>
        <w:pStyle w:val="Heading3"/>
      </w:pPr>
      <w:r>
        <w:t xml:space="preserve">4.1 How the number was reached</w:t>
      </w:r>
    </w:p>
    <w:p>
      <w:pPr>
        <w:pStyle w:val="FirstParagraph"/>
      </w:pPr>
      <w:r>
        <w:t xml:space="preserve">The lineage named a service on every operation and named 31.</w:t>
      </w:r>
      <w:r>
        <w:t xml:space="preserve"> </w:t>
      </w:r>
      <w:r>
        <w:rPr>
          <w:bCs/>
          <w:b/>
        </w:rPr>
        <w:t xml:space="preserve">Three were the same service spelled</w:t>
      </w:r>
      <w:r>
        <w:rPr>
          <w:bCs/>
          <w:b/>
        </w:rPr>
        <w:t xml:space="preserve"> </w:t>
      </w:r>
      <w:r>
        <w:rPr>
          <w:bCs/>
          <w:b/>
        </w:rPr>
        <w:t xml:space="preserve">two ways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OrderService</w:t>
      </w:r>
      <w:r>
        <w:t xml:space="preserve">/</w:t>
      </w:r>
      <w:r>
        <w:rPr>
          <w:rStyle w:val="VerbatimChar"/>
        </w:rPr>
        <w:t xml:space="preserve">OrdersService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LedgerService</w:t>
      </w:r>
      <w:r>
        <w:t xml:space="preserve">/</w:t>
      </w:r>
      <w:r>
        <w:rPr>
          <w:rStyle w:val="VerbatimChar"/>
        </w:rPr>
        <w:t xml:space="preserve">FinanceService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MarketingService</w:t>
      </w:r>
      <w:r>
        <w:t xml:space="preserve">/</w:t>
      </w:r>
      <w:r>
        <w:rPr>
          <w:rStyle w:val="VerbatimChar"/>
        </w:rPr>
        <w:t xml:space="preserve">MarketingCrmService</w:t>
      </w:r>
      <w:r>
        <w:t xml:space="preserve">.</w:t>
      </w:r>
      <w:r>
        <w:t xml:space="preserve"> </w:t>
      </w:r>
      <w:r>
        <w:rPr>
          <w:bCs/>
          <w:b/>
        </w:rPr>
        <w:t xml:space="preserve">That is how one contract becomes two repositories.</w:t>
      </w:r>
    </w:p>
    <w:p>
      <w:pPr>
        <w:pStyle w:val="BodyText"/>
      </w:pPr>
      <w:r>
        <w:t xml:space="preserve">That left 28, one per contract, which is a mapping rather than a decision.</w:t>
      </w:r>
    </w:p>
    <w:bookmarkEnd w:id="40"/>
    <w:bookmarkStart w:id="41" w:name="the-correction-worth-reading"/>
    <w:p>
      <w:pPr>
        <w:pStyle w:val="Heading3"/>
      </w:pPr>
      <w:r>
        <w:t xml:space="preserve">4.2 The correction worth reading</w:t>
      </w:r>
    </w:p>
    <w:p>
      <w:pPr>
        <w:pStyle w:val="FirstParagraph"/>
      </w:pPr>
      <w:r>
        <w:rPr>
          <w:rStyle w:val="VerbatimChar"/>
          <w:bCs/>
          <w:b/>
        </w:rPr>
        <w:t xml:space="preserve">shift</w:t>
      </w:r>
      <w:r>
        <w:rPr>
          <w:bCs/>
          <w:b/>
        </w:rPr>
        <w:t xml:space="preserve"> </w:t>
      </w:r>
      <w:r>
        <w:rPr>
          <w:bCs/>
          <w:b/>
        </w:rPr>
        <w:t xml:space="preserve">was folded into TenancyService and moved to OrderService the same day.</w:t>
      </w:r>
    </w:p>
    <w:p>
      <w:pPr>
        <w:pStyle w:val="BodyText"/>
      </w:pPr>
      <w:r>
        <w:t xml:space="preserve">The reasoning was that a shift owns no tables of its own.</w:t>
      </w:r>
      <w:r>
        <w:t xml:space="preserve"> </w:t>
      </w:r>
      <w:r>
        <w:rPr>
          <w:bCs/>
          <w:b/>
        </w:rPr>
        <w:t xml:space="preserve">That is true, and the conclusion was</w:t>
      </w:r>
      <w:r>
        <w:rPr>
          <w:bCs/>
          <w:b/>
        </w:rPr>
        <w:t xml:space="preserve"> </w:t>
      </w:r>
      <w:r>
        <w:rPr>
          <w:bCs/>
          <w:b/>
        </w:rPr>
        <w:t xml:space="preserve">wrong.</w:t>
      </w:r>
      <w:r>
        <w:t xml:space="preserve"> </w:t>
      </w:r>
      <w:r>
        <w:t xml:space="preserve">A service with no data belongs where its data is — and a shift’s data is entirely in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:</w:t>
      </w:r>
      <w:r>
        <w:t xml:space="preserve"> </w:t>
      </w:r>
      <w:r>
        <w:rPr>
          <w:rStyle w:val="VerbatimChar"/>
        </w:rPr>
        <w:t xml:space="preserve">orders.shift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orders.deposit_box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orders.cash_movement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orders.cash_count_line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 shift is venue-scoped, which is what made it look like a tenancy concern.</w:t>
      </w:r>
      <w:r>
        <w:t xml:space="preserve"> </w:t>
      </w:r>
      <w:r>
        <w:t xml:space="preserve">But</w:t>
      </w:r>
      <w:r>
        <w:t xml:space="preserve"> </w:t>
      </w:r>
      <w:r>
        <w:rPr>
          <w:bCs/>
          <w:b/>
        </w:rPr>
        <w:t xml:space="preserve">venue scope</w:t>
      </w:r>
      <w:r>
        <w:rPr>
          <w:bCs/>
          <w:b/>
        </w:rPr>
        <w:t xml:space="preserve"> </w:t>
      </w:r>
      <w:r>
        <w:rPr>
          <w:bCs/>
          <w:b/>
        </w:rPr>
        <w:t xml:space="preserve">is the platform’s default rather than a service boundary</w:t>
      </w:r>
      <w:r>
        <w:t xml:space="preserve"> </w:t>
      </w:r>
      <w:r>
        <w:t xml:space="preserve">— 675 of 1,014 operations are</w:t>
      </w:r>
      <w:r>
        <w:t xml:space="preserve"> </w:t>
      </w:r>
      <w:r>
        <w:t xml:space="preserve">venue-scoped.</w:t>
      </w:r>
    </w:p>
    <w:p>
      <w:pPr>
        <w:pStyle w:val="BodyText"/>
      </w:pPr>
      <w:r>
        <w:rPr>
          <w:bCs/>
          <w:b/>
        </w:rPr>
        <w:t xml:space="preserve">Scope answers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whose configuration is this</w:t>
      </w:r>
      <w:r>
        <w:rPr>
          <w:bCs/>
          <w:b/>
        </w:rPr>
        <w:t xml:space="preserve">. Schema answers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whose data is this</w:t>
      </w:r>
      <w:r>
        <w:rPr>
          <w:bCs/>
          <w:b/>
        </w:rPr>
        <w:t xml:space="preserve">.</w:t>
      </w:r>
      <w:r>
        <w:t xml:space="preserve"> </w:t>
      </w:r>
      <w:r>
        <w:t xml:space="preserve">The first was</w:t>
      </w:r>
      <w:r>
        <w:t xml:space="preserve"> </w:t>
      </w:r>
      <w:r>
        <w:t xml:space="preserve">allowed to decide the second, and the coupling made it visible:</w:t>
      </w:r>
      <w:r>
        <w:t xml:space="preserve"> </w:t>
      </w:r>
      <w:r>
        <w:rPr>
          <w:bCs/>
          <w:b/>
        </w:rPr>
        <w:t xml:space="preserve">all 43 of Tenancy’s cross-service</w:t>
      </w:r>
      <w:r>
        <w:rPr>
          <w:bCs/>
          <w:b/>
        </w:rPr>
        <w:t xml:space="preserve"> </w:t>
      </w:r>
      <w:r>
        <w:rPr>
          <w:bCs/>
          <w:b/>
        </w:rPr>
        <w:t xml:space="preserve">touches into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orders</w:t>
      </w:r>
      <w:r>
        <w:rPr>
          <w:bCs/>
          <w:b/>
        </w:rPr>
        <w:t xml:space="preserve"> </w:t>
      </w:r>
      <w:r>
        <w:rPr>
          <w:bCs/>
          <w:b/>
        </w:rPr>
        <w:t xml:space="preserve">were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shift</w:t>
      </w:r>
      <w:r>
        <w:rPr>
          <w:bCs/>
          <w:b/>
        </w:rPr>
        <w:t xml:space="preserve"> </w:t>
      </w:r>
      <w:r>
        <w:rPr>
          <w:bCs/>
          <w:b/>
        </w:rPr>
        <w:t xml:space="preserve">contract.</w:t>
      </w:r>
      <w:r>
        <w:t xml:space="preserve"> </w:t>
      </w:r>
      <w:r>
        <w:t xml:space="preserve">Moving it took Tenancy’s cross-service writes</w:t>
      </w:r>
      <w:r>
        <w:t xml:space="preserve"> </w:t>
      </w:r>
      <w:r>
        <w:t xml:space="preserve">from 23 to 2.</w:t>
      </w:r>
    </w:p>
    <w:bookmarkEnd w:id="41"/>
    <w:bookmarkStart w:id="42" w:name="the-sixteen"/>
    <w:p>
      <w:pPr>
        <w:pStyle w:val="Heading3"/>
      </w:pPr>
      <w:r>
        <w:t xml:space="preserve">4.3 The sixteen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20"/>
        <w:gridCol w:w="291"/>
        <w:gridCol w:w="291"/>
        <w:gridCol w:w="388"/>
        <w:gridCol w:w="485"/>
        <w:gridCol w:w="534"/>
        <w:gridCol w:w="485"/>
        <w:gridCol w:w="44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Flows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Schemas owned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Tenancy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workforce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catalogue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promotions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ledger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VenueOps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maintenance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resources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venuemap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fnb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qdrant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White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whitelabel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CrossCell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</w:t>
            </w:r>
          </w:p>
        </w:tc>
      </w:tr>
    </w:tbl>
    <w:p>
      <w:pPr>
        <w:pStyle w:val="BodyText"/>
      </w:pPr>
      <w:r>
        <w:rPr>
          <w:bCs/>
          <w:b/>
        </w:rPr>
        <w:t xml:space="preserve">Flows %</w:t>
      </w:r>
      <w:r>
        <w:t xml:space="preserve"> </w:t>
      </w:r>
      <w:r>
        <w:t xml:space="preserve">is flow coverage — how much of each service a journey has traced end to end.</w:t>
      </w:r>
      <w:r>
        <w:t xml:space="preserve"> </w:t>
      </w:r>
      <w:r>
        <w:rPr>
          <w:bCs/>
          <w:b/>
        </w:rPr>
        <w:t xml:space="preserve">Not</w:t>
      </w:r>
      <w:r>
        <w:rPr>
          <w:bCs/>
          <w:b/>
        </w:rPr>
        <w:t xml:space="preserve"> </w:t>
      </w:r>
      <w:r>
        <w:rPr>
          <w:bCs/>
          <w:b/>
        </w:rPr>
        <w:t xml:space="preserve">tests, not build.</w:t>
      </w:r>
      <w:r>
        <w:t xml:space="preserve"> </w:t>
      </w:r>
      <w:r>
        <w:t xml:space="preserve">Every flow written in this project has found a defect, so</w:t>
      </w:r>
      <w:r>
        <w:t xml:space="preserve"> </w:t>
      </w:r>
      <w:r>
        <w:rPr>
          <w:bCs/>
          <w:b/>
        </w:rPr>
        <w:t xml:space="preserve">a service under 40%</w:t>
      </w:r>
      <w:r>
        <w:rPr>
          <w:bCs/>
          <w:b/>
        </w:rPr>
        <w:t xml:space="preserve"> </w:t>
      </w:r>
      <w:r>
        <w:rPr>
          <w:bCs/>
          <w:b/>
        </w:rPr>
        <w:t xml:space="preserve">is unwalked rather than under-documented</w:t>
      </w:r>
      <w:r>
        <w:t xml:space="preserve">: its defects are still in it.</w:t>
      </w:r>
    </w:p>
    <w:bookmarkEnd w:id="42"/>
    <w:bookmarkStart w:id="43" w:name="the-eight-worth-defending"/>
    <w:p>
      <w:pPr>
        <w:pStyle w:val="Heading3"/>
      </w:pPr>
      <w:r>
        <w:t xml:space="preserve">4.4 The eight worth defending</w:t>
      </w:r>
    </w:p>
    <w:p>
      <w:pPr>
        <w:pStyle w:val="FirstParagraph"/>
      </w:pPr>
      <w:r>
        <w:t xml:space="preserve">The other eight are what they look like — a domain with its own schema, its own scaling profile and</w:t>
      </w:r>
      <w:r>
        <w:t xml:space="preserve"> </w:t>
      </w:r>
      <w:r>
        <w:t xml:space="preserve">its own licence.</w:t>
      </w:r>
      <w:r>
        <w:t xml:space="preserve"> </w:t>
      </w:r>
      <w:r>
        <w:rPr>
          <w:bCs/>
          <w:b/>
        </w:rPr>
        <w:t xml:space="preserve">These eight are not.</w:t>
      </w:r>
    </w:p>
    <w:p>
      <w:pPr>
        <w:pStyle w:val="BodyText"/>
      </w:pPr>
      <w:r>
        <w:rPr>
          <w:bCs/>
          <w:b/>
        </w:rPr>
        <w:t xml:space="preserve">Tenancy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  <w:bCs/>
          <w:b/>
        </w:rPr>
        <w:t xml:space="preserve">platform.scope_node</w:t>
      </w:r>
      <w:r>
        <w:rPr>
          <w:bCs/>
          <w:b/>
        </w:rPr>
        <w:t xml:space="preserve"> </w:t>
      </w:r>
      <w:r>
        <w:rPr>
          <w:bCs/>
          <w:b/>
        </w:rPr>
        <w:t xml:space="preserve">is reached by 289 of 379 tables</w:t>
      </w:r>
      <w:r>
        <w:t xml:space="preserve"> </w:t>
      </w:r>
      <w:r>
        <w:t xml:space="preserve">— the tenancy spine. Workforce and approvals are folded in because each is small, both read</w:t>
      </w:r>
      <w:r>
        <w:t xml:space="preserve"> </w:t>
      </w:r>
      <w:r>
        <w:rPr>
          <w:rStyle w:val="VerbatimChar"/>
        </w:rPr>
        <w:t xml:space="preserve">scope_node</w:t>
      </w:r>
      <w:r>
        <w:t xml:space="preserve"> </w:t>
      </w:r>
      <w:r>
        <w:t xml:space="preserve">constantly and write it rarely, and splitting them means three services doing the same joins.</w:t>
      </w:r>
    </w:p>
    <w:p>
      <w:pPr>
        <w:pStyle w:val="BodyText"/>
      </w:pPr>
      <w:r>
        <w:rPr>
          <w:rStyle w:val="VerbatimChar"/>
          <w:bCs/>
          <w:b/>
        </w:rPr>
        <w:t xml:space="preserve">shift</w:t>
      </w:r>
      <w:r>
        <w:rPr>
          <w:bCs/>
          <w:b/>
        </w:rPr>
        <w:t xml:space="preserve"> </w:t>
      </w:r>
      <w:r>
        <w:rPr>
          <w:bCs/>
          <w:b/>
        </w:rPr>
        <w:t xml:space="preserve">was folded in here on 24 August and moved to OrderService the same day.</w:t>
      </w:r>
      <w:r>
        <w:t xml:space="preserve"> </w:t>
      </w:r>
      <w:r>
        <w:t xml:space="preserve">The reasoning was that a shift owns no tables of its own — which is true — and the conclusion was wrong.</w:t>
      </w:r>
      <w:r>
        <w:t xml:space="preserve"> </w:t>
      </w:r>
      <w:r>
        <w:rPr>
          <w:bCs/>
          <w:b/>
        </w:rPr>
        <w:t xml:space="preserve">A service with no data belongs where its data is</w:t>
      </w:r>
      <w:r>
        <w:t xml:space="preserve">, and a shift’s data is entirely in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:</w:t>
      </w:r>
      <w:r>
        <w:t xml:space="preserve"> </w:t>
      </w:r>
      <w:r>
        <w:rPr>
          <w:rStyle w:val="VerbatimChar"/>
        </w:rPr>
        <w:t xml:space="preserve">orders.shift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orders.deposit_box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orders.cash_movement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orders.cash_count_line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The coupling made it visible.</w:t>
      </w:r>
      <w:r>
        <w:t xml:space="preserve"> </w:t>
      </w:r>
      <w:r>
        <w:t xml:space="preserve">All 43 of Tenancy’s cross-service touches into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t xml:space="preserve">were the</w:t>
      </w:r>
      <w:r>
        <w:t xml:space="preserve"> </w:t>
      </w:r>
      <w:r>
        <w:rPr>
          <w:rStyle w:val="VerbatimChar"/>
        </w:rPr>
        <w:t xml:space="preserve">shift</w:t>
      </w:r>
      <w:r>
        <w:t xml:space="preserve"> </w:t>
      </w:r>
      <w:r>
        <w:t xml:space="preserve">contract — 19 writes and 24 reads, the heaviest coupling in the platform, created to solve a cosmetic problem.</w:t>
      </w:r>
    </w:p>
    <w:p>
      <w:pPr>
        <w:pStyle w:val="BodyText"/>
      </w:pPr>
      <w:r>
        <w:rPr>
          <w:iCs/>
          <w:i/>
        </w:rPr>
        <w:t xml:space="preserve">Scale.</w:t>
      </w:r>
      <w:r>
        <w:t xml:space="preserve"> </w:t>
      </w:r>
      <w:r>
        <w:t xml:space="preserve">Read-heavy and highly cacheable. Config changes are rare.</w:t>
      </w:r>
      <w:r>
        <w:t xml:space="preserve"> </w:t>
      </w:r>
      <w:r>
        <w:rPr>
          <w:iCs/>
          <w:i/>
        </w:rPr>
        <w:t xml:space="preserve">If it is down.</w:t>
      </w:r>
      <w:r>
        <w:t xml:space="preserve"> </w:t>
      </w:r>
      <w:r>
        <w:t xml:space="preserve">Same as identity — nothing runs without a scope.</w:t>
      </w:r>
    </w:p>
    <w:p>
      <w:pPr>
        <w:pStyle w:val="BodyText"/>
      </w:pPr>
      <w:r>
        <w:rPr>
          <w:bCs/>
          <w:b/>
        </w:rPr>
        <w:t xml:space="preserve">Order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The transactional core.</w:t>
      </w:r>
      <w:r>
        <w:t xml:space="preserve"> </w:t>
      </w:r>
      <w:r>
        <w:t xml:space="preserve">96 operations, 34 tables, and the highest write rate in the platform. Separate because its scaling profile is unlike anything else — a Saturday evening is ten times a Tuesday morning.</w:t>
      </w:r>
    </w:p>
    <w:p>
      <w:pPr>
        <w:pStyle w:val="BodyText"/>
      </w:pPr>
      <w:r>
        <w:rPr>
          <w:rStyle w:val="VerbatimChar"/>
          <w:bCs/>
          <w:b/>
        </w:rPr>
        <w:t xml:space="preserve">shift</w:t>
      </w:r>
      <w:r>
        <w:rPr>
          <w:bCs/>
          <w:b/>
        </w:rPr>
        <w:t xml:space="preserve"> </w:t>
      </w:r>
      <w:r>
        <w:rPr>
          <w:bCs/>
          <w:b/>
        </w:rPr>
        <w:t xml:space="preserve">belongs here and not in Tenancy.</w:t>
      </w:r>
      <w:r>
        <w:t xml:space="preserve"> </w:t>
      </w:r>
      <w:r>
        <w:t xml:space="preserve">A shift is venue-scoped, which is what made it look like a tenancy concern — but</w:t>
      </w:r>
      <w:r>
        <w:t xml:space="preserve"> </w:t>
      </w:r>
      <w:r>
        <w:rPr>
          <w:bCs/>
          <w:b/>
        </w:rPr>
        <w:t xml:space="preserve">venue scope is the platform’s default rather than a service boundary</w:t>
      </w:r>
      <w:r>
        <w:t xml:space="preserve">: 675 of 1,014 operations are venue-scoped.</w:t>
      </w:r>
    </w:p>
    <w:p>
      <w:pPr>
        <w:pStyle w:val="BodyText"/>
      </w:pPr>
      <w:r>
        <w:rPr>
          <w:bCs/>
          <w:b/>
        </w:rPr>
        <w:t xml:space="preserve">What decides the service is who owns the tables.</w:t>
      </w:r>
      <w:r>
        <w:t xml:space="preserve"> </w:t>
      </w:r>
      <w:r>
        <w:t xml:space="preserve">A shift holds cash,</w:t>
      </w:r>
      <w:r>
        <w:t xml:space="preserve"> </w:t>
      </w:r>
      <w:r>
        <w:rPr>
          <w:rStyle w:val="VerbatimChar"/>
        </w:rPr>
        <w:t xml:space="preserve">orders.deposit_box</w:t>
      </w:r>
      <w:r>
        <w:t xml:space="preserve"> </w:t>
      </w:r>
      <w:r>
        <w:t xml:space="preserve">reconciles against payments, and</w:t>
      </w:r>
      <w:r>
        <w:t xml:space="preserve"> </w:t>
      </w:r>
      <w:r>
        <w:rPr>
          <w:rStyle w:val="VerbatimChar"/>
        </w:rPr>
        <w:t xml:space="preserve">orders.cash_movement</w:t>
      </w:r>
      <w:r>
        <w:t xml:space="preserve"> </w:t>
      </w:r>
      <w:r>
        <w:t xml:space="preserve">posts to</w:t>
      </w:r>
      <w:r>
        <w:t xml:space="preserve"> </w:t>
      </w:r>
      <w:r>
        <w:rPr>
          <w:rStyle w:val="VerbatimChar"/>
        </w:rPr>
        <w:t xml:space="preserve">ledger.entry</w:t>
      </w:r>
      <w:r>
        <w:t xml:space="preserve"> </w:t>
      </w:r>
      <w:r>
        <w:t xml:space="preserve">at close.</w:t>
      </w:r>
      <w:r>
        <w:t xml:space="preserve"> </w:t>
      </w:r>
      <w:r>
        <w:rPr>
          <w:bCs/>
          <w:b/>
        </w:rPr>
        <w:t xml:space="preserve">A till’s takings and a till’s drawer are the same money counted twice</w:t>
      </w:r>
      <w:r>
        <w:t xml:space="preserve"> </w:t>
      </w:r>
      <w:r>
        <w:t xml:space="preserve">— separating them makes every settlement a distributed join.</w:t>
      </w:r>
    </w:p>
    <w:p>
      <w:pPr>
        <w:pStyle w:val="BodyText"/>
      </w:pPr>
      <w:r>
        <w:rPr>
          <w:iCs/>
          <w:i/>
        </w:rPr>
        <w:t xml:space="preserve">Scale.</w:t>
      </w:r>
      <w:r>
        <w:t xml:space="preserve"> </w:t>
      </w:r>
      <w:r>
        <w:t xml:space="preserve">Write-heavy, spiky, latency-critical.</w:t>
      </w:r>
      <w:r>
        <w:t xml:space="preserve"> </w:t>
      </w:r>
      <w:r>
        <w:rPr>
          <w:bCs/>
          <w:b/>
        </w:rPr>
        <w:t xml:space="preserve">The one that autoscales.</w:t>
      </w:r>
      <w:r>
        <w:t xml:space="preserve"> </w:t>
      </w:r>
      <w:r>
        <w:rPr>
          <w:iCs/>
          <w:i/>
        </w:rPr>
        <w:t xml:space="preserve">If it is down.</w:t>
      </w:r>
      <w:r>
        <w:t xml:space="preserve"> </w:t>
      </w:r>
      <w:r>
        <w:rPr>
          <w:bCs/>
          <w:b/>
        </w:rPr>
        <w:t xml:space="preserve">Down means no sales.</w:t>
      </w:r>
      <w:r>
        <w:t xml:space="preserve"> </w:t>
      </w:r>
      <w:r>
        <w:t xml:space="preserve">Highest availability target in the platform.</w:t>
      </w:r>
    </w:p>
    <w:p>
      <w:pPr>
        <w:pStyle w:val="BodyText"/>
      </w:pPr>
      <w:r>
        <w:rPr>
          <w:bCs/>
          <w:b/>
        </w:rPr>
        <w:t xml:space="preserve">Ai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Separate at any size, and not because of size.</w:t>
      </w:r>
      <w:r>
        <w:t xml:space="preserve"> </w:t>
      </w:r>
      <w:r>
        <w:t xml:space="preserve">ADR-0020 makes it a hard boundary: only this service writes AI tables, and it is read-only against the transactional core.</w:t>
      </w:r>
      <w:r>
        <w:t xml:space="preserve"> </w:t>
      </w:r>
      <w:r>
        <w:rPr>
          <w:bCs/>
          <w:b/>
        </w:rPr>
        <w:t xml:space="preserve">That boundary caught four wrongly-placed writes in one week</w:t>
      </w:r>
      <w:r>
        <w:t xml:space="preserve"> </w:t>
      </w:r>
      <w:r>
        <w:t xml:space="preserve">— it survives because it is enforced, and enforcing it across a shared deployment is harder than across a network.</w:t>
      </w:r>
    </w:p>
    <w:p>
      <w:pPr>
        <w:pStyle w:val="BodyText"/>
      </w:pPr>
      <w:r>
        <w:rPr>
          <w:iCs/>
          <w:i/>
        </w:rPr>
        <w:t xml:space="preserve">Scale.</w:t>
      </w:r>
      <w:r>
        <w:t xml:space="preserve"> </w:t>
      </w:r>
      <w:r>
        <w:t xml:space="preserve">Latency-tolerant, cost-sensitive, token-metered. Different hardware from everything else.</w:t>
      </w:r>
      <w:r>
        <w:t xml:space="preserve"> </w:t>
      </w:r>
      <w:r>
        <w:rPr>
          <w:iCs/>
          <w:i/>
        </w:rPr>
        <w:t xml:space="preserve">If it is down.</w:t>
      </w:r>
      <w:r>
        <w:t xml:space="preserve"> </w:t>
      </w:r>
      <w:r>
        <w:t xml:space="preserve">Down degrades suggestions and the concierge.</w:t>
      </w:r>
      <w:r>
        <w:t xml:space="preserve"> </w:t>
      </w:r>
      <w:r>
        <w:rPr>
          <w:bCs/>
          <w:b/>
        </w:rPr>
        <w:t xml:space="preserve">Nothing that takes money depends on it.</w:t>
      </w:r>
    </w:p>
    <w:p>
      <w:pPr>
        <w:pStyle w:val="BodyText"/>
      </w:pPr>
      <w:r>
        <w:rPr>
          <w:bCs/>
          <w:b/>
        </w:rPr>
        <w:t xml:space="preserve">Marketing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93 operations and 37 tables — the biggest thing in the package, and probably two services eventually.</w:t>
      </w:r>
      <w:r>
        <w:t xml:space="preserve"> </w:t>
      </w:r>
      <w:r>
        <w:t xml:space="preserve">CRM and campaigns have different write patterns: a guest profile is read constantly and written rarely; a campaign send is a burst of millions of rows nobody reads again.</w:t>
      </w:r>
    </w:p>
    <w:p>
      <w:pPr>
        <w:pStyle w:val="BodyText"/>
      </w:pPr>
      <w:r>
        <w:rPr>
          <w:bCs/>
          <w:b/>
        </w:rPr>
        <w:t xml:space="preserve">Kept as one for now</w:t>
      </w:r>
      <w:r>
        <w:t xml:space="preserve"> </w:t>
      </w:r>
      <w:r>
        <w:t xml:space="preserve">because splitting a service before it has a load profile is guessing.</w:t>
      </w:r>
    </w:p>
    <w:p>
      <w:pPr>
        <w:pStyle w:val="BodyText"/>
      </w:pPr>
      <w:r>
        <w:rPr>
          <w:iCs/>
          <w:i/>
        </w:rPr>
        <w:t xml:space="preserve">Scale.</w:t>
      </w:r>
      <w:r>
        <w:t xml:space="preserve"> </w:t>
      </w:r>
      <w:r>
        <w:t xml:space="preserve">Bursty on send, read-heavy otherwise.</w:t>
      </w:r>
      <w:r>
        <w:t xml:space="preserve"> </w:t>
      </w:r>
      <w:r>
        <w:rPr>
          <w:bCs/>
          <w:b/>
        </w:rPr>
        <w:t xml:space="preserve">The one to watch for a split.</w:t>
      </w:r>
      <w:r>
        <w:t xml:space="preserve"> </w:t>
      </w:r>
      <w:r>
        <w:rPr>
          <w:iCs/>
          <w:i/>
        </w:rPr>
        <w:t xml:space="preserve">If it is down.</w:t>
      </w:r>
      <w:r>
        <w:t xml:space="preserve"> </w:t>
      </w:r>
      <w:r>
        <w:t xml:space="preserve">Down stops campaigns and guest lookup. Neither stops trading.</w:t>
      </w:r>
    </w:p>
    <w:p>
      <w:pPr>
        <w:pStyle w:val="BodyText"/>
      </w:pPr>
      <w:r>
        <w:rPr>
          <w:bCs/>
          <w:b/>
        </w:rPr>
        <w:t xml:space="preserve">Control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Three contracts, one schema, 41 tables.</w:t>
      </w:r>
      <w:r>
        <w:t xml:space="preserve"> </w:t>
      </w:r>
      <w:r>
        <w:t xml:space="preserve">Subscription, platform operations and the public API all write</w:t>
      </w:r>
      <w:r>
        <w:t xml:space="preserve"> </w:t>
      </w:r>
      <w:r>
        <w:rPr>
          <w:rStyle w:val="VerbatimChar"/>
        </w:rPr>
        <w:t xml:space="preserve">control.*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they are one bounded context that was split into three contracts for API-surface reasons, not for data reasons.</w:t>
      </w:r>
    </w:p>
    <w:p>
      <w:pPr>
        <w:pStyle w:val="BodyText"/>
      </w:pPr>
      <w:r>
        <w:t xml:space="preserve">Splitting them would give three services writing one schema, which is the arrangement every distributed-data guide warns about.</w:t>
      </w:r>
    </w:p>
    <w:p>
      <w:pPr>
        <w:pStyle w:val="BodyText"/>
      </w:pPr>
      <w:r>
        <w:rPr>
          <w:iCs/>
          <w:i/>
        </w:rPr>
        <w:t xml:space="preserve">Scale.</w:t>
      </w:r>
      <w:r>
        <w:t xml:space="preserve"> </w:t>
      </w:r>
      <w:r>
        <w:t xml:space="preserve">Low volume, high consequence. Tenant provisioning and licensing.</w:t>
      </w:r>
      <w:r>
        <w:t xml:space="preserve"> </w:t>
      </w:r>
      <w:r>
        <w:rPr>
          <w:iCs/>
          <w:i/>
        </w:rPr>
        <w:t xml:space="preserve">If it is down.</w:t>
      </w:r>
      <w:r>
        <w:t xml:space="preserve"> </w:t>
      </w:r>
      <w:r>
        <w:t xml:space="preserve">Down blocks provisioning and the developer API.</w:t>
      </w:r>
      <w:r>
        <w:t xml:space="preserve"> </w:t>
      </w:r>
      <w:r>
        <w:rPr>
          <w:bCs/>
          <w:b/>
        </w:rPr>
        <w:t xml:space="preserve">Trading is unaffected.</w:t>
      </w:r>
    </w:p>
    <w:p>
      <w:pPr>
        <w:pStyle w:val="BodyText"/>
      </w:pPr>
      <w:r>
        <w:rPr>
          <w:bCs/>
          <w:b/>
        </w:rPr>
        <w:t xml:space="preserve">CrossCell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The only service that reaches another region</w:t>
      </w:r>
      <w:r>
        <w:t xml:space="preserve"> </w:t>
      </w:r>
      <w:r>
        <w:t xml:space="preserve">(ADR-0010, ADR-0014). Separate because it is the one place where data crosses a jurisdiction, and</w:t>
      </w:r>
      <w:r>
        <w:t xml:space="preserve"> </w:t>
      </w:r>
      <w:r>
        <w:rPr>
          <w:bCs/>
          <w:b/>
        </w:rPr>
        <w:t xml:space="preserve">a boundary that matters legally should be a boundary that exists physically.</w:t>
      </w:r>
    </w:p>
    <w:p>
      <w:pPr>
        <w:pStyle w:val="BodyText"/>
      </w:pPr>
      <w:r>
        <w:t xml:space="preserve">It moves a pseudonymous guest link rather than a guest, which is the whole design.</w:t>
      </w:r>
    </w:p>
    <w:p>
      <w:pPr>
        <w:pStyle w:val="BodyText"/>
      </w:pPr>
      <w:r>
        <w:rPr>
          <w:iCs/>
          <w:i/>
        </w:rPr>
        <w:t xml:space="preserve">Scale.</w:t>
      </w:r>
      <w:r>
        <w:t xml:space="preserve"> </w:t>
      </w:r>
      <w:r>
        <w:t xml:space="preserve">Low volume, high scrutiny.</w:t>
      </w:r>
      <w:r>
        <w:t xml:space="preserve"> </w:t>
      </w:r>
      <w:r>
        <w:rPr>
          <w:iCs/>
          <w:i/>
        </w:rPr>
        <w:t xml:space="preserve">If it is down.</w:t>
      </w:r>
      <w:r>
        <w:t xml:space="preserve"> </w:t>
      </w:r>
      <w:r>
        <w:t xml:space="preserve">Down blocks cross-region entitlements. Each region continues alone.</w:t>
      </w:r>
    </w:p>
    <w:p>
      <w:pPr>
        <w:pStyle w:val="BodyText"/>
      </w:pPr>
      <w:r>
        <w:rPr>
          <w:bCs/>
          <w:b/>
        </w:rPr>
        <w:t xml:space="preserve">Ledger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Money, and it is append-only.</w:t>
      </w:r>
      <w:r>
        <w:t xml:space="preserve"> </w:t>
      </w:r>
      <w:r>
        <w:t xml:space="preserve">54 operations over 18 tables that are never updated and never deleted — a different discipline from everything around it, and one that should not share a deploy with anything that does mutate.</w:t>
      </w:r>
    </w:p>
    <w:p>
      <w:pPr>
        <w:pStyle w:val="BodyText"/>
      </w:pPr>
      <w:r>
        <w:rPr>
          <w:iCs/>
          <w:i/>
        </w:rPr>
        <w:t xml:space="preserve">Scale.</w:t>
      </w:r>
      <w:r>
        <w:t xml:space="preserve"> </w:t>
      </w:r>
      <w:r>
        <w:t xml:space="preserve">Write-heavy, batch-tolerant, not latency-critical. Recognition and revaluation are jobs.</w:t>
      </w:r>
      <w:r>
        <w:t xml:space="preserve"> </w:t>
      </w:r>
      <w:r>
        <w:rPr>
          <w:iCs/>
          <w:i/>
        </w:rPr>
        <w:t xml:space="preserve">If it is down.</w:t>
      </w:r>
      <w:r>
        <w:t xml:space="preserve"> </w:t>
      </w:r>
      <w:r>
        <w:rPr>
          <w:bCs/>
          <w:b/>
        </w:rPr>
        <w:t xml:space="preserve">Correctness over availability.</w:t>
      </w:r>
      <w:r>
        <w:t xml:space="preserve"> </w:t>
      </w:r>
      <w:r>
        <w:t xml:space="preserve">A ledger that is briefly unavailable is recoverable; one that is briefly wrong is not.</w:t>
      </w:r>
    </w:p>
    <w:p>
      <w:pPr>
        <w:pStyle w:val="BodyText"/>
      </w:pPr>
      <w:r>
        <w:rPr>
          <w:bCs/>
          <w:b/>
        </w:rPr>
        <w:t xml:space="preserve">Access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The gate.</w:t>
      </w:r>
      <w:r>
        <w:t xml:space="preserve"> </w:t>
      </w:r>
      <w:r>
        <w:t xml:space="preserve">Validating an entitlement is a sub-300ms decision made forty times a minute per lane, and it must work when the network does not.</w:t>
      </w:r>
    </w:p>
    <w:p>
      <w:pPr>
        <w:pStyle w:val="BodyText"/>
      </w:pPr>
      <w:r>
        <w:rPr>
          <w:iCs/>
          <w:i/>
        </w:rPr>
        <w:t xml:space="preserve">Scale.</w:t>
      </w:r>
      <w:r>
        <w:t xml:space="preserve"> </w:t>
      </w:r>
      <w:r>
        <w:t xml:space="preserve">Read-heavy, extreme latency sensitivity, edge-cached.</w:t>
      </w:r>
      <w:r>
        <w:t xml:space="preserve"> </w:t>
      </w:r>
      <w:r>
        <w:rPr>
          <w:rStyle w:val="VerbatimChar"/>
          <w:bCs/>
          <w:b/>
        </w:rPr>
        <w:t xml:space="preserve">frozenDays</w:t>
      </w:r>
      <w:r>
        <w:rPr>
          <w:bCs/>
          <w:b/>
        </w:rPr>
        <w:t xml:space="preserve"> </w:t>
      </w:r>
      <w:r>
        <w:rPr>
          <w:bCs/>
          <w:b/>
        </w:rPr>
        <w:t xml:space="preserve">is held rather than replayed</w:t>
      </w:r>
      <w:r>
        <w:t xml:space="preserve"> </w:t>
      </w:r>
      <w:r>
        <w:t xml:space="preserve">precisely because the gate cannot afford the arithmetic.</w:t>
      </w:r>
      <w:r>
        <w:t xml:space="preserve"> </w:t>
      </w:r>
      <w:r>
        <w:rPr>
          <w:iCs/>
          <w:i/>
        </w:rPr>
        <w:t xml:space="preserve">If it is down.</w:t>
      </w:r>
      <w:r>
        <w:t xml:space="preserve"> </w:t>
      </w:r>
      <w:r>
        <w:t xml:space="preserve">Down means the gates stop. Runs at the edge with a local decision cache.</w:t>
      </w:r>
    </w:p>
    <w:bookmarkEnd w:id="43"/>
    <w:bookmarkEnd w:id="44"/>
    <w:bookmarkStart w:id="45" w:name="consequences"/>
    <w:p>
      <w:pPr>
        <w:pStyle w:val="Heading2"/>
      </w:pPr>
      <w:r>
        <w:t xml:space="preserve">5. Consequences</w:t>
      </w:r>
    </w:p>
    <w:p>
      <w:pPr>
        <w:pStyle w:val="FirstParagraph"/>
      </w:pPr>
      <w:r>
        <w:rPr>
          <w:bCs/>
          <w:b/>
        </w:rPr>
        <w:t xml:space="preserve">Deploy order is the tier order.</w:t>
      </w:r>
      <w:r>
        <w:t xml:space="preserve"> </w:t>
      </w:r>
      <w:r>
        <w:t xml:space="preserve">Foundation first and alone — twelve contracts read Identity, and</w:t>
      </w:r>
      <w:r>
        <w:t xml:space="preserve"> </w:t>
      </w:r>
      <w:r>
        <w:t xml:space="preserve">289 tables anchor on</w:t>
      </w:r>
      <w:r>
        <w:t xml:space="preserve"> </w:t>
      </w:r>
      <w:r>
        <w:rPr>
          <w:rStyle w:val="VerbatimChar"/>
        </w:rPr>
        <w:t xml:space="preserve">platform.scope_node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Four services can be down without stopping a sale</w:t>
      </w:r>
      <w:r>
        <w:t xml:space="preserve">: Marketing, AI, Reporting, CrossCell.</w:t>
      </w:r>
      <w:r>
        <w:t xml:space="preserve"> </w:t>
      </w:r>
      <w:r>
        <w:rPr>
          <w:bCs/>
          <w:b/>
        </w:rPr>
        <w:t xml:space="preserve">A</w:t>
      </w:r>
      <w:r>
        <w:rPr>
          <w:bCs/>
          <w:b/>
        </w:rPr>
        <w:t xml:space="preserve"> </w:t>
      </w:r>
      <w:r>
        <w:rPr>
          <w:bCs/>
          <w:b/>
        </w:rPr>
        <w:t xml:space="preserve">deliberate property that should be tested rather than assumed.</w:t>
      </w:r>
    </w:p>
    <w:p>
      <w:pPr>
        <w:pStyle w:val="BodyText"/>
      </w:pPr>
      <w:r>
        <w:rPr>
          <w:bCs/>
          <w:b/>
        </w:rPr>
        <w:t xml:space="preserve">Order autoscales and nothing else needs to.</w:t>
      </w:r>
      <w:r>
        <w:t xml:space="preserve"> </w:t>
      </w:r>
      <w:r>
        <w:t xml:space="preserve">A Saturday evening is ten times a Tuesday morning.</w:t>
      </w:r>
    </w:p>
    <w:p>
      <w:pPr>
        <w:pStyle w:val="BodyText"/>
      </w:pPr>
      <w:r>
        <w:rPr>
          <w:bCs/>
          <w:b/>
        </w:rPr>
        <w:t xml:space="preserve">Ledger is correctness over availability</w:t>
      </w:r>
      <w:r>
        <w:t xml:space="preserve"> </w:t>
      </w:r>
      <w:r>
        <w:t xml:space="preserve">— the only service where that trade runs the other way.</w:t>
      </w:r>
    </w:p>
    <w:bookmarkEnd w:id="45"/>
    <w:bookmarkStart w:id="46" w:name="merges-considered"/>
    <w:p>
      <w:pPr>
        <w:pStyle w:val="Heading2"/>
      </w:pPr>
      <w:r>
        <w:t xml:space="preserve">6. Merges considered</w:t>
      </w:r>
    </w:p>
    <w:p>
      <w:pPr>
        <w:pStyle w:val="FirstParagraph"/>
      </w:pPr>
      <w:r>
        <w:rPr>
          <w:bCs/>
          <w:b/>
        </w:rPr>
        <w:t xml:space="preserve">CrossCell into Tenancy is the closest call.</w:t>
      </w:r>
      <w:r>
        <w:t xml:space="preserve"> </w:t>
      </w:r>
      <w:r>
        <w:t xml:space="preserve">16 operations, one table, and 11 of its writes go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platform.*</w:t>
      </w:r>
      <w:r>
        <w:t xml:space="preserve">.</w:t>
      </w:r>
      <w:r>
        <w:t xml:space="preserve"> </w:t>
      </w:r>
      <w:r>
        <w:rPr>
          <w:bCs/>
          <w:b/>
        </w:rPr>
        <w:t xml:space="preserve">Kept separate</w:t>
      </w:r>
      <w:r>
        <w:t xml:space="preserve"> </w:t>
      </w:r>
      <w:r>
        <w:t xml:space="preserve">because it is the only service reaching another jurisdiction,</w:t>
      </w:r>
      <w:r>
        <w:t xml:space="preserve"> </w:t>
      </w:r>
      <w:r>
        <w:t xml:space="preserve">and putting that code inside the service everything depends on widens the blast radius of a mistake.</w:t>
      </w:r>
    </w:p>
    <w:p>
      <w:pPr>
        <w:pStyle w:val="BodyText"/>
      </w:pPr>
      <w:r>
        <w:rPr>
          <w:bCs/>
          <w:b/>
        </w:rPr>
        <w:t xml:space="preserve">Ledger into Order</w:t>
      </w:r>
      <w:r>
        <w:t xml:space="preserve"> </w:t>
      </w:r>
      <w:r>
        <w:t xml:space="preserve">— kept separate. Append-only versus mutable is a different discipline.</w:t>
      </w:r>
    </w:p>
    <w:p>
      <w:pPr>
        <w:pStyle w:val="BodyText"/>
      </w:pPr>
      <w:r>
        <w:rPr>
          <w:bCs/>
          <w:b/>
        </w:rPr>
        <w:t xml:space="preserve">Retail into Inventory</w:t>
      </w:r>
      <w:r>
        <w:t xml:space="preserve"> </w:t>
      </w:r>
      <w:r>
        <w:t xml:space="preserve">— kept separate. Licensed separately; a venue running ticketing with no</w:t>
      </w:r>
      <w:r>
        <w:t xml:space="preserve"> </w:t>
      </w:r>
      <w:r>
        <w:t xml:space="preserve">shop should not deploy retail.</w:t>
      </w:r>
    </w:p>
    <w:p>
      <w:pPr>
        <w:pStyle w:val="BodyText"/>
      </w:pPr>
      <w:r>
        <w:rPr>
          <w:rStyle w:val="VerbatimChar"/>
          <w:bCs/>
          <w:b/>
        </w:rPr>
        <w:t xml:space="preserve">control</w:t>
      </w:r>
      <w:r>
        <w:rPr>
          <w:bCs/>
          <w:b/>
        </w:rPr>
        <w:t xml:space="preserve"> </w:t>
      </w:r>
      <w:r>
        <w:rPr>
          <w:bCs/>
          <w:b/>
        </w:rPr>
        <w:t xml:space="preserve">is worth splitting rather than merging.</w:t>
      </w:r>
      <w:r>
        <w:t xml:space="preserve"> </w:t>
      </w:r>
      <w:r>
        <w:t xml:space="preserve">41 tables and three writing contracts — the</w:t>
      </w:r>
      <w:r>
        <w:t xml:space="preserve"> </w:t>
      </w:r>
      <w:r>
        <w:t xml:space="preserve">largest schema in the package.</w:t>
      </w:r>
      <w:r>
        <w:t xml:space="preserve"> </w:t>
      </w:r>
      <w:r>
        <w:rPr>
          <w:bCs/>
          <w:b/>
        </w:rPr>
        <w:t xml:space="preserve">Developer accounts have a different audience and cadence</w:t>
      </w:r>
      <w:r>
        <w:t xml:space="preserve">, and</w:t>
      </w:r>
      <w:r>
        <w:t xml:space="preserve"> </w:t>
      </w:r>
      <w:r>
        <w:t xml:space="preserve">P14 is the only platform that touches them.</w:t>
      </w:r>
    </w:p>
    <w:bookmarkEnd w:id="46"/>
    <w:bookmarkStart w:id="47" w:name="limitations"/>
    <w:p>
      <w:pPr>
        <w:pStyle w:val="Heading2"/>
      </w:pPr>
      <w:r>
        <w:t xml:space="preserve">7. Limitations</w:t>
      </w:r>
    </w:p>
    <w:p>
      <w:pPr>
        <w:pStyle w:val="FirstParagraph"/>
      </w:pPr>
      <w:r>
        <w:rPr>
          <w:bCs/>
          <w:b/>
        </w:rPr>
        <w:t xml:space="preserve">Build is 0%.</w:t>
      </w:r>
      <w:r>
        <w:t xml:space="preserve"> </w:t>
      </w:r>
      <w:r>
        <w:t xml:space="preserve">379 tables specified, none written.</w:t>
      </w:r>
      <w:r>
        <w:t xml:space="preserve"> </w:t>
      </w:r>
      <w:r>
        <w:rPr>
          <w:bCs/>
          <w:b/>
        </w:rPr>
        <w:t xml:space="preserve">The first month of production traffic will</w:t>
      </w:r>
      <w:r>
        <w:rPr>
          <w:bCs/>
          <w:b/>
        </w:rPr>
        <w:t xml:space="preserve"> </w:t>
      </w:r>
      <w:r>
        <w:rPr>
          <w:bCs/>
          <w:b/>
        </w:rPr>
        <w:t xml:space="preserve">move at least one boundary</w:t>
      </w:r>
      <w:r>
        <w:t xml:space="preserve"> </w:t>
      </w:r>
      <w:r>
        <w:t xml:space="preserve">— most likely Marketing, which is 93 operations with two clearly</w:t>
      </w:r>
      <w:r>
        <w:t xml:space="preserve"> </w:t>
      </w:r>
      <w:r>
        <w:t xml:space="preserve">different write patterns.</w:t>
      </w:r>
    </w:p>
    <w:p>
      <w:pPr>
        <w:pStyle w:val="BodyText"/>
      </w:pPr>
      <w:r>
        <w:rPr>
          <w:bCs/>
          <w:b/>
        </w:rPr>
        <w:t xml:space="preserve">The cloud provider is undecided (CF-64).</w:t>
      </w:r>
      <w:r>
        <w:t xml:space="preserve"> </w:t>
      </w:r>
      <w:r>
        <w:t xml:space="preserve">Everything above is provider-neutral; nothing below it</w:t>
      </w:r>
      <w:r>
        <w:t xml:space="preserve"> </w:t>
      </w:r>
      <w:r>
        <w:t xml:space="preserve">can be.</w:t>
      </w:r>
    </w:p>
    <w:p>
      <w:pPr>
        <w:pStyle w:val="BodyText"/>
      </w:pPr>
      <w:r>
        <w:rPr>
          <w:bCs/>
          <w:b/>
        </w:rPr>
        <w:t xml:space="preserve">Flow coverage is 53%</w:t>
      </w:r>
      <w:r>
        <w:t xml:space="preserve"> </w:t>
      </w:r>
      <w:r>
        <w:t xml:space="preserve">across 93 flows, up from 21% on the same day.</w:t>
      </w:r>
      <w:r>
        <w:t xml:space="preserve"> </w:t>
      </w:r>
      <w:r>
        <w:rPr>
          <w:bCs/>
          <w:b/>
        </w:rPr>
        <w:t xml:space="preserve">Coverage is uneven and the</w:t>
      </w:r>
      <w:r>
        <w:rPr>
          <w:bCs/>
          <w:b/>
        </w:rPr>
        <w:t xml:space="preserve"> </w:t>
      </w:r>
      <w:r>
        <w:rPr>
          <w:bCs/>
          <w:b/>
        </w:rPr>
        <w:t xml:space="preserve">spread is the useful number</w:t>
      </w:r>
      <w:r>
        <w:t xml:space="preserve">:</w:t>
      </w:r>
      <w:r>
        <w:t xml:space="preserve"> </w:t>
      </w:r>
      <w:r>
        <w:rPr>
          <w:rStyle w:val="VerbatimChar"/>
        </w:rPr>
        <w:t xml:space="preserve">InventoryService</w:t>
      </w:r>
      <w:r>
        <w:t xml:space="preserve"> </w:t>
      </w:r>
      <w:r>
        <w:t xml:space="preserve">at 96%,</w:t>
      </w:r>
      <w:r>
        <w:t xml:space="preserve"> </w:t>
      </w:r>
      <w:r>
        <w:rPr>
          <w:rStyle w:val="VerbatimChar"/>
        </w:rPr>
        <w:t xml:space="preserve">CrossCellService</w:t>
      </w:r>
      <w:r>
        <w:t xml:space="preserve"> </w:t>
      </w:r>
      <w:r>
        <w:t xml:space="preserve">at 31%.</w:t>
      </w:r>
    </w:p>
    <w:bookmarkEnd w:id="47"/>
    <w:bookmarkStart w:id="48" w:name="accompanying-material"/>
    <w:p>
      <w:pPr>
        <w:pStyle w:val="Heading2"/>
      </w:pPr>
      <w:r>
        <w:t xml:space="preserve">8. Accompanying material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600"/>
        <w:gridCol w:w="4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Artefact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TICVAI_Services_and_Data_Segregation.xlsx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 sheets: services with coverage, schema segregation, cross-service writes, deploy order, hierarchy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docs/adr/0028-service-decomposition.md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decision, its alternatives, its provenance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docs/adr/0011-hierarchy-is-binding.md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seven organisational levels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docs/adr/0018-configuration-scope.md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 rules and the outlet 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handoff/service-sections.json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Sixteen viewer sections with operations, tables, screens, flows, 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docs/active/flow-coverage-plan.md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three passes and where the ceiling is</w:t>
            </w:r>
          </w:p>
        </w:tc>
      </w:tr>
    </w:tbl>
    <w:bookmarkEnd w:id="48"/>
    <w:bookmarkEnd w:id="49"/>
    <w:sectPr>
      <w:headerReference r:id="rId9" w:type="default"/>
      <w:footerReference r:id="rId10" w:type="default"/>
      <w:pgSz w:h="15840" w:orient="portrait" w:w="12240"/>
      <w:pgMar w:bottom="1080" w:footer="708" w:gutter="0" w:header="708" w:left="1080" w:right="1080" w:top="108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6E56" w:sz="6" w:space="1"/>
      </w:pBdr>
      <w:jc w:val="center"/>
    </w:pPr>
    <w:r>
      <w:rPr>
        <w:rFonts w:ascii="Arial" w:cs="Arial" w:eastAsia="Arial" w:hAnsi="Arial"/>
        <w:color w:val="444444"/>
        <w:sz w:val="18"/>
        <w:szCs w:val="18"/>
      </w:rPr>
      <w:t xml:space="preserve">Softlabs  |  Confidential  |  Page </w:t>
    </w:r>
    <w:r>
      <w:rPr>
        <w:rFonts w:ascii="Arial" w:cs="Arial" w:eastAsia="Arial" w:hAnsi="Arial"/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E56" w:sz="6" w:space="1"/>
      </w:pBdr>
      <w:tabs>
        <w:tab w:val="right" w:pos="9026"/>
      </w:tabs>
    </w:pPr>
    <w:r>
      <w:rPr>
        <w:rFonts w:ascii="Arial" w:cs="Arial" w:eastAsia="Arial" w:hAnsi="Arial"/>
        <w:color w:val="444444"/>
        <w:sz w:val="18"/>
        <w:szCs w:val="18"/>
      </w:rPr>
      <w:t xml:space="preserve">TICVAI Platform — Design Package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444444"/>
        <w:sz w:val="18"/>
        <w:szCs w:val="18"/>
      </w:rPr>
      <w:t xml:space="preserve">Softlabs  | 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360" w:left="72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>
      <w:pPr>
        <w:spacing w:after="120" w:line="264" w:lineRule="auto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B2A4A"/>
      <w:sz w:val="40"/>
      <w:szCs w:val="40"/>
    </w:rPr>
  </w:style>
  <w:style w:styleId="Heading2" w:type="paragraph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B2A4A"/>
      <w:sz w:val="30"/>
      <w:szCs w:val="30"/>
    </w:rPr>
  </w:style>
  <w:style w:styleId="Heading3" w:type="paragraph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0F6E56"/>
      <w:sz w:val="26"/>
      <w:szCs w:val="26"/>
    </w:rPr>
  </w:style>
  <w:style w:default="1" w:styleId="Table" w:type="table">
    <w:name w:val="Table"/>
    <w:basedOn w:val="TableNormal"/>
    <w:qFormat/>
    <w:tblPr>
      <w:tblInd w:type="dxa" w:w="0"/>
      <w:tblBorders>
        <w:top w:color="D8DEE8" w:sz="4" w:val="single"/>
        <w:bottom w:color="D8DEE8" w:sz="4" w:val="single"/>
        <w:insideH w:color="E8ECF3" w:sz="2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color w:val="FFFFFF"/>
        <w:sz w:val="19"/>
      </w:rPr>
      <w:tcPr>
        <w:shd w:color="auto" w:fill="1B2A4A" w:val="clear"/>
        <w:vAlign w:val="center"/>
        <w:tcBorders>
          <w:bottom w:color="1B2A4A" w:sz="8" w:val="single"/>
        </w:tcBorders>
      </w:tcPr>
    </w:tblStylePr>
    <w:tblStylePr w:type="band2Horz">
      <w:tcPr>
        <w:shd w:color="auto" w:fill="F4F7FB" w:val="clear"/>
      </w:tcPr>
    </w:tblStylePr>
    <w:tblStylePr w:type="firstCol">
      <w:rPr>
        <w:b/>
      </w:rPr>
    </w:tblStylePr>
  </w:style>
  <w:style w:customStyle="1" w:styleId="TableCaption" w:type="paragraph">
    <w:name w:val="Table Caption"/>
    <w:basedOn w:val="Caption"/>
    <w:pPr>
      <w:keepNext/>
    </w:pPr>
  </w:style>
  <w:style w:customStyle="1" w:styleId="Compact" w:type="paragraph">
    <w:name w:val="Compact"/>
    <w:basedOn w:val="BodyText"/>
    <w:qFormat/>
    <w:pPr>
      <w:spacing w:after="36" w:before="36"/>
    </w:p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styleId="BodyText" w:type="paragraph">
    <w:name w:val="Body Text"/>
    <w:basedOn w:val="Normal"/>
    <w:link w:val="BodyTextChar"/>
    <w:pPr>
      <w:spacing w:after="120" w:before="0" w:line="264" w:lineRule="auto"/>
    </w:pPr>
    <w:qFormat/>
  </w:style>
  <w:style w:customStyle="1" w:styleId="FirstParagraph" w:type="paragraph">
    <w:name w:val="First Paragraph"/>
    <w:basedOn w:val="BodyText"/>
    <w:next w:val="BodyText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9" Target="media/rId29.png" /><Relationship Type="http://schemas.openxmlformats.org/officeDocument/2006/relationships/image" Id="rId22" Target="media/rId22.png" /><Relationship Type="http://schemas.openxmlformats.org/officeDocument/2006/relationships/image" Id="rId37" Target="media/rId37.png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TICVAI — Hierarchy, Data Segregation and Services</dc:title>
  <dc:creator/>
  <cp:keywords/>
  <dcterms:created xsi:type="dcterms:W3CDTF">2026-08-24T18:00:13Z</dcterms:created>
  <dcterms:modified xsi:type="dcterms:W3CDTF">2026-08-24T18:00:13Z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">
    <vt:lpwstr>True</vt:lpwstr>
  </property>
</Properties>
</file>