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66.png" ContentType="image/png"/>
  <Override PartName="/word/media/rId54.png" ContentType="image/png"/>
  <Override PartName="/word/media/rId33.png" ContentType="image/png"/>
  <Override PartName="/word/media/rId62.png" ContentType="image/png"/>
  <Override PartName="/word/media/rId39.png" ContentType="image/png"/>
  <Override PartName="/word/media/rId46.png" ContentType="image/png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Deployment Architecture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Technical — four configurations, costed and configured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Xfb5c45a63f123d7f2d65c0dff4d50babf0935af"/>
    <w:p>
      <w:pPr>
        <w:pStyle w:val="Heading1"/>
      </w:pPr>
      <w:r>
        <w:t xml:space="preserve">Deployment architecture — four configurations, costed on AWS and GCP</w:t>
      </w:r>
    </w:p>
    <w:p>
      <w:pPr>
        <w:pStyle w:val="FirstParagraph"/>
      </w:pPr>
      <w:r>
        <w:rPr>
          <w:bCs/>
          <w:b/>
        </w:rPr>
        <w:t xml:space="preserve">31 August 2026. CF-162.</w:t>
      </w:r>
    </w:p>
    <w:p>
      <w:pPr>
        <w:pStyle w:val="BodyText"/>
      </w:pPr>
      <w:r>
        <w:rPr>
          <w:bCs/>
          <w:b/>
        </w:rPr>
        <w:t xml:space="preserve">A commercial summary of this document exists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docs/active/deployment-summary-commercial.md</w:t>
      </w:r>
      <w:r>
        <w:t xml:space="preserve"> </w:t>
      </w:r>
      <w:r>
        <w:t xml:space="preserve">— same conclusions, no vCPU counts.</w:t>
      </w:r>
    </w:p>
    <w:p>
      <w:pPr>
        <w:pStyle w:val="BodyText"/>
      </w:pPr>
      <w:r>
        <w:rPr>
          <w:bCs/>
          <w:b/>
        </w:rPr>
        <w:t xml:space="preserve">Runnable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</w:t>
      </w:r>
      <w:r>
        <w:rPr>
          <w:bCs/>
          <w:b/>
        </w:rPr>
        <w:t xml:space="preserve">. All four use the same images, the same schema and the same limits — only</w:t>
      </w:r>
      <w:r>
        <w:rPr>
          <w:bCs/>
          <w:b/>
        </w:rPr>
        <w:t xml:space="preserve"> </w:t>
      </w:r>
      <w:r>
        <w:rPr>
          <w:bCs/>
          <w:b/>
        </w:rPr>
        <w:t xml:space="preserve">placement changes.</w:t>
      </w:r>
    </w:p>
    <w:bookmarkStart w:id="21" w:name="part-1-what-a-cell-is"/>
    <w:p>
      <w:pPr>
        <w:pStyle w:val="Heading2"/>
      </w:pPr>
      <w:r>
        <w:t xml:space="preserve">Part 1 · What a cell is</w:t>
      </w:r>
    </w:p>
    <w:p>
      <w:pPr>
        <w:pStyle w:val="FirstParagraph"/>
      </w:pPr>
      <w:r>
        <w:rPr>
          <w:bCs/>
          <w:b/>
        </w:rPr>
        <w:t xml:space="preserve">A cell is a deployment and a legal boundary at once</w:t>
      </w:r>
      <w:r>
        <w:t xml:space="preserve"> </w:t>
      </w:r>
      <w:r>
        <w:t xml:space="preserve">(ADR-0001).</w:t>
      </w:r>
      <w:r>
        <w:t xml:space="preserve"> </w:t>
      </w:r>
      <w:r>
        <w:rPr>
          <w:rStyle w:val="VerbatimChar"/>
        </w:rPr>
        <w:t xml:space="preserve">control.cell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because a cell sits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one region and holds one</w:t>
      </w:r>
      <w:r>
        <w:t xml:space="preserve"> </w:t>
      </w:r>
      <w:r>
        <w:t xml:space="preserve">tenant or many.</w:t>
      </w:r>
    </w:p>
    <w:p>
      <w:pPr>
        <w:pStyle w:val="BodyText"/>
      </w:pPr>
      <w:r>
        <w:rPr>
          <w:rStyle w:val="VerbatimChar"/>
          <w:bCs/>
          <w:b/>
        </w:rPr>
        <w:t xml:space="preserve">CellKind</w:t>
      </w:r>
      <w:r>
        <w:rPr>
          <w:bCs/>
          <w:b/>
        </w:rPr>
        <w:t xml:space="preserve"> </w:t>
      </w:r>
      <w:r>
        <w:rPr>
          <w:bCs/>
          <w:b/>
        </w:rPr>
        <w:t xml:space="preserve">already exists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shared · dedicated · onPremise · controlPlane</w:t>
      </w:r>
      <w:r>
        <w:t xml:space="preserve"> </w:t>
      </w:r>
      <w:r>
        <w:t xml:space="preserve">(ADR-0017) — and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is documented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null on a shared cell, which holds many; nullable since the ADR-0014</w:t>
      </w:r>
      <w:r>
        <w:rPr>
          <w:iCs/>
          <w:i/>
        </w:rPr>
        <w:t xml:space="preserve"> </w:t>
      </w:r>
      <w:r>
        <w:rPr>
          <w:iCs/>
          <w:i/>
        </w:rPr>
        <w:t xml:space="preserve">amendment, it was required when a cell meant one tenant.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So three of the four configurations below already have a name in the package.</w:t>
      </w:r>
      <w:r>
        <w:t xml:space="preserve"> </w:t>
      </w:r>
      <w:r>
        <w:t xml:space="preserve">The fourth, a cell</w:t>
      </w:r>
      <w:r>
        <w:t xml:space="preserve"> </w:t>
      </w:r>
      <w:r>
        <w:t xml:space="preserve">per venue, does not — and that is where the interesting question sits.</w:t>
      </w:r>
    </w:p>
    <w:bookmarkStart w:id="20" w:name="the-rule-the-whole-document-rests-on"/>
    <w:p>
      <w:pPr>
        <w:pStyle w:val="Heading3"/>
      </w:pPr>
      <w:r>
        <w:t xml:space="preserve">The rule the whole document rests on</w:t>
      </w:r>
    </w:p>
    <w:p>
      <w:pPr>
        <w:pStyle w:val="FirstParagraph"/>
      </w:pPr>
      <w:r>
        <w:rPr>
          <w:bCs/>
          <w:b/>
        </w:rPr>
        <w:t xml:space="preserve">A service is shared and horizontally scaled when its load is a function of requests. It is scoped</w:t>
      </w:r>
      <w:r>
        <w:rPr>
          <w:bCs/>
          <w:b/>
        </w:rPr>
        <w:t xml:space="preserve"> </w:t>
      </w:r>
      <w:r>
        <w:rPr>
          <w:bCs/>
          <w:b/>
        </w:rPr>
        <w:t xml:space="preserve">when its load is a function of how many of something exist. It sits at the region when the law</w:t>
      </w:r>
      <w:r>
        <w:rPr>
          <w:bCs/>
          <w:b/>
        </w:rPr>
        <w:t xml:space="preserve"> </w:t>
      </w:r>
      <w:r>
        <w:rPr>
          <w:bCs/>
          <w:b/>
        </w:rPr>
        <w:t xml:space="preserve">does.</w:t>
      </w:r>
    </w:p>
    <w:p>
      <w:pPr>
        <w:pStyle w:val="BodyText"/>
      </w:pPr>
      <w:r>
        <w:t xml:space="preserve">Derived from the contracts rather than assumed:</w:t>
      </w:r>
      <w:r>
        <w:t xml:space="preserve"> </w:t>
      </w:r>
      <w:r>
        <w:rPr>
          <w:bCs/>
          <w:b/>
        </w:rPr>
        <w:t xml:space="preserve">every one of the 1,025 operations declares the</w:t>
      </w:r>
      <w:r>
        <w:rPr>
          <w:bCs/>
          <w:b/>
        </w:rPr>
        <w:t xml:space="preserve"> </w:t>
      </w:r>
      <w:r>
        <w:rPr>
          <w:bCs/>
          <w:b/>
        </w:rPr>
        <w:t xml:space="preserve">scope it resolves at</w:t>
      </w:r>
      <w:r>
        <w:t xml:space="preserve">, and the distribution is</w:t>
      </w:r>
    </w:p>
    <w:p>
      <w:pPr>
        <w:pStyle w:val="BodyText"/>
      </w:pPr>
      <w:r>
        <w:rPr>
          <w:bCs/>
          <w:b/>
        </w:rPr>
        <w:t xml:space="preserve">venue 682 (67%) · tenant 247 (24%) · region 48 (5%) · workstation 45 (4%)</w:t>
      </w:r>
    </w:p>
    <w:bookmarkEnd w:id="20"/>
    <w:bookmarkEnd w:id="21"/>
    <w:bookmarkStart w:id="26" w:name="X356c04d29d51a3718438af3a5830596e2dca886"/>
    <w:p>
      <w:pPr>
        <w:pStyle w:val="Heading2"/>
      </w:pPr>
      <w:r>
        <w:t xml:space="preserve">Part 2 · Real venues, and what they actually cost in requests</w:t>
      </w:r>
    </w:p>
    <w:p>
      <w:pPr>
        <w:pStyle w:val="FirstParagraph"/>
      </w:pPr>
      <w:r>
        <w:rPr>
          <w:bCs/>
          <w:b/>
        </w:rPr>
        <w:t xml:space="preserve">The client gave the bracket on 31 July.</w:t>
      </w:r>
      <w:r>
        <w:t xml:space="preserve"> </w:t>
      </w:r>
      <w:r>
        <w:t xml:space="preserve">Qossai contrasted two extremes:</w:t>
      </w:r>
      <w:r>
        <w:t xml:space="preserve"> </w:t>
      </w:r>
      <w:r>
        <w:rPr>
          <w:bCs/>
          <w:b/>
        </w:rPr>
        <w:t xml:space="preserve">a stadium such as Real</w:t>
      </w:r>
      <w:r>
        <w:rPr>
          <w:bCs/>
          <w:b/>
        </w:rPr>
        <w:t xml:space="preserve"> </w:t>
      </w:r>
      <w:r>
        <w:rPr>
          <w:bCs/>
          <w:b/>
        </w:rPr>
        <w:t xml:space="preserve">Madrid’s, roughly 60,000 seats, selling out within a few hours</w:t>
      </w:r>
      <w:r>
        <w:t xml:space="preserve"> </w:t>
      </w:r>
      <w:r>
        <w:t xml:space="preserve">of tickets going live — against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water park or museum seeing a maximum of around 2,000 visitors a day, roughly five people a</w:t>
      </w:r>
      <w:r>
        <w:rPr>
          <w:bCs/>
          <w:b/>
        </w:rPr>
        <w:t xml:space="preserve"> </w:t>
      </w:r>
      <w:r>
        <w:rPr>
          <w:bCs/>
          <w:b/>
        </w:rPr>
        <w:t xml:space="preserve">minute.</w:t>
      </w:r>
    </w:p>
    <w:p>
      <w:pPr>
        <w:pStyle w:val="BodyText"/>
      </w:pPr>
      <w:r>
        <w:rPr>
          <w:bCs/>
          <w:b/>
        </w:rPr>
        <w:t xml:space="preserve">Dinesh summarised it back as an auto-scaling requirement and Qossai confirmed it.</w:t>
      </w:r>
      <w:r>
        <w:t xml:space="preserve"> </w:t>
      </w:r>
      <w:r>
        <w:t xml:space="preserve">The numbers</w:t>
      </w:r>
      <w:r>
        <w:t xml:space="preserve"> </w:t>
      </w:r>
      <w:r>
        <w:t xml:space="preserve">below are that conversation turned into arithmetic.</w:t>
      </w:r>
    </w:p>
    <w:bookmarkStart w:id="22" w:name="what-a-guest-costs"/>
    <w:p>
      <w:pPr>
        <w:pStyle w:val="Heading3"/>
      </w:pPr>
      <w:r>
        <w:t xml:space="preserve">What a guest costs</w:t>
      </w:r>
    </w:p>
    <w:p>
      <w:pPr>
        <w:pStyle w:val="FirstParagraph"/>
      </w:pPr>
      <w:r>
        <w:rPr>
          <w:bCs/>
          <w:b/>
        </w:rPr>
        <w:t xml:space="preserve">From the flows already walked</w:t>
      </w:r>
      <w:r>
        <w:t xml:space="preserve">: F58, a ticket sold at a till and added to, is 21 operations. F59,</w:t>
      </w:r>
      <w:r>
        <w:t xml:space="preserve"> </w:t>
      </w:r>
      <w:r>
        <w:t xml:space="preserve">a seat picked and held, is 7. F61, a gate opening and admitting a group, is 12.</w:t>
      </w:r>
    </w:p>
    <w:p>
      <w:pPr>
        <w:pStyle w:val="BodyText"/>
      </w:pPr>
      <w:r>
        <w:rPr>
          <w:bCs/>
          <w:b/>
        </w:rPr>
        <w:t xml:space="preserve">A buying guest costs about 22 requests</w:t>
      </w:r>
      <w:r>
        <w:t xml:space="preserve"> </w:t>
      </w:r>
      <w:r>
        <w:t xml:space="preserve">— discovery, selection, checkout.</w:t>
      </w:r>
      <w:r>
        <w:t xml:space="preserve"> </w:t>
      </w:r>
      <w:r>
        <w:rPr>
          <w:bCs/>
          <w:b/>
        </w:rPr>
        <w:t xml:space="preserve">A visiting guest costs</w:t>
      </w:r>
      <w:r>
        <w:rPr>
          <w:bCs/>
          <w:b/>
        </w:rPr>
        <w:t xml:space="preserve"> </w:t>
      </w:r>
      <w:r>
        <w:rPr>
          <w:bCs/>
          <w:b/>
        </w:rPr>
        <w:t xml:space="preserve">about 14</w:t>
      </w:r>
      <w:r>
        <w:t xml:space="preserve"> </w:t>
      </w:r>
      <w:r>
        <w:t xml:space="preserve">— admission and in-venue spend.</w:t>
      </w:r>
    </w:p>
    <w:bookmarkEnd w:id="22"/>
    <w:bookmarkStart w:id="23" w:name="the-three-tiers"/>
    <w:p>
      <w:pPr>
        <w:pStyle w:val="Heading3"/>
      </w:pPr>
      <w:r>
        <w:t xml:space="preserve">The three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5"/>
        <w:gridCol w:w="1745"/>
        <w:gridCol w:w="805"/>
        <w:gridCol w:w="536"/>
        <w:gridCol w:w="939"/>
        <w:gridCol w:w="805"/>
        <w:gridCol w:w="671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Museum, water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across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park, concert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482,850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3h before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Stadium sell-out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2,094,000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 sale window</w:t>
            </w:r>
          </w:p>
        </w:tc>
      </w:tr>
    </w:tbl>
    <w:p>
      <w:pPr>
        <w:pStyle w:val="BodyText"/>
      </w:pPr>
      <w:r>
        <w:rPr>
          <w:bCs/>
          <w:b/>
        </w:rPr>
        <w:t xml:space="preserve">18,500 is the client’s own figure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TICVAI knows that 18,500 guests are attending Saturday’s</w:t>
      </w:r>
      <w:r>
        <w:rPr>
          <w:iCs/>
          <w:i/>
        </w:rPr>
        <w:t xml:space="preserve"> </w:t>
      </w:r>
      <w:r>
        <w:rPr>
          <w:iCs/>
          <w:i/>
        </w:rPr>
        <w:t xml:space="preserve">concert, 2,100 are VIP ticket holders.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1,200 is a corporate gala in the Grand Hall.</w:t>
      </w:r>
      <w:r>
        <w:t xml:space="preserve"> </w:t>
      </w:r>
      <w:r>
        <w:t xml:space="preserve">Neither is</w:t>
      </w:r>
      <w:r>
        <w:t xml:space="preserve"> </w:t>
      </w:r>
      <w:r>
        <w:t xml:space="preserve">invented.</w:t>
      </w:r>
    </w:p>
    <w:bookmarkEnd w:id="23"/>
    <w:bookmarkStart w:id="24" w:name="two-things-this-changes"/>
    <w:p>
      <w:pPr>
        <w:pStyle w:val="Heading3"/>
      </w:pPr>
      <w:r>
        <w:t xml:space="preserve">🔴 Two things this changes</w:t>
      </w:r>
    </w:p>
    <w:p>
      <w:pPr>
        <w:pStyle w:val="FirstParagraph"/>
      </w:pPr>
      <w:r>
        <w:rPr>
          <w:bCs/>
          <w:b/>
        </w:rPr>
        <w:t xml:space="preserve">The brief’s ceiling of 250,000 requests a day is below one medium venue.</w:t>
      </w:r>
      <w:r>
        <w:t xml:space="preserve"> </w:t>
      </w:r>
      <w:r>
        <w:t xml:space="preserve">A theme park on a</w:t>
      </w:r>
      <w:r>
        <w:t xml:space="preserve"> </w:t>
      </w:r>
      <w:r>
        <w:t xml:space="preserve">concert day is 482,850, and a stadium sell-out is 2.09 million.</w:t>
      </w:r>
      <w:r>
        <w:t xml:space="preserve"> </w:t>
      </w:r>
      <w:r>
        <w:rPr>
          <w:bCs/>
          <w:b/>
        </w:rPr>
        <w:t xml:space="preserve">The daily-volume axis in the</w:t>
      </w:r>
      <w:r>
        <w:rPr>
          <w:bCs/>
          <w:b/>
        </w:rPr>
        <w:t xml:space="preserve"> </w:t>
      </w:r>
      <w:r>
        <w:rPr>
          <w:bCs/>
          <w:b/>
        </w:rPr>
        <w:t xml:space="preserve">original brief was sized for a small venue and read as a platform ceiling.</w:t>
      </w:r>
    </w:p>
    <w:p>
      <w:pPr>
        <w:pStyle w:val="BodyText"/>
      </w:pPr>
      <w:r>
        <w:rPr>
          <w:bCs/>
          <w:b/>
        </w:rPr>
        <w:t xml:space="preserve">And the peak depends entirely on how compressed the sale is.</w:t>
      </w:r>
      <w:r>
        <w:t xml:space="preserve"> </w:t>
      </w:r>
      <w:r>
        <w:t xml:space="preserve">60,000 seats over a two-hour window</w:t>
      </w:r>
      <w:r>
        <w:t xml:space="preserve"> </w:t>
      </w:r>
      <w:r>
        <w:t xml:space="preserve">is 1,045 RPS at a six-times burst.</w:t>
      </w:r>
      <w:r>
        <w:t xml:space="preserve"> </w:t>
      </w:r>
      <w:r>
        <w:rPr>
          <w:bCs/>
          <w:b/>
        </w:rPr>
        <w:t xml:space="preserve">Compressed into twenty minutes — which is 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sold out in</w:t>
      </w:r>
      <w:r>
        <w:rPr>
          <w:bCs/>
          <w:b/>
        </w:rPr>
        <w:t xml:space="preserve"> </w:t>
      </w:r>
      <w:r>
        <w:rPr>
          <w:bCs/>
          <w:b/>
        </w:rPr>
        <w:t xml:space="preserve">minutes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— it is 6,270 RPS</w:t>
      </w:r>
      <w:r>
        <w:t xml:space="preserve">, above the 5,000 target and matching the Bahrain shape exactly.</w:t>
      </w:r>
    </w:p>
    <w:p>
      <w:pPr>
        <w:pStyle w:val="BodyText"/>
      </w:pPr>
      <w:r>
        <w:rPr>
          <w:bCs/>
          <w:b/>
        </w:rPr>
        <w:t xml:space="preserve">So the 5,000 RPS figure is not a safety margin. It is roughly one stadium selling out fast</w:t>
      </w:r>
      <w:r>
        <w:t xml:space="preserve">, and</w:t>
      </w:r>
      <w:r>
        <w:t xml:space="preserve"> </w:t>
      </w:r>
      <w:r>
        <w:t xml:space="preserve">a second concurrent sale exceeds it.</w:t>
      </w:r>
    </w:p>
    <w:bookmarkEnd w:id="24"/>
    <w:bookmarkStart w:id="25" w:name="the-steady-state-still-sizes-nothing"/>
    <w:p>
      <w:pPr>
        <w:pStyle w:val="Heading3"/>
      </w:pPr>
      <w:r>
        <w:t xml:space="preserve">The steady state still sizes nothing</w:t>
      </w:r>
    </w:p>
    <w:p>
      <w:pPr>
        <w:pStyle w:val="FirstParagraph"/>
      </w:pPr>
      <w:r>
        <w:rPr>
          <w:bCs/>
          <w:b/>
        </w:rPr>
        <w:t xml:space="preserve">Even at the large tier, steady state is 48.5 RPS.</w:t>
      </w:r>
      <w:r>
        <w:t xml:space="preserve"> </w:t>
      </w:r>
      <w:r>
        <w:t xml:space="preserve">Every tier spends most of its day between 1</w:t>
      </w:r>
      <w:r>
        <w:t xml:space="preserve"> </w:t>
      </w:r>
      <w:r>
        <w:t xml:space="preserve">and 50 requests per second, and</w:t>
      </w:r>
      <w:r>
        <w:t xml:space="preserve"> </w:t>
      </w:r>
      <w:r>
        <w:rPr>
          <w:bCs/>
          <w:b/>
        </w:rPr>
        <w:t xml:space="preserve">the entire sizing question is the window.</w:t>
      </w:r>
    </w:p>
    <w:bookmarkEnd w:id="25"/>
    <w:bookmarkEnd w:id="26"/>
    <w:bookmarkStart w:id="27" w:name="part-3-the-number-that-sizes-everything"/>
    <w:p>
      <w:pPr>
        <w:pStyle w:val="Heading2"/>
      </w:pPr>
      <w:r>
        <w:t xml:space="preserve">Part 3 · The number that sizes everything</w:t>
      </w:r>
    </w:p>
    <w:p>
      <w:pPr>
        <w:pStyle w:val="FirstParagraph"/>
      </w:pPr>
      <w:r>
        <w:rPr>
          <w:bCs/>
          <w:b/>
        </w:rPr>
        <w:t xml:space="preserve">250,000 requests a day is 2.9 per second. Five thousand per second is 1,700 times that.</w:t>
      </w:r>
    </w:p>
    <w:p>
      <w:pPr>
        <w:pStyle w:val="BodyText"/>
      </w:pPr>
      <w:r>
        <w:rPr>
          <w:bCs/>
          <w:b/>
        </w:rPr>
        <w:t xml:space="preserve">At 5k RPS the entire daily volume arrives in fifty seconds.</w:t>
      </w:r>
    </w:p>
    <w:p>
      <w:pPr>
        <w:pStyle w:val="BodyText"/>
      </w:pPr>
      <w:r>
        <w:t xml:space="preserve">Every scale in the brief — 10k through 250k — sits between 0.1 and 2.9 RPS at steady state.</w:t>
      </w:r>
      <w:r>
        <w:t xml:space="preserve"> </w:t>
      </w:r>
      <w:r>
        <w:rPr>
          <w:bCs/>
          <w:b/>
        </w:rPr>
        <w:t xml:space="preserve">Daily</w:t>
      </w:r>
      <w:r>
        <w:rPr>
          <w:bCs/>
          <w:b/>
        </w:rPr>
        <w:t xml:space="preserve"> </w:t>
      </w:r>
      <w:r>
        <w:rPr>
          <w:bCs/>
          <w:b/>
        </w:rPr>
        <w:t xml:space="preserve">volume sizes nothing here.</w:t>
      </w:r>
      <w:r>
        <w:t xml:space="preserve"> </w:t>
      </w:r>
      <w:r>
        <w:t xml:space="preserve">The burst does, and the burst is not a bigger version of the day.</w:t>
      </w:r>
    </w:p>
    <w:p>
      <w:pPr>
        <w:pStyle w:val="BodyText"/>
      </w:pPr>
      <w:r>
        <w:rPr>
          <w:bCs/>
          <w:b/>
        </w:rPr>
        <w:t xml:space="preserve">A 5k RPS spike is a queue of people buying one thing.</w:t>
      </w:r>
      <w:r>
        <w:t xml:space="preserve"> </w:t>
      </w:r>
      <w:r>
        <w:t xml:space="preserve">It touches</w:t>
      </w:r>
      <w:r>
        <w:t xml:space="preserve"> </w:t>
      </w:r>
      <w:r>
        <w:rPr>
          <w:bCs/>
          <w:b/>
        </w:rPr>
        <w:t xml:space="preserve">eleven operations across two</w:t>
      </w:r>
      <w:r>
        <w:rPr>
          <w:bCs/>
          <w:b/>
        </w:rP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17 tables of 380</w:t>
      </w:r>
      <w:r>
        <w:t xml:space="preserve">. Marketing, Reporting, Inventory, F&amp;B, Retail and Maintenance</w:t>
      </w:r>
      <w:r>
        <w:t xml:space="preserve"> </w:t>
      </w:r>
      <w:r>
        <w:t xml:space="preserve">see no part of it.</w:t>
      </w:r>
    </w:p>
    <w:bookmarkEnd w:id="27"/>
    <w:bookmarkStart w:id="32" w:name="part-4-a-independent-tenant-dedicated"/>
    <w:p>
      <w:pPr>
        <w:pStyle w:val="Heading2"/>
      </w:pPr>
      <w:r>
        <w:t xml:space="preserve">Part 4 · (a) Independent tenant —</w:t>
      </w:r>
      <w:r>
        <w:t xml:space="preserve"> </w:t>
      </w:r>
      <w:r>
        <w:rPr>
          <w:rStyle w:val="VerbatimChar"/>
        </w:rPr>
        <w:t xml:space="preserve">dedicated</w:t>
      </w:r>
    </w:p>
    <w:p>
      <w:pPr>
        <w:pStyle w:val="CaptionedFigure"/>
      </w:pPr>
      <w:r>
        <w:drawing>
          <wp:inline>
            <wp:extent cx="5669280" cy="3366848"/>
            <wp:effectExtent b="0" l="0" r="0" t="0"/>
            <wp:docPr descr="Independent tenant" title="" id="29" name="Picture"/>
            <a:graphic>
              <a:graphicData uri="http://schemas.openxmlformats.org/drawingml/2006/picture">
                <pic:pic>
                  <pic:nvPicPr>
                    <pic:cNvPr descr="/home/claude/ticvai/docs/diagrams/deploy/a-independ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Independent tenant</w:t>
      </w:r>
    </w:p>
    <w:p>
      <w:pPr>
        <w:pStyle w:val="BodyText"/>
      </w:pPr>
      <w:r>
        <w:rPr>
          <w:bCs/>
          <w:b/>
        </w:rPr>
        <w:t xml:space="preserve">One tenant, one database, one of everything. 18 containers.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tenant who requires isolation contractually · one alone in a jurisdiction · one large enough that its own load justifies the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Everybody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t xml:space="preserve">At 2.9 RPS there is nothing to scale on</w:t>
            </w:r>
          </w:p>
        </w:tc>
      </w:tr>
    </w:tbl>
    <w:bookmarkStart w:id="31" w:name="one-correction-to-the-clients-request"/>
    <w:p>
      <w:pPr>
        <w:pStyle w:val="Heading3"/>
      </w:pPr>
      <w:r>
        <w:t xml:space="preserve">🔴 One correction to the client’s request</w:t>
      </w:r>
    </w:p>
    <w:p>
      <w:pPr>
        <w:pStyle w:val="FirstParagraph"/>
      </w:pPr>
      <w:r>
        <w:rPr>
          <w:bCs/>
          <w:b/>
        </w:rPr>
        <w:t xml:space="preserve">A tenant-level cell forces a choice</w:t>
      </w:r>
      <w:r>
        <w:t xml:space="preserve">: either a tenant may never operate in two jurisdictions, or</w:t>
      </w:r>
      <w:r>
        <w:t xml:space="preserve"> </w:t>
      </w:r>
      <w:r>
        <w:t xml:space="preserve">the cell spans them and</w:t>
      </w:r>
      <w:r>
        <w:t xml:space="preserve"> </w:t>
      </w:r>
      <w:r>
        <w:rPr>
          <w:bCs/>
          <w:b/>
        </w:rPr>
        <w:t xml:space="preserve">UAE data residency breaks.</w:t>
      </w:r>
    </w:p>
    <w:p>
      <w:pPr>
        <w:pStyle w:val="BodyText"/>
      </w:pPr>
      <w:r>
        <w:rPr>
          <w:bCs/>
          <w:b/>
        </w:rPr>
        <w:t xml:space="preserve">Offer it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per tenant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per region</w:t>
      </w:r>
      <w:r>
        <w:rPr>
          <w:bCs/>
          <w:b/>
        </w:rPr>
        <w:t xml:space="preserve">.</w:t>
      </w:r>
      <w:r>
        <w:t xml:space="preserve"> </w:t>
      </w:r>
      <w:r>
        <w:t xml:space="preserve">A tenant in UAE and Saudi gets two cells, linked</w:t>
      </w:r>
      <w:r>
        <w:t xml:space="preserve"> </w:t>
      </w:r>
      <w:r>
        <w:t xml:space="preserve">only by a pseudonymous guest reference (ADR-0010).</w:t>
      </w:r>
      <w:r>
        <w:t xml:space="preserve"> </w:t>
      </w:r>
      <w:r>
        <w:rPr>
          <w:bCs/>
          <w:b/>
        </w:rPr>
        <w:t xml:space="preserve">That is how the request survives ADR-0001, and</w:t>
      </w:r>
      <w:r>
        <w:rPr>
          <w:bCs/>
          <w:b/>
        </w:rPr>
        <w:t xml:space="preserve"> </w:t>
      </w:r>
      <w:r>
        <w:rPr>
          <w:bCs/>
          <w:b/>
        </w:rPr>
        <w:t xml:space="preserve">it is the only way it does.</w:t>
      </w:r>
    </w:p>
    <w:bookmarkEnd w:id="31"/>
    <w:bookmarkEnd w:id="32"/>
    <w:bookmarkStart w:id="38" w:name="part-5-b-shared-platform-the-default"/>
    <w:p>
      <w:pPr>
        <w:pStyle w:val="Heading2"/>
      </w:pPr>
      <w:r>
        <w:t xml:space="preserve">Part 5 · (b) Shared platform — the default</w:t>
      </w:r>
    </w:p>
    <w:p>
      <w:pPr>
        <w:pStyle w:val="CaptionedFigure"/>
      </w:pPr>
      <w:r>
        <w:drawing>
          <wp:inline>
            <wp:extent cx="5669280" cy="1888583"/>
            <wp:effectExtent b="0" l="0" r="0" t="0"/>
            <wp:docPr descr="Shared platform" title="" id="34" name="Picture"/>
            <a:graphic>
              <a:graphicData uri="http://schemas.openxmlformats.org/drawingml/2006/picture">
                <pic:pic>
                  <pic:nvPicPr>
                    <pic:cNvPr descr="/home/claude/ticvai/docs/diagrams/deploy/b-shar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8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 platform</w:t>
      </w:r>
    </w:p>
    <w:p>
      <w:pPr>
        <w:pStyle w:val="BodyText"/>
      </w:pPr>
      <w:r>
        <w:rPr>
          <w:bCs/>
          <w:b/>
        </w:rPr>
        <w:t xml:space="preserve">One cell per jurisdiction, holding many tenants. 39 containers before venues.</w:t>
      </w:r>
    </w:p>
    <w:p>
      <w:pPr>
        <w:pStyle w:val="BodyText"/>
      </w:pPr>
      <w:r>
        <w:rPr>
          <w:bCs/>
          <w:b/>
        </w:rPr>
        <w:t xml:space="preserve">Shared and autoscaled on RPS</w:t>
      </w:r>
      <w:r>
        <w:t xml:space="preserve"> </w:t>
      </w:r>
      <w:r>
        <w:t xml:space="preserve">— Catalogue 4–20, Order 4–16, Identity 3–8, Access 2–6.</w:t>
      </w:r>
    </w:p>
    <w:p>
      <w:pPr>
        <w:pStyle w:val="BodyText"/>
      </w:pPr>
      <w:r>
        <w:rPr>
          <w:bCs/>
          <w:b/>
        </w:rPr>
        <w:t xml:space="preserve">At the venue, same cell</w:t>
      </w:r>
      <w:r>
        <w:t xml:space="preserve"> </w:t>
      </w:r>
      <w:r>
        <w:t xml:space="preserve">— F&amp;B, Inventory, Retail, VenueOps.</w:t>
      </w:r>
      <w:r>
        <w:t xml:space="preserve"> </w:t>
      </w:r>
      <w:r>
        <w:rPr>
          <w:bCs/>
          <w:b/>
        </w:rPr>
        <w:t xml:space="preserve">123 of their operations work</w:t>
      </w:r>
      <w:r>
        <w:rPr>
          <w:bCs/>
          <w:b/>
        </w:rPr>
        <w:t xml:space="preserve"> </w:t>
      </w:r>
      <w:r>
        <w:rPr>
          <w:bCs/>
          <w:b/>
        </w:rPr>
        <w:t xml:space="preserve">offline</w:t>
      </w:r>
      <w:r>
        <w:t xml:space="preserve">, and a kitchen runs at the speed of a kitchen: no spike makes food faster.</w:t>
      </w:r>
    </w:p>
    <w:p>
      <w:pPr>
        <w:pStyle w:val="BodyText"/>
      </w:pPr>
      <w:r>
        <w:rPr>
          <w:bCs/>
          <w:b/>
        </w:rPr>
        <w:t xml:space="preserve">At the region</w:t>
      </w:r>
      <w:r>
        <w:t xml:space="preserve"> </w:t>
      </w:r>
      <w:r>
        <w:t xml:space="preserve">— Ledger and CrossRegion. Currency, fiscal year and tax are region properties</w:t>
      </w:r>
      <w:r>
        <w:t xml:space="preserve"> </w:t>
      </w:r>
      <w:r>
        <w:t xml:space="preserve">(ADR-0018).</w:t>
      </w:r>
    </w:p>
    <w:bookmarkStart w:id="36" w:name="pgbouncer-is-not-optional"/>
    <w:p>
      <w:pPr>
        <w:pStyle w:val="Heading3"/>
      </w:pPr>
      <w:r>
        <w:t xml:space="preserve">pgbouncer is not optional</w:t>
      </w:r>
    </w:p>
    <w:p>
      <w:pPr>
        <w:pStyle w:val="FirstParagraph"/>
      </w:pPr>
      <w:r>
        <w:rPr>
          <w:bCs/>
          <w:b/>
        </w:rPr>
        <w:t xml:space="preserve">20 Catalogue replicas at 20 connections each is 400 against a primary that will not want them.</w:t>
      </w:r>
      <w:r>
        <w:t xml:space="preserve"> </w:t>
      </w:r>
      <w:r>
        <w:t xml:space="preserve">Transaction pooling is what makes horizontal scaling of the shared tier possible at all — without</w:t>
      </w:r>
      <w:r>
        <w:t xml:space="preserve"> </w:t>
      </w:r>
      <w:r>
        <w:t xml:space="preserve">it the tier stops scaling around six replicas and</w:t>
      </w:r>
      <w:r>
        <w:t xml:space="preserve"> </w:t>
      </w:r>
      <w:r>
        <w:rPr>
          <w:bCs/>
          <w:b/>
        </w:rPr>
        <w:t xml:space="preserve">the bottleneck looks like the database when it</w:t>
      </w:r>
      <w:r>
        <w:rPr>
          <w:bCs/>
          <w:b/>
        </w:rPr>
        <w:t xml:space="preserve"> </w:t>
      </w:r>
      <w:r>
        <w:rPr>
          <w:bCs/>
          <w:b/>
        </w:rPr>
        <w:t xml:space="preserve">is the pool.</w:t>
      </w:r>
    </w:p>
    <w:bookmarkEnd w:id="36"/>
    <w:bookmarkStart w:id="37" w:name="the-trade-stated-rather-than-assumed"/>
    <w:p>
      <w:pPr>
        <w:pStyle w:val="Heading3"/>
      </w:pPr>
      <w:r>
        <w:t xml:space="preserve">The trade, stated rather than assumed</w:t>
      </w:r>
    </w:p>
    <w:p>
      <w:pPr>
        <w:pStyle w:val="FirstParagraph"/>
      </w:pPr>
      <w:r>
        <w:rPr>
          <w:bCs/>
          <w:b/>
        </w:rPr>
        <w:t xml:space="preserve">Blast radius is the cell — every tenant in it.</w:t>
      </w:r>
      <w:r>
        <w:t xml:space="preserve"> </w:t>
      </w:r>
      <w:r>
        <w:rPr>
          <w:rStyle w:val="VerbatimChar"/>
        </w:rPr>
        <w:t xml:space="preserve">scope_path</w:t>
      </w:r>
      <w:r>
        <w:t xml:space="preserve"> </w:t>
      </w:r>
      <w:r>
        <w:t xml:space="preserve">partitioning is correctness, not</w:t>
      </w:r>
      <w:r>
        <w:t xml:space="preserve"> </w:t>
      </w:r>
      <w:r>
        <w:t xml:space="preserve">isolation:</w:t>
      </w:r>
      <w:r>
        <w:t xml:space="preserve"> </w:t>
      </w:r>
      <w:r>
        <w:rPr>
          <w:bCs/>
          <w:b/>
        </w:rPr>
        <w:t xml:space="preserve">a bug reaches one tenant’s rows; an outage reaches all of them.</w:t>
      </w:r>
    </w:p>
    <w:p>
      <w:pPr>
        <w:pStyle w:val="BodyText"/>
      </w:pPr>
      <w:r>
        <w:rPr>
          <w:bCs/>
          <w:b/>
        </w:rPr>
        <w:t xml:space="preserve">That belongs in a tenant contract</w:t>
      </w:r>
      <w:r>
        <w:t xml:space="preserve">, not in an architecture document nobody reads.</w:t>
      </w:r>
    </w:p>
    <w:bookmarkEnd w:id="37"/>
    <w:bookmarkEnd w:id="38"/>
    <w:bookmarkStart w:id="45" w:name="part-6-c-flash-sale-ephemeral"/>
    <w:p>
      <w:pPr>
        <w:pStyle w:val="Heading2"/>
      </w:pPr>
      <w:r>
        <w:t xml:space="preserve">Part 6 · (c) Flash sale — ephemeral</w:t>
      </w:r>
    </w:p>
    <w:p>
      <w:pPr>
        <w:pStyle w:val="CaptionedFigure"/>
      </w:pPr>
      <w:r>
        <w:drawing>
          <wp:inline>
            <wp:extent cx="5669280" cy="3231152"/>
            <wp:effectExtent b="0" l="0" r="0" t="0"/>
            <wp:docPr descr="Flash sale" title="" id="40" name="Picture"/>
            <a:graphic>
              <a:graphicData uri="http://schemas.openxmlformats.org/drawingml/2006/picture">
                <pic:pic>
                  <pic:nvPicPr>
                    <pic:cNvPr descr="/home/claude/ticvai/docs/diagrams/deploy/c-flas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3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Flash sale</w:t>
      </w:r>
    </w:p>
    <w:p>
      <w:pPr>
        <w:pStyle w:val="BodyText"/>
      </w:pPr>
      <w:r>
        <w:rPr>
          <w:bCs/>
          <w:b/>
        </w:rPr>
        <w:t xml:space="preserve">Three services, 17 tables, 45 containers, and gone afterwards.</w:t>
      </w:r>
    </w:p>
    <w:p>
      <w:pPr>
        <w:pStyle w:val="BodyText"/>
      </w:pPr>
      <w:r>
        <w:rPr>
          <w:bCs/>
          <w:b/>
        </w:rPr>
        <w:t xml:space="preserve">Catalogue 20, Order 16, Identity 6. Postgres 16 vCPU / 32 GB. pgbouncer at 5,000 client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connections.</w:t>
      </w:r>
    </w:p>
    <w:bookmarkStart w:id="42" w:name="Xdd8247478f7cd4989eaa72b6fc5e95a8455ff1e"/>
    <w:p>
      <w:pPr>
        <w:pStyle w:val="Heading3"/>
      </w:pPr>
      <w:r>
        <w:t xml:space="preserve">Two things that are decisions, not settings</w:t>
      </w:r>
    </w:p>
    <w:p>
      <w:pPr>
        <w:pStyle w:val="FirstParagraph"/>
      </w:pPr>
      <w:r>
        <w:rPr>
          <w:rStyle w:val="VerbatimChar"/>
          <w:bCs/>
          <w:b/>
        </w:rPr>
        <w:t xml:space="preserve">synchronous_commit = off</w:t>
      </w:r>
      <w:r>
        <w:rPr>
          <w:bCs/>
          <w:b/>
        </w:rPr>
        <w:t xml:space="preserve">.</w:t>
      </w:r>
      <w:r>
        <w:t xml:space="preserve"> </w:t>
      </w:r>
      <w:r>
        <w:t xml:space="preserve">A crash loses the last few milliseconds of commits. For a sale</w:t>
      </w:r>
      <w:r>
        <w:t xml:space="preserve"> </w:t>
      </w:r>
      <w:r>
        <w:t xml:space="preserve">lasting fifty seconds that reconciles afterwards, throughput is worth more than the durability</w:t>
      </w:r>
      <w:r>
        <w:t xml:space="preserve"> </w:t>
      </w:r>
      <w:r>
        <w:t xml:space="preserve">window —</w:t>
      </w:r>
      <w:r>
        <w:t xml:space="preserve"> </w:t>
      </w:r>
      <w:r>
        <w:rPr>
          <w:bCs/>
          <w:b/>
        </w:rPr>
        <w:t xml:space="preserve">but copied from a tuning guide it is a data-loss bug waiting for an incident review.</w:t>
      </w:r>
    </w:p>
    <w:p>
      <w:pPr>
        <w:pStyle w:val="BodyText"/>
      </w:pPr>
      <w:r>
        <w:rPr>
          <w:bCs/>
          <w:b/>
        </w:rPr>
        <w:t xml:space="preserve">The catalogue is a snapshot, not a replica.</w:t>
      </w:r>
      <w:r>
        <w:t xml:space="preserve"> </w:t>
      </w:r>
      <w:r>
        <w:rPr>
          <w:bCs/>
          <w:b/>
        </w:rPr>
        <w:t xml:space="preserve">If the permanent platform changes a price during</w:t>
      </w:r>
      <w:r>
        <w:rPr>
          <w:bCs/>
          <w:b/>
        </w:rPr>
        <w:t xml:space="preserve"> </w:t>
      </w:r>
      <w:r>
        <w:rPr>
          <w:bCs/>
          <w:b/>
        </w:rPr>
        <w:t xml:space="preserve">the sale, reconciliation has to decide which one the guest paid.</w:t>
      </w:r>
      <w:r>
        <w:t xml:space="preserve"> </w:t>
      </w:r>
      <w:r>
        <w:t xml:space="preserve">That is unanswered.</w:t>
      </w:r>
    </w:p>
    <w:bookmarkEnd w:id="42"/>
    <w:bookmarkStart w:id="43" w:name="acquireinventoryhold-is-where-this-fails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acquireInventoryHold</w:t>
      </w:r>
      <w:r>
        <w:t xml:space="preserve"> </w:t>
      </w:r>
      <w:r>
        <w:t xml:space="preserve">is where this fails</w:t>
      </w:r>
    </w:p>
    <w:p>
      <w:pPr>
        <w:pStyle w:val="FirstParagraph"/>
      </w:pPr>
      <w:r>
        <w:rPr>
          <w:bCs/>
          <w:b/>
        </w:rPr>
        <w:t xml:space="preserve">Every buyer wants the same rows.</w:t>
      </w:r>
      <w:r>
        <w:t xml:space="preserve"> </w:t>
      </w:r>
      <w:r>
        <w:t xml:space="preserve">The lease path serialises on contention, and</w:t>
      </w:r>
      <w:r>
        <w:t xml:space="preserve"> </w:t>
      </w:r>
      <w:r>
        <w:rPr>
          <w:bCs/>
          <w:b/>
        </w:rPr>
        <w:t xml:space="preserve">no amount of</w:t>
      </w:r>
      <w:r>
        <w:rPr>
          <w:bCs/>
          <w:b/>
        </w:rPr>
        <w:t xml:space="preserve"> </w:t>
      </w:r>
      <w:r>
        <w:rPr>
          <w:bCs/>
          <w:b/>
        </w:rPr>
        <w:t xml:space="preserve">horizontal scaling helps a contended row</w:t>
      </w:r>
      <w:r>
        <w:t xml:space="preserve"> </w:t>
      </w:r>
      <w:r>
        <w:t xml:space="preserve">— twenty replicas queue behind one lock.</w:t>
      </w:r>
    </w:p>
    <w:p>
      <w:pPr>
        <w:pStyle w:val="BodyText"/>
      </w:pPr>
      <w:r>
        <w:rPr>
          <w:bCs/>
          <w:b/>
        </w:rPr>
        <w:t xml:space="preserve">Load-test this before anything else.</w:t>
      </w:r>
      <w:r>
        <w:t xml:space="preserve"> </w:t>
      </w:r>
      <w:r>
        <w:t xml:space="preserve">It is a property of the contention model and cannot be</w:t>
      </w:r>
      <w:r>
        <w:t xml:space="preserve"> </w:t>
      </w:r>
      <w:r>
        <w:t xml:space="preserve">estimated from a per-instance figure.</w:t>
      </w:r>
    </w:p>
    <w:bookmarkEnd w:id="43"/>
    <w:bookmarkStart w:id="44" w:name="the-reconciliation-route-designed"/>
    <w:p>
      <w:pPr>
        <w:pStyle w:val="Heading3"/>
      </w:pPr>
      <w:r>
        <w:t xml:space="preserve">The reconciliation route, designed</w:t>
      </w:r>
    </w:p>
    <w:p>
      <w:pPr>
        <w:pStyle w:val="FirstParagraph"/>
      </w:pPr>
      <w:r>
        <w:rPr>
          <w:bCs/>
          <w:b/>
        </w:rPr>
        <w:t xml:space="preserve">The shape already exists one layer down.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 </w:t>
      </w:r>
      <w:r>
        <w:t xml:space="preserve">reconciles a till’s offline journal: a</w:t>
      </w:r>
      <w:r>
        <w:t xml:space="preserve"> </w:t>
      </w:r>
      <w:r>
        <w:t xml:space="preserve">device id, a monotonic sequence, idempotent replay, and</w:t>
      </w:r>
      <w:r>
        <w:t xml:space="preserve"> </w:t>
      </w:r>
      <w:r>
        <w:rPr>
          <w:rStyle w:val="VerbatimChar"/>
        </w:rPr>
        <w:t xml:space="preserve">sync.rejection</w:t>
      </w:r>
      <w:r>
        <w:t xml:space="preserve"> </w:t>
      </w:r>
      <w:r>
        <w:t xml:space="preserve">for what will not apply —</w:t>
      </w:r>
      <w:r>
        <w:t xml:space="preserve"> </w:t>
      </w:r>
      <w:r>
        <w:rPr>
          <w:iCs/>
          <w:i/>
        </w:rPr>
        <w:t xml:space="preserve">kept, because a till that loses a rejected sale silently is worse than one that reports it.</w:t>
      </w:r>
    </w:p>
    <w:p>
      <w:pPr>
        <w:pStyle w:val="BodyText"/>
      </w:pPr>
      <w:r>
        <w:rPr>
          <w:bCs/>
          <w:b/>
        </w:rPr>
        <w:t xml:space="preserve">Same three properties, one layer up</w:t>
      </w:r>
      <w:r>
        <w:t xml:space="preserve">: an environment id in place of a device id, a sequence that</w:t>
      </w:r>
      <w:r>
        <w:t xml:space="preserve"> </w:t>
      </w:r>
      <w:r>
        <w:t xml:space="preserve">orders the replay, and a rejection table somebody works afterwards.</w:t>
      </w:r>
    </w:p>
    <w:bookmarkEnd w:id="44"/>
    <w:bookmarkEnd w:id="45"/>
    <w:bookmarkStart w:id="51" w:name="X06737d4248b9f1c7573ef3c2b257f3d85748d3d"/>
    <w:p>
      <w:pPr>
        <w:pStyle w:val="Heading2"/>
      </w:pPr>
      <w:r>
        <w:t xml:space="preserve">Part 7 · (d′) Shared burst tier, venue-local offline tier</w:t>
      </w:r>
    </w:p>
    <w:p>
      <w:pPr>
        <w:pStyle w:val="CaptionedFigure"/>
      </w:pPr>
      <w:r>
        <w:drawing>
          <wp:inline>
            <wp:extent cx="5669280" cy="1932226"/>
            <wp:effectExtent b="0" l="0" r="0" t="0"/>
            <wp:docPr descr="Venue-local offline" title="" id="47" name="Picture"/>
            <a:graphic>
              <a:graphicData uri="http://schemas.openxmlformats.org/drawingml/2006/picture">
                <pic:pic>
                  <pic:nvPicPr>
                    <pic:cNvPr descr="/home/claude/ticvai/docs/diagrams/deploy/d-venue-loc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3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Venue-local offline</w:t>
      </w:r>
    </w:p>
    <w:p>
      <w:pPr>
        <w:pStyle w:val="BodyText"/>
      </w:pPr>
      <w:r>
        <w:rPr>
          <w:bCs/>
          <w:b/>
        </w:rPr>
        <w:t xml:space="preserve">The inverse of putting the horizontal-scaling services at the venue.</w:t>
      </w:r>
    </w:p>
    <w:bookmarkStart w:id="49" w:name="why-the-inverse"/>
    <w:p>
      <w:pPr>
        <w:pStyle w:val="Heading3"/>
      </w:pPr>
      <w:r>
        <w:t xml:space="preserve">🔴 Why the inverse</w:t>
      </w:r>
    </w:p>
    <w:p>
      <w:pPr>
        <w:pStyle w:val="FirstParagraph"/>
      </w:pPr>
      <w:r>
        <w:rPr>
          <w:bCs/>
          <w:b/>
        </w:rPr>
        <w:t xml:space="preserve">Those four — Catalogue, Order, Identity, Access — carry the burst.</w:t>
      </w:r>
      <w:r>
        <w:t xml:space="preserve"> </w:t>
      </w:r>
      <w:r>
        <w:t xml:space="preserve">Per venue, each absorbs its</w:t>
      </w:r>
      <w:r>
        <w:t xml:space="preserve"> </w:t>
      </w:r>
      <w:r>
        <w:t xml:space="preserve">own venue’s spike:</w:t>
      </w:r>
      <w:r>
        <w:t xml:space="preserve"> </w:t>
      </w:r>
      <w:r>
        <w:rPr>
          <w:bCs/>
          <w:b/>
        </w:rPr>
        <w:t xml:space="preserve">a flash sale means that venue needs twenty Catalogue replicas while 599 cells</w:t>
      </w:r>
      <w:r>
        <w:rPr>
          <w:bCs/>
          <w:b/>
        </w:rPr>
        <w:t xml:space="preserve"> </w:t>
      </w:r>
      <w:r>
        <w:rPr>
          <w:bCs/>
          <w:b/>
        </w:rPr>
        <w:t xml:space="preserve">sit idle.</w:t>
      </w:r>
      <w:r>
        <w:t xml:space="preserve"> </w:t>
      </w:r>
      <w:r>
        <w:t xml:space="preserve">The problem has moved, not gone, and the pooling that would have absorbed it is gone</w:t>
      </w:r>
      <w:r>
        <w:t xml:space="preserve"> </w:t>
      </w:r>
      <w:r>
        <w:t xml:space="preserve">with it.</w:t>
      </w:r>
    </w:p>
    <w:p>
      <w:pPr>
        <w:pStyle w:val="BodyText"/>
      </w:pPr>
      <w:r>
        <w:rPr>
          <w:bCs/>
          <w:b/>
        </w:rPr>
        <w:t xml:space="preserve">Offline is the reason to be at the venue, not scaling.</w:t>
      </w:r>
      <w:r>
        <w:t xml:space="preserve"> </w:t>
      </w:r>
      <w:r>
        <w:t xml:space="preserve">103 of the venue tier’s 286 operations</w:t>
      </w:r>
      <w:r>
        <w:t xml:space="preserve"> </w:t>
      </w:r>
      <w:r>
        <w:t xml:space="preserve">work offline.</w:t>
      </w:r>
      <w:r>
        <w:t xml:space="preserve"> </w:t>
      </w:r>
      <w:r>
        <w:rPr>
          <w:bCs/>
          <w:b/>
        </w:rPr>
        <w:t xml:space="preserve">A venue with no network still cooks, still counts stock, still sells merchandise.</w:t>
      </w:r>
    </w:p>
    <w:bookmarkEnd w:id="49"/>
    <w:bookmarkStart w:id="50" w:name="X4d9cf7763da5b9406f3029e543439a98b7695dd"/>
    <w:p>
      <w:pPr>
        <w:pStyle w:val="Heading3"/>
      </w:pPr>
      <w:r>
        <w:t xml:space="preserve">The design constraint, and how it resolves</w:t>
      </w:r>
    </w:p>
    <w:p>
      <w:pPr>
        <w:pStyle w:val="FirstParagraph"/>
      </w:pPr>
      <w:r>
        <w:rPr>
          <w:bCs/>
          <w:b/>
        </w:rPr>
        <w:t xml:space="preserve">The venue tier owns 80 tables and reads 100</w:t>
      </w:r>
      <w:r>
        <w:t xml:space="preserve"> </w:t>
      </w:r>
      <w:r>
        <w:t xml:space="preserve">— ten foreign schemas,</w:t>
      </w:r>
      <w:r>
        <w:t xml:space="preserve"> </w:t>
      </w:r>
      <w:r>
        <w:rPr>
          <w:bCs/>
          <w:b/>
        </w:rPr>
        <w:t xml:space="preserve">43 reads and 15 writes</w:t>
      </w:r>
      <w:r>
        <w:rPr>
          <w:bCs/>
          <w:b/>
        </w:rPr>
        <w:t xml:space="preserve"> </w:t>
      </w:r>
      <w:r>
        <w:rPr>
          <w:bCs/>
          <w:b/>
        </w:rPr>
        <w:t xml:space="preserve">across the boundary.</w:t>
      </w:r>
    </w:p>
    <w:p>
      <w:pPr>
        <w:pStyle w:val="BodyText"/>
      </w:pPr>
      <w:r>
        <w:rPr>
          <w:bCs/>
          <w:b/>
        </w:rPr>
        <w:t xml:space="preserve">Foreign reads are cached, not fetched.</w:t>
      </w:r>
      <w:r>
        <w:t xml:space="preserve"> </w:t>
      </w:r>
      <w:r>
        <w:t xml:space="preserve">12 into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 8 into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 6 into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 </w:t>
      </w:r>
      <w:r>
        <w:t xml:space="preserve">— the org tree, who a principal is, what a menu item is.</w:t>
      </w:r>
      <w:r>
        <w:t xml:space="preserve"> </w:t>
      </w:r>
      <w:r>
        <w:rPr>
          <w:bCs/>
          <w:b/>
        </w:rPr>
        <w:t xml:space="preserve">All slow-changing, all</w:t>
      </w:r>
      <w:r>
        <w:rPr>
          <w:bCs/>
          <w:b/>
        </w:rPr>
        <w:t xml:space="preserve"> </w:t>
      </w:r>
      <w:r>
        <w:rPr>
          <w:bCs/>
          <w:b/>
        </w:rPr>
        <w:t xml:space="preserve">already published to a till as a bundle</w:t>
      </w:r>
      <w:r>
        <w:t xml:space="preserve"> </w:t>
      </w:r>
      <w:r>
        <w:t xml:space="preserve">(ADR-0013). The same mechanism serves a venue cell.</w:t>
      </w:r>
    </w:p>
    <w:p>
      <w:pPr>
        <w:pStyle w:val="BodyText"/>
      </w:pPr>
      <w:r>
        <w:rPr>
          <w:bCs/>
          <w:b/>
        </w:rPr>
        <w:t xml:space="preserve">Foreign writes are journalled, not written.</w:t>
      </w:r>
      <w:r>
        <w:t xml:space="preserve"> </w:t>
      </w:r>
      <w:r>
        <w:t xml:space="preserve">5 into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 4 into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, 4 into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, through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sync.rejection</w:t>
      </w:r>
      <w:r>
        <w:t xml:space="preserve">.</w:t>
      </w:r>
      <w:r>
        <w:t xml:space="preserve"> </w:t>
      </w:r>
      <w:r>
        <w:rPr>
          <w:bCs/>
          <w:b/>
        </w:rPr>
        <w:t xml:space="preserve">The mechanism exists and F33 walks it.</w:t>
      </w:r>
    </w:p>
    <w:bookmarkEnd w:id="50"/>
    <w:bookmarkEnd w:id="51"/>
    <w:bookmarkStart w:id="61" w:name="part-8-cost-aws-and-gcp"/>
    <w:p>
      <w:pPr>
        <w:pStyle w:val="Heading2"/>
      </w:pPr>
      <w:r>
        <w:t xml:space="preserve">Part 8 · Cost — AWS and GCP</w:t>
      </w:r>
    </w:p>
    <w:p>
      <w:pPr>
        <w:pStyle w:val="FirstParagraph"/>
      </w:pPr>
      <w:r>
        <w:rPr>
          <w:bCs/>
          <w:b/>
        </w:rPr>
        <w:t xml:space="preserve">Rates are on-demand, Middle East region, and indicative.</w:t>
      </w:r>
      <w:r>
        <w:t xml:space="preserve"> </w:t>
      </w:r>
      <w:r>
        <w:t xml:space="preserve">AWS Fargate + RDS PostgreSQL +</w:t>
      </w:r>
      <w:r>
        <w:t xml:space="preserve"> </w:t>
      </w:r>
      <w:r>
        <w:t xml:space="preserve">ElastiCache; GCP Cloud Run + Cloud SQL + Memorystore.</w:t>
      </w:r>
      <w:r>
        <w:t xml:space="preserve"> </w:t>
      </w:r>
      <w:r>
        <w:rPr>
          <w:bCs/>
          <w:b/>
        </w:rPr>
        <w:t xml:space="preserve">CF-64 supplies the contracted ones and will</w:t>
      </w:r>
      <w:r>
        <w:rPr>
          <w:bCs/>
          <w:b/>
        </w:rPr>
        <w:t xml:space="preserve"> </w:t>
      </w:r>
      <w:r>
        <w:rPr>
          <w:bCs/>
          <w:b/>
        </w:rPr>
        <w:t xml:space="preserve">move these materially</w:t>
      </w:r>
      <w:r>
        <w:t xml:space="preserve"> </w:t>
      </w:r>
      <w:r>
        <w:t xml:space="preserve">— committed-use and savings plans typically take 25–40% off both.</w:t>
      </w:r>
    </w:p>
    <w:bookmarkStart w:id="52" w:name="billing-unit-before-the-numbers"/>
    <w:p>
      <w:pPr>
        <w:pStyle w:val="Heading3"/>
      </w:pPr>
      <w:r>
        <w:t xml:space="preserve">Billing unit, before the numbers</w:t>
      </w:r>
    </w:p>
    <w:p>
      <w:pPr>
        <w:pStyle w:val="FirstParagraph"/>
      </w:pPr>
      <w:r>
        <w:rPr>
          <w:bCs/>
          <w:b/>
        </w:rPr>
        <w:t xml:space="preserve">🔴 Three of the four run continuously and one does not.</w:t>
      </w:r>
      <w:r>
        <w:t xml:space="preserve"> </w:t>
      </w:r>
      <w:r>
        <w:t xml:space="preserve">Quoting a monthly figure for the flash</w:t>
      </w:r>
      <w:r>
        <w:t xml:space="preserve"> </w:t>
      </w:r>
      <w:r>
        <w:t xml:space="preserve">sale is the mistake that makes it look like the most expensive option when it is the cheapest.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7"/>
        <w:gridCol w:w="2318"/>
        <w:gridCol w:w="1352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dedicated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month, always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$948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month, always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$3,485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 flash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hour, while it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$11.76 /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$9.76 /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(d′) burst + venue-local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month, always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$3,965 /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$3,237</w:t>
            </w:r>
          </w:p>
        </w:tc>
      </w:tr>
    </w:tbl>
    <w:p>
      <w:pPr>
        <w:pStyle w:val="BodyText"/>
      </w:pPr>
      <w:r>
        <w:rPr>
          <w:bCs/>
          <w:b/>
        </w:rPr>
        <w:t xml:space="preserve">A sixty-thousand-seat sell-out at a two-hour window is $24 of infrastructure.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Flash-sale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2-hour sale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6-hour cautious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up for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up for a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$8,587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risk is not the cost, it is forgetting to tear it down.</w:t>
      </w:r>
      <w:r>
        <w:t xml:space="preserve"> </w:t>
      </w:r>
      <w:r>
        <w:rPr>
          <w:bCs/>
          <w:b/>
        </w:rPr>
        <w:t xml:space="preserve">Teardown must be automatic</w:t>
      </w:r>
      <w:r>
        <w:t xml:space="preserve"> </w:t>
      </w:r>
      <w:r>
        <w:t xml:space="preserve">—</w:t>
      </w:r>
      <w:r>
        <w:t xml:space="preserve"> </w:t>
      </w:r>
      <w:r>
        <w:t xml:space="preserve">tied to the sale window in the catalogue rather than to somebody’s calendar.</w:t>
      </w:r>
    </w:p>
    <w:bookmarkEnd w:id="52"/>
    <w:bookmarkStart w:id="53" w:name="one-deployment-per-month"/>
    <w:p>
      <w:pPr>
        <w:pStyle w:val="Heading3"/>
      </w:pPr>
      <w:r>
        <w:t xml:space="preserve">One deployment, per month</w:t>
      </w:r>
    </w:p>
    <w:p>
      <w:pPr>
        <w:pStyle w:val="FirstParagraph"/>
      </w:pPr>
      <w:r>
        <w:rPr>
          <w:bCs/>
          <w:b/>
        </w:rPr>
        <w:t xml:space="preserve">Application, database and session cache only.</w:t>
      </w:r>
      <w:r>
        <w:t xml:space="preserve"> </w:t>
      </w:r>
      <w:r>
        <w:t xml:space="preserve">The AI tier is</w:t>
      </w:r>
      <w:r>
        <w:t xml:space="preserve"> </w:t>
      </w:r>
      <w:r>
        <w:t xml:space="preserve">costed separately below because it is shared across every configuration and sized by tenant count</w:t>
      </w:r>
      <w:r>
        <w:t xml:space="preserve"> </w:t>
      </w:r>
      <w:r>
        <w:t xml:space="preserve">rather than by topology.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812"/>
        <w:gridCol w:w="812"/>
        <w:gridCol w:w="812"/>
        <w:gridCol w:w="812"/>
        <w:gridCol w:w="1015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dedicated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$3,485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flash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$8,587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$7,125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(d′)</w:t>
            </w:r>
            <w:r>
              <w:t xml:space="preserve"> </w:t>
            </w:r>
            <w:r>
              <w:t xml:space="preserve">burst + venue-local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$3,237</w:t>
            </w:r>
          </w:p>
        </w:tc>
      </w:tr>
    </w:tbl>
    <w:bookmarkEnd w:id="53"/>
    <w:bookmarkStart w:id="57" w:name="Xd9c1451adb12f002f4554b813dfa1f2b40fb08b"/>
    <w:p>
      <w:pPr>
        <w:pStyle w:val="Heading3"/>
      </w:pPr>
      <w:r>
        <w:t xml:space="preserve">🔴 The AI tier, which the table above leaves out</w:t>
      </w:r>
    </w:p>
    <w:p>
      <w:pPr>
        <w:pStyle w:val="CaptionedFigure"/>
      </w:pPr>
      <w:r>
        <w:drawing>
          <wp:inline>
            <wp:extent cx="5669280" cy="2869726"/>
            <wp:effectExtent b="0" l="0" r="0" t="0"/>
            <wp:docPr descr="AI tier" title="" id="55" name="Picture"/>
            <a:graphic>
              <a:graphicData uri="http://schemas.openxmlformats.org/drawingml/2006/picture">
                <pic:pic>
                  <pic:nvPicPr>
                    <pic:cNvPr descr="/home/claude/ticvai/docs/diagrams/deploy/ai-ti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6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tier</w:t>
      </w:r>
    </w:p>
    <w:p>
      <w:pPr>
        <w:pStyle w:val="BodyText"/>
      </w:pPr>
      <w:r>
        <w:rPr>
          <w:bCs/>
          <w:b/>
        </w:rPr>
        <w:t xml:space="preserve">Qdrant is a fourth store and the four configurations cost three.</w:t>
      </w:r>
      <w:r>
        <w:t xml:space="preserve"> </w:t>
      </w:r>
      <w:r>
        <w:t xml:space="preserve">Nine operations use it —</w:t>
      </w:r>
      <w:r>
        <w:t xml:space="preserve"> </w:t>
      </w:r>
      <w:r>
        <w:rPr>
          <w:rStyle w:val="VerbatimChar"/>
        </w:rPr>
        <w:t xml:space="preserve">semanticSearch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sendAiMessage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ingestKnowledgeDocument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reindexSource</w:t>
      </w:r>
      <w:r>
        <w:t xml:space="preserve"> </w:t>
      </w:r>
      <w:r>
        <w:t xml:space="preserve">and five more — and</w:t>
      </w:r>
      <w:r>
        <w:t xml:space="preserve"> </w:t>
      </w:r>
      <w:r>
        <w:rPr>
          <w:bCs/>
          <w:b/>
        </w:rPr>
        <w:t xml:space="preserve">ADR-0021 puts one collection per embedding model</w:t>
      </w:r>
      <w:r>
        <w:t xml:space="preserve">, shared across tenants using that model.</w:t>
      </w:r>
    </w:p>
    <w:p>
      <w:pPr>
        <w:pStyle w:val="BodyText"/>
      </w:pPr>
      <w:r>
        <w:rPr>
          <w:bCs/>
          <w:b/>
        </w:rPr>
        <w:t xml:space="preserve">Sizing, at 200 tenants averaging 20,000 chunks each:</w:t>
      </w:r>
    </w:p>
    <w:p>
      <w:pPr>
        <w:pStyle w:val="BodyText"/>
      </w:pPr>
      <w:r>
        <w:rPr>
          <w:bCs/>
          <w:b/>
        </w:rPr>
        <w:t xml:space="preserve">4 million vectors × 1,536 dimensions × float32 = 24.6 GB raw.</w:t>
      </w:r>
      <w:r>
        <w:t xml:space="preserve"> </w:t>
      </w:r>
      <w:r>
        <w:t xml:space="preserve">With the HNSW index and payload</w:t>
      </w:r>
      <w:r>
        <w:t xml:space="preserve"> </w:t>
      </w:r>
      <w:r>
        <w:t xml:space="preserve">roughly</w:t>
      </w:r>
      <w:r>
        <w:t xml:space="preserve"> </w:t>
      </w:r>
      <w:r>
        <w:rPr>
          <w:bCs/>
          <w:b/>
        </w:rPr>
        <w:t xml:space="preserve">49 GB</w:t>
      </w:r>
      <w:r>
        <w:t xml:space="preserve">;</w:t>
      </w:r>
      <w:r>
        <w:t xml:space="preserve"> </w:t>
      </w:r>
      <w:r>
        <w:rPr>
          <w:bCs/>
          <w:b/>
        </w:rPr>
        <w:t xml:space="preserve">scalar-quantised to int8, about 12 GB.</w:t>
      </w:r>
      <w:r>
        <w:t xml:space="preserve"> </w:t>
      </w:r>
      <w:r>
        <w:t xml:space="preserve">Quantisation is the difference between</w:t>
      </w:r>
      <w:r>
        <w:t xml:space="preserve"> </w:t>
      </w:r>
      <w:r>
        <w:t xml:space="preserve">one node and three, and it costs recall —</w:t>
      </w:r>
      <w:r>
        <w:t xml:space="preserve"> </w:t>
      </w:r>
      <w:r>
        <w:rPr>
          <w:bCs/>
          <w:b/>
        </w:rPr>
        <w:t xml:space="preserve">a decision, not a default.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9"/>
        <w:gridCol w:w="154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 self-hosted, 3 nodes HA (4 vCPU / 16 GB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 self-hosted, 1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cache tier —</w:t>
            </w:r>
            <w:r>
              <w:t xml:space="preserve"> </w:t>
            </w:r>
            <w:r>
              <w:rPr>
                <w:rStyle w:val="VerbatimChar"/>
              </w:rPr>
              <w:t xml:space="preserve">cache:answer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cache:embedding</w:t>
            </w:r>
            <w:r>
              <w:t xml:space="preserve">, 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and embedding workers, 2 × 2 vCPU / 4 GB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tier total, 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$1,148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$1,034</w:t>
            </w:r>
          </w:p>
        </w:tc>
      </w:tr>
    </w:tbl>
    <w:p>
      <w:pPr>
        <w:pStyle w:val="BodyText"/>
      </w:pPr>
      <w:r>
        <w:rPr>
          <w:bCs/>
          <w:b/>
        </w:rPr>
        <w:t xml:space="preserve">Neither provider offers managed Qdrant.</w:t>
      </w:r>
      <w:r>
        <w:t xml:space="preserve"> </w:t>
      </w:r>
      <w:r>
        <w:t xml:space="preserve">Both mean self-hosting on the compute tier or buying</w:t>
      </w:r>
      <w:r>
        <w:t xml:space="preserve"> </w:t>
      </w:r>
      <w:r>
        <w:t xml:space="preserve">Qdrant Cloud, and</w:t>
      </w:r>
      <w:r>
        <w:t xml:space="preserve"> </w:t>
      </w:r>
      <w:r>
        <w:rPr>
          <w:bCs/>
          <w:b/>
        </w:rPr>
        <w:t xml:space="preserve">the 12 August minute made this conditional</w:t>
      </w:r>
      <w:r>
        <w:t xml:space="preserve">: Qdrant was proposed over Postgres</w:t>
      </w:r>
      <w:r>
        <w:t xml:space="preserve"> </w:t>
      </w:r>
      <w:r>
        <w:t xml:space="preserve">native vectors</w:t>
      </w:r>
      <w:r>
        <w:t xml:space="preserve"> </w:t>
      </w:r>
      <w:r>
        <w:rPr>
          <w:iCs/>
          <w:i/>
        </w:rPr>
        <w:t xml:space="preserve">subject to confirming UAE compliance</w:t>
      </w:r>
      <w:r>
        <w:t xml:space="preserve">.</w:t>
      </w:r>
      <w:r>
        <w:t xml:space="preserve"> </w:t>
      </w:r>
      <w:r>
        <w:rPr>
          <w:bCs/>
          <w:b/>
        </w:rPr>
        <w:t xml:space="preserve">That confirmation has not happened</w:t>
      </w:r>
      <w:r>
        <w:t xml:space="preserve">, and</w:t>
      </w:r>
      <w:r>
        <w:t xml:space="preserve"> </w:t>
      </w:r>
      <w:r>
        <w:t xml:space="preserve">if it fails the vectors move into Postgres and this table changes shape entirely.</w:t>
      </w:r>
    </w:p>
    <w:bookmarkEnd w:id="57"/>
    <w:bookmarkStart w:id="58" w:name="llm-tokens-are-not-platform-cost"/>
    <w:p>
      <w:pPr>
        <w:pStyle w:val="Heading3"/>
      </w:pPr>
      <w:r>
        <w:t xml:space="preserve">LLM tokens are not platform cost</w:t>
      </w:r>
    </w:p>
    <w:p>
      <w:pPr>
        <w:pStyle w:val="FirstParagraph"/>
      </w:pPr>
      <w:r>
        <w:rPr>
          <w:bCs/>
          <w:b/>
        </w:rPr>
        <w:t xml:space="preserve">BYOK, and the contract already says so.</w:t>
      </w:r>
      <w:r>
        <w:t xml:space="preserve"> </w:t>
      </w:r>
      <w:r>
        <w:rPr>
          <w:rStyle w:val="VerbatimChar"/>
        </w:rPr>
        <w:t xml:space="preserve">setAiProvider</w:t>
      </w:r>
      <w:r>
        <w:t xml:space="preserve"> </w:t>
      </w:r>
      <w:r>
        <w:t xml:space="preserve">takes a</w:t>
      </w:r>
      <w:r>
        <w:t xml:space="preserve"> </w:t>
      </w:r>
      <w:r>
        <w:rPr>
          <w:rStyle w:val="VerbatimChar"/>
        </w:rPr>
        <w:t xml:space="preserve">credentialRef</w:t>
      </w:r>
      <w:r>
        <w:t xml:space="preserve"> </w:t>
      </w:r>
      <w:r>
        <w:t xml:space="preserve">that lives in</w:t>
      </w:r>
      <w:r>
        <w:t xml:space="preserve"> </w:t>
      </w:r>
      <w:r>
        <w:t xml:space="preserve">the secret store,</w:t>
      </w:r>
      <w:r>
        <w:t xml:space="preserve"> </w:t>
      </w:r>
      <w:r>
        <w:rPr>
          <w:rStyle w:val="VerbatimChar"/>
        </w:rPr>
        <w:t xml:space="preserve">monthlyTokenCeiling</w:t>
      </w:r>
      <w:r>
        <w:t xml:space="preserve"> </w:t>
      </w:r>
      <w:r>
        <w:t xml:space="preserve">caps consumption per tenant, and</w:t>
      </w:r>
      <w:r>
        <w:t xml:space="preserve"> </w:t>
      </w:r>
      <w:r>
        <w:rPr>
          <w:rStyle w:val="VerbatimChar"/>
        </w:rPr>
        <w:t xml:space="preserve">AiProviderError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quotaExceeded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residencyRefused</w:t>
      </w:r>
      <w:r>
        <w:t xml:space="preserve"> </w:t>
      </w:r>
      <w:r>
        <w:t xml:space="preserve">as first-class outcomes.</w:t>
      </w:r>
    </w:p>
    <w:p>
      <w:pPr>
        <w:pStyle w:val="BodyText"/>
      </w:pPr>
      <w:r>
        <w:rPr>
          <w:bCs/>
          <w:b/>
        </w:rPr>
        <w:t xml:space="preserve">So the token spend is the tenant’s.</w:t>
      </w:r>
      <w:r>
        <w:t xml:space="preserve"> </w:t>
      </w:r>
      <w:r>
        <w:t xml:space="preserve">What the platform pays for is the vector store, the caches</w:t>
      </w:r>
      <w:r>
        <w:t xml:space="preserve"> </w:t>
      </w:r>
      <w:r>
        <w:t xml:space="preserve">and the workers — the table above.</w:t>
      </w:r>
    </w:p>
    <w:p>
      <w:pPr>
        <w:pStyle w:val="BodyText"/>
      </w:pPr>
      <w:r>
        <w:rPr>
          <w:rStyle w:val="VerbatimChar"/>
          <w:bCs/>
          <w:b/>
        </w:rPr>
        <w:t xml:space="preserve">cache:answer</w:t>
      </w:r>
      <w:r>
        <w:rPr>
          <w:bCs/>
          <w:b/>
        </w:rPr>
        <w:t xml:space="preserve"> </w:t>
      </w:r>
      <w:r>
        <w:rPr>
          <w:bCs/>
          <w:b/>
        </w:rPr>
        <w:t xml:space="preserve">is the largest lever and the package already says why</w:t>
      </w:r>
      <w:r>
        <w:t xml:space="preserve">:</w:t>
      </w:r>
      <w:r>
        <w:t xml:space="preserve"> </w:t>
      </w:r>
      <w:r>
        <w:rPr>
          <w:iCs/>
          <w:i/>
        </w:rPr>
        <w:t xml:space="preserve">forty questions repeat</w:t>
      </w:r>
      <w:r>
        <w:rPr>
          <w:iCs/>
          <w:i/>
        </w:rPr>
        <w:t xml:space="preserve"> </w:t>
      </w:r>
      <w:r>
        <w:rPr>
          <w:iCs/>
          <w:i/>
        </w:rPr>
        <w:t xml:space="preserve">thousands of times a day at a kiosk.</w:t>
      </w:r>
      <w:r>
        <w:t xml:space="preserve"> </w:t>
      </w:r>
      <w:r>
        <w:rPr>
          <w:bCs/>
          <w:b/>
        </w:rPr>
        <w:t xml:space="preserve">A cache hit costs nothing and a miss costs a provider</w:t>
      </w:r>
      <w:r>
        <w:rPr>
          <w:bCs/>
          <w:b/>
        </w:rPr>
        <w:t xml:space="preserve"> </w:t>
      </w:r>
      <w:r>
        <w:rPr>
          <w:bCs/>
          <w:b/>
        </w:rPr>
        <w:t xml:space="preserve">call</w:t>
      </w:r>
      <w:r>
        <w:t xml:space="preserve">, so the hit ratio is worth measuring before the node count is.</w:t>
      </w:r>
    </w:p>
    <w:bookmarkEnd w:id="58"/>
    <w:bookmarkStart w:id="59" w:name="at-200-tenants-averaging-three-venues"/>
    <w:p>
      <w:pPr>
        <w:pStyle w:val="Heading3"/>
      </w:pPr>
      <w:r>
        <w:t xml:space="preserve">At 200 tenants averaging three venues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1087"/>
        <w:gridCol w:w="1087"/>
        <w:gridCol w:w="2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dedicated per tenant ×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$189,600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 containers, 200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one cell + 600 venue service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$96,910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$82,502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 containers,</w:t>
            </w:r>
            <w:r>
              <w:t xml:space="preserve"> </w:t>
            </w:r>
            <w:r>
              <w:rPr>
                <w:bCs/>
                <w:b/>
              </w:rPr>
              <w:t xml:space="preserve">1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(d′)</w:t>
            </w:r>
            <w:r>
              <w:t xml:space="preserve"> </w:t>
            </w:r>
            <w:r>
              <w:t xml:space="preserve">one cell + 600 venue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$177,283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$141,720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1,412 containers,</w:t>
            </w:r>
            <w:r>
              <w:t xml:space="preserve"> </w:t>
            </w:r>
            <w:r>
              <w:rPr>
                <w:bCs/>
                <w:b/>
              </w:rPr>
              <w:t xml:space="preserve">601 databases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is $12 an hour on AWS and $10 on GCP.</w:t>
      </w:r>
      <w:r>
        <w:t xml:space="preserve"> </w:t>
      </w:r>
      <w:r>
        <w:t xml:space="preserve">Run for one event it costs less than lunch;</w:t>
      </w:r>
      <w:r>
        <w:t xml:space="preserve"> </w:t>
      </w:r>
      <w:r>
        <w:rPr>
          <w:bCs/>
          <w:b/>
        </w:rPr>
        <w:t xml:space="preserve">left</w:t>
      </w:r>
      <w:r>
        <w:rPr>
          <w:bCs/>
          <w:b/>
        </w:rPr>
        <w:t xml:space="preserve"> </w:t>
      </w:r>
      <w:r>
        <w:rPr>
          <w:bCs/>
          <w:b/>
        </w:rPr>
        <w:t xml:space="preserve">running a month it costs more than the platform it is protecting.</w:t>
      </w:r>
    </w:p>
    <w:bookmarkEnd w:id="59"/>
    <w:bookmarkStart w:id="60" w:name="what-the-numbers-say"/>
    <w:p>
      <w:pPr>
        <w:pStyle w:val="Heading3"/>
      </w:pPr>
      <w:r>
        <w:t xml:space="preserve">What the numbers say</w:t>
      </w:r>
    </w:p>
    <w:p>
      <w:pPr>
        <w:pStyle w:val="FirstParagraph"/>
      </w:pPr>
      <w:r>
        <w:rPr>
          <w:bCs/>
          <w:b/>
        </w:rPr>
        <w:t xml:space="preserve">(a) is twice (b) and delivers isolation nobody at 2.9 RPS is asking for.</w:t>
      </w:r>
    </w:p>
    <w:p>
      <w:pPr>
        <w:pStyle w:val="BodyText"/>
      </w:pPr>
      <w:r>
        <w:rPr>
          <w:bCs/>
          <w:b/>
        </w:rPr>
        <w:t xml:space="preserve">(d′) is 1.8× (b), and every dollar of the difference is 600 small databases.</w:t>
      </w:r>
      <w:r>
        <w:t xml:space="preserve"> </w:t>
      </w:r>
      <w:r>
        <w:t xml:space="preserve">That is the price</w:t>
      </w:r>
      <w:r>
        <w:t xml:space="preserve"> </w:t>
      </w:r>
      <w:r>
        <w:t xml:space="preserve">of a venue trading through a regional outage, and it is a conversation about what a venue is paying</w:t>
      </w:r>
      <w:r>
        <w:t xml:space="preserve"> </w:t>
      </w:r>
      <w:r>
        <w:t xml:space="preserve">for rather than an architecture decision.</w:t>
      </w:r>
    </w:p>
    <w:p>
      <w:pPr>
        <w:pStyle w:val="BodyText"/>
      </w:pPr>
      <w:r>
        <w:rPr>
          <w:bCs/>
          <w:b/>
        </w:rPr>
        <w:t xml:space="preserve">GCP is 15–18% cheaper across all four</w:t>
      </w:r>
      <w:r>
        <w:t xml:space="preserve">, driven mostly by Cloud SQL vCPU pricing against RDS.</w:t>
      </w:r>
      <w:r>
        <w:t xml:space="preserve"> </w:t>
      </w:r>
      <w:r>
        <w:rPr>
          <w:bCs/>
          <w:b/>
        </w:rPr>
        <w:t xml:space="preserve">That is not a reason to choose it.</w:t>
      </w:r>
      <w:r>
        <w:t xml:space="preserve"> </w:t>
      </w:r>
      <w:r>
        <w:t xml:space="preserve">DESC compliance, the managed Postgres feature set and the</w:t>
      </w:r>
      <w:r>
        <w:t xml:space="preserve"> </w:t>
      </w:r>
      <w:r>
        <w:t xml:space="preserve">support relationship all matter more than 17%, and CF-64 is where they get weighed.</w:t>
      </w:r>
    </w:p>
    <w:bookmarkEnd w:id="60"/>
    <w:bookmarkEnd w:id="61"/>
    <w:bookmarkStart w:id="71" w:name="Xe826b71a9bc261ceab8f8159b3977701920707f"/>
    <w:p>
      <w:pPr>
        <w:pStyle w:val="Heading2"/>
      </w:pPr>
      <w:r>
        <w:t xml:space="preserve">Part 9 · Optimisations, and what they do to the numbers</w:t>
      </w:r>
    </w:p>
    <w:p>
      <w:pPr>
        <w:pStyle w:val="FirstParagraph"/>
      </w:pPr>
      <w:r>
        <w:rPr>
          <w:bCs/>
          <w:b/>
        </w:rPr>
        <w:t xml:space="preserve">Four ADRs landed on 31 August</w:t>
      </w:r>
      <w:r>
        <w:t xml:space="preserve"> </w:t>
      </w:r>
      <w:r>
        <w:t xml:space="preserve">— ADR-0031 contention, ADR-0032 pooling and shedding, ADR-0033</w:t>
      </w:r>
      <w:r>
        <w:t xml:space="preserve"> </w:t>
      </w:r>
      <w:r>
        <w:t xml:space="preserve">outbox and dead letters, ADR-0034 AI retrieval and cost.</w:t>
      </w:r>
      <w:r>
        <w:t xml:space="preserve"> </w:t>
      </w:r>
      <w:r>
        <w:rPr>
          <w:bCs/>
          <w:b/>
        </w:rPr>
        <w:t xml:space="preserve">Each changes a figure above.</w:t>
      </w:r>
    </w:p>
    <w:bookmarkStart w:id="65" w:name="the-request-path"/>
    <w:p>
      <w:pPr>
        <w:pStyle w:val="Heading3"/>
      </w:pPr>
      <w:r>
        <w:t xml:space="preserve">The request path</w:t>
      </w:r>
    </w:p>
    <w:p>
      <w:pPr>
        <w:pStyle w:val="CaptionedFigure"/>
      </w:pPr>
      <w:r>
        <w:drawing>
          <wp:inline>
            <wp:extent cx="5669280" cy="2966337"/>
            <wp:effectExtent b="0" l="0" r="0" t="0"/>
            <wp:docPr descr="Backend optimisations" title="" id="63" name="Picture"/>
            <a:graphic>
              <a:graphicData uri="http://schemas.openxmlformats.org/drawingml/2006/picture">
                <pic:pic>
                  <pic:nvPicPr>
                    <pic:cNvPr descr="/home/claude/ticvai/docs/diagrams/deploy/backend-optimisation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6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Backend optimisations</w:t>
      </w:r>
    </w:p>
    <w:p>
      <w:pPr>
        <w:pStyle w:val="BodyText"/>
      </w:pPr>
      <w:r>
        <w:rPr>
          <w:bCs/>
          <w:b/>
        </w:rPr>
        <w:t xml:space="preserve">pgbouncer is the one that changes the shape.</w:t>
      </w:r>
      <w:r>
        <w:t xml:space="preserve"> </w:t>
      </w:r>
      <w:r>
        <w:t xml:space="preserve">In transaction mode, 400 client connections share</w:t>
      </w:r>
      <w:r>
        <w:t xml:space="preserve"> </w:t>
      </w:r>
      <w:r>
        <w:t xml:space="preserve">40 server ones.</w:t>
      </w:r>
      <w:r>
        <w:t xml:space="preserve"> </w:t>
      </w:r>
      <w:r>
        <w:rPr>
          <w:bCs/>
          <w:b/>
        </w:rPr>
        <w:t xml:space="preserve">Without it the shared tier stops scaling around six replicas</w:t>
      </w:r>
      <w:r>
        <w:t xml:space="preserve"> </w:t>
      </w:r>
      <w:r>
        <w:t xml:space="preserve">and the ceiling in</w:t>
      </w:r>
      <w:r>
        <w:t xml:space="preserve"> </w:t>
      </w:r>
      <w:r>
        <w:t xml:space="preserve">config (b) is not the database — it is the pool that does not exist.</w:t>
      </w:r>
    </w:p>
    <w:p>
      <w:pPr>
        <w:pStyle w:val="BodyText"/>
      </w:pPr>
      <w:r>
        <w:rPr>
          <w:bCs/>
          <w:b/>
        </w:rPr>
        <w:t xml:space="preserve">Cost: two containers, about $70 a month on either provider.</w:t>
      </w:r>
      <w:r>
        <w:t xml:space="preserve"> </w:t>
      </w:r>
      <w:r>
        <w:t xml:space="preserve">It is the cheapest line in this</w:t>
      </w:r>
      <w:r>
        <w:t xml:space="preserve"> </w:t>
      </w:r>
      <w:r>
        <w:t xml:space="preserve">document and it decides whether the most expensive one works.</w:t>
      </w:r>
    </w:p>
    <w:p>
      <w:pPr>
        <w:pStyle w:val="BodyText"/>
      </w:pPr>
      <w:r>
        <w:rPr>
          <w:bCs/>
          <w:b/>
        </w:rPr>
        <w:t xml:space="preserve">Backpressure changes what an overload looks like, not what it costs.</w:t>
      </w:r>
      <w:r>
        <w:t xml:space="preserve"> </w:t>
      </w:r>
      <w:r>
        <w:t xml:space="preserve">A 429 with a jittered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is free; a service queueing until it dies is not.</w:t>
      </w:r>
      <w:r>
        <w:t xml:space="preserve"> </w:t>
      </w:r>
      <w:r>
        <w:rPr>
          <w:bCs/>
          <w:b/>
        </w:rPr>
        <w:t xml:space="preserve">Shedding guests before staff is a</w:t>
      </w:r>
      <w:r>
        <w:rPr>
          <w:bCs/>
          <w:b/>
        </w:rPr>
        <w:t xml:space="preserve"> </w:t>
      </w:r>
      <w:r>
        <w:rPr>
          <w:bCs/>
          <w:b/>
        </w:rPr>
        <w:t xml:space="preserve">commercial decision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x-ticvai-audience</w:t>
      </w:r>
      <w:r>
        <w:t xml:space="preserve"> </w:t>
      </w:r>
      <w:r>
        <w:t xml:space="preserve">already says which is which, but the ordering should be</w:t>
      </w:r>
      <w:r>
        <w:t xml:space="preserve"> </w:t>
      </w:r>
      <w:r>
        <w:t xml:space="preserve">checked with Qossai rather than assumed.</w:t>
      </w:r>
    </w:p>
    <w:p>
      <w:pPr>
        <w:pStyle w:val="BodyText"/>
      </w:pPr>
      <w:r>
        <w:rPr>
          <w:bCs/>
          <w:b/>
        </w:rPr>
        <w:t xml:space="preserve">Stale-while-revalidate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cache:resolution</w:t>
      </w:r>
      <w:r>
        <w:rPr>
          <w:bCs/>
          <w:b/>
        </w:rPr>
        <w:t xml:space="preserve"> </w:t>
      </w:r>
      <w:r>
        <w:rPr>
          <w:bCs/>
          <w:b/>
        </w:rPr>
        <w:t xml:space="preserve">removes a stampede that would otherwise be sized</w:t>
      </w:r>
      <w:r>
        <w:rPr>
          <w:bCs/>
          <w:b/>
        </w:rPr>
        <w:t xml:space="preserve"> </w:t>
      </w:r>
      <w:r>
        <w:rPr>
          <w:bCs/>
          <w:b/>
        </w:rPr>
        <w:t xml:space="preserve">for.</w:t>
      </w:r>
      <w:r>
        <w:t xml:space="preserve"> </w:t>
      </w:r>
      <w:r>
        <w:t xml:space="preserve">Permission resolution reads five tables on every authorised call; at 5,000 RPS a synchronised</w:t>
      </w:r>
      <w:r>
        <w:t xml:space="preserve"> </w:t>
      </w:r>
      <w:r>
        <w:t xml:space="preserve">expiry is a database outage that looks like a traffic spike.</w:t>
      </w:r>
      <w:r>
        <w:t xml:space="preserve"> </w:t>
      </w:r>
      <w:r>
        <w:rPr>
          <w:bCs/>
          <w:b/>
        </w:rPr>
        <w:t xml:space="preserve">Without it, config (b) needs a larger</w:t>
      </w:r>
      <w:r>
        <w:rPr>
          <w:bCs/>
          <w:b/>
        </w:rPr>
        <w:t xml:space="preserve"> </w:t>
      </w:r>
      <w:r>
        <w:rPr>
          <w:bCs/>
          <w:b/>
        </w:rPr>
        <w:t xml:space="preserve">Postgres for a load that only exists at cache boundaries.</w:t>
      </w:r>
    </w:p>
    <w:p>
      <w:pPr>
        <w:pStyle w:val="BodyText"/>
      </w:pPr>
      <w:r>
        <w:rPr>
          <w:rStyle w:val="VerbatimChar"/>
          <w:bCs/>
          <w:b/>
        </w:rPr>
        <w:t xml:space="preserve">FOR UPDATE SKIP LOCKED</w:t>
      </w:r>
      <w:r>
        <w:rPr>
          <w:bCs/>
          <w:b/>
        </w:rPr>
        <w:t xml:space="preserve"> </w:t>
      </w:r>
      <w:r>
        <w:rPr>
          <w:bCs/>
          <w:b/>
        </w:rPr>
        <w:t xml:space="preserve">on the lease path is what makes config (c) possible at all.</w:t>
      </w:r>
      <w:r>
        <w:t xml:space="preserve"> </w:t>
      </w:r>
      <w:r>
        <w:t xml:space="preserve">Optimistic</w:t>
      </w:r>
      <w:r>
        <w:t xml:space="preserve"> </w:t>
      </w:r>
      <w:r>
        <w:t xml:space="preserve">retry at 5,000 RPS is a retry storm;</w:t>
      </w:r>
      <w:r>
        <w:t xml:space="preserve"> </w:t>
      </w:r>
      <w:r>
        <w:rPr>
          <w:rStyle w:val="VerbatimChar"/>
          <w:bCs/>
          <w:b/>
        </w:rPr>
        <w:t xml:space="preserve">SKIP LOCKED</w:t>
      </w:r>
      <w:r>
        <w:rPr>
          <w:bCs/>
          <w:b/>
        </w:rPr>
        <w:t xml:space="preserve"> </w:t>
      </w:r>
      <w:r>
        <w:rPr>
          <w:bCs/>
          <w:b/>
        </w:rPr>
        <w:t xml:space="preserve">turns contention into throughput</w:t>
      </w:r>
      <w:r>
        <w:t xml:space="preserve"> </w:t>
      </w:r>
      <w:r>
        <w:t xml:space="preserve">where the</w:t>
      </w:r>
      <w:r>
        <w:t xml:space="preserve"> </w:t>
      </w:r>
      <w:r>
        <w:t xml:space="preserve">caller does not care which seat they get.</w:t>
      </w:r>
    </w:p>
    <w:bookmarkEnd w:id="65"/>
    <w:bookmarkStart w:id="69" w:name="the-ai-path"/>
    <w:p>
      <w:pPr>
        <w:pStyle w:val="Heading3"/>
      </w:pPr>
      <w:r>
        <w:t xml:space="preserve">The AI path</w:t>
      </w:r>
    </w:p>
    <w:p>
      <w:pPr>
        <w:pStyle w:val="CaptionedFigure"/>
      </w:pPr>
      <w:r>
        <w:drawing>
          <wp:inline>
            <wp:extent cx="5669280" cy="7451053"/>
            <wp:effectExtent b="0" l="0" r="0" t="0"/>
            <wp:docPr descr="AI optimisations" title="" id="67" name="Picture"/>
            <a:graphic>
              <a:graphicData uri="http://schemas.openxmlformats.org/drawingml/2006/picture">
                <pic:pic>
                  <pic:nvPicPr>
                    <pic:cNvPr descr="/home/claude/ticvai/docs/diagrams/deploy/ai-optimisation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45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optimisations</w:t>
      </w:r>
    </w:p>
    <w:p>
      <w:pPr>
        <w:pStyle w:val="BodyText"/>
      </w:pPr>
      <w:r>
        <w:rPr>
          <w:bCs/>
          <w:b/>
        </w:rPr>
        <w:t xml:space="preserve">Every green edge is a provider call that never happens</w:t>
      </w:r>
      <w:r>
        <w:t xml:space="preserve">, and provider calls are the tenant’s</w:t>
      </w:r>
      <w:r>
        <w:t xml:space="preserve"> </w:t>
      </w:r>
      <w:r>
        <w:t xml:space="preserve">bill rather than the platform’s —</w:t>
      </w:r>
      <w:r>
        <w:t xml:space="preserve"> </w:t>
      </w:r>
      <w:r>
        <w:rPr>
          <w:bCs/>
          <w:b/>
        </w:rPr>
        <w:t xml:space="preserve">which makes this the commercial argument,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infrastructure one.</w:t>
      </w:r>
    </w:p>
    <w:p>
      <w:pPr>
        <w:pStyle w:val="BodyText"/>
      </w:pPr>
      <w:r>
        <w:rPr>
          <w:bCs/>
          <w:b/>
        </w:rPr>
        <w:t xml:space="preserve">The semantic cache is the largest single lever.</w:t>
      </w:r>
      <w:r>
        <w:t xml:space="preserve"> </w:t>
      </w:r>
      <w:r>
        <w:rPr>
          <w:rStyle w:val="VerbatimChar"/>
        </w:rPr>
        <w:t xml:space="preserve">cache:answer</w:t>
      </w:r>
      <w:r>
        <w:t xml:space="preserve"> </w:t>
      </w:r>
      <w:r>
        <w:t xml:space="preserve">is exact-match on question,</w:t>
      </w:r>
      <w:r>
        <w:t xml:space="preserve"> </w:t>
      </w:r>
      <w:r>
        <w:t xml:space="preserve">scope and locale;</w:t>
      </w:r>
      <w:r>
        <w:t xml:space="preserve"> </w:t>
      </w:r>
      <w:r>
        <w:rPr>
          <w:iCs/>
          <w:i/>
        </w:rPr>
        <w:t xml:space="preserve">what time do you close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when do you shut</w:t>
      </w:r>
      <w:r>
        <w:t xml:space="preserve"> </w:t>
      </w:r>
      <w:r>
        <w:t xml:space="preserve">are two misses and two</w:t>
      </w:r>
      <w:r>
        <w:t xml:space="preserve"> </w:t>
      </w:r>
      <w:r>
        <w:t xml:space="preserve">completions.</w:t>
      </w:r>
      <w:r>
        <w:t xml:space="preserve"> </w:t>
      </w:r>
      <w:r>
        <w:rPr>
          <w:bCs/>
          <w:b/>
        </w:rPr>
        <w:t xml:space="preserve">An embedding costs a fraction of a completion</w:t>
      </w:r>
      <w:r>
        <w:t xml:space="preserve">, so the trade is favourable even</w:t>
      </w:r>
      <w:r>
        <w:t xml:space="preserve"> </w:t>
      </w:r>
      <w:r>
        <w:t xml:space="preserve">when it misses.</w:t>
      </w:r>
    </w:p>
    <w:p>
      <w:pPr>
        <w:pStyle w:val="BodyText"/>
      </w:pPr>
      <w:r>
        <w:rPr>
          <w:bCs/>
          <w:b/>
        </w:rPr>
        <w:t xml:space="preserve">Quantisation is the largest infrastructure lever</w:t>
      </w:r>
      <w:r>
        <w:t xml:space="preserve">, and it moves the Qdrant line directly: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AWS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GCP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quantisation, 3 nodes 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 int8, 3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 int8, 1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It costs recall</w:t>
      </w:r>
      <w:r>
        <w:t xml:space="preserve">, and ADR-0034 makes it a declared decision rather than a default for exactly</w:t>
      </w:r>
      <w:r>
        <w:t xml:space="preserve"> </w:t>
      </w:r>
      <w:r>
        <w:t xml:space="preserve">that reason —</w:t>
      </w:r>
      <w:r>
        <w:t xml:space="preserve"> </w:t>
      </w:r>
      <w:r>
        <w:rPr>
          <w:bCs/>
          <w:b/>
        </w:rPr>
        <w:t xml:space="preserve">a tenant whose search quality drops after an infrastructure change should be able</w:t>
      </w:r>
      <w:r>
        <w:rPr>
          <w:bCs/>
          <w:b/>
        </w:rPr>
        <w:t xml:space="preserve"> </w:t>
      </w:r>
      <w:r>
        <w:rPr>
          <w:bCs/>
          <w:b/>
        </w:rPr>
        <w:t xml:space="preserve">to find the line that did it.</w:t>
      </w:r>
    </w:p>
    <w:p>
      <w:pPr>
        <w:pStyle w:val="BodyText"/>
      </w:pPr>
      <w:r>
        <w:rPr>
          <w:bCs/>
          <w:b/>
        </w:rPr>
        <w:t xml:space="preserve">Model cascade and batch embedding do not appear in the table at all</w:t>
      </w:r>
      <w:r>
        <w:t xml:space="preserve">, because they reduce token</w:t>
      </w:r>
      <w:r>
        <w:t xml:space="preserve"> </w:t>
      </w:r>
      <w:r>
        <w:t xml:space="preserve">spend and tokens are BYOK.</w:t>
      </w:r>
      <w:r>
        <w:t xml:space="preserve"> </w:t>
      </w:r>
      <w:r>
        <w:rPr>
          <w:bCs/>
          <w:b/>
        </w:rPr>
        <w:t xml:space="preserve">They are worth more than everything else here and none of it is our</w:t>
      </w:r>
      <w:r>
        <w:rPr>
          <w:bCs/>
          <w:b/>
        </w:rPr>
        <w:t xml:space="preserve"> </w:t>
      </w:r>
      <w:r>
        <w:rPr>
          <w:bCs/>
          <w:b/>
        </w:rPr>
        <w:t xml:space="preserve">bill.</w:t>
      </w:r>
    </w:p>
    <w:bookmarkEnd w:id="69"/>
    <w:bookmarkStart w:id="70" w:name="X17eba56a4bb1ddbef6b64b35d7e4a04b312303a"/>
    <w:p>
      <w:pPr>
        <w:pStyle w:val="Heading3"/>
      </w:pPr>
      <w:r>
        <w:t xml:space="preserve">What the four ADRs add to the platform’s own cost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cell, AWS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cell,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pgbouncer, 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relay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added to config 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$139</w:t>
            </w:r>
          </w:p>
        </w:tc>
      </w:tr>
    </w:tbl>
    <w:p>
      <w:pPr>
        <w:pStyle w:val="BodyText"/>
      </w:pPr>
      <w:r>
        <w:rPr>
          <w:bCs/>
          <w:b/>
        </w:rPr>
        <w:t xml:space="preserve">4.6% of the (b) bill</w:t>
      </w:r>
      <w:r>
        <w:t xml:space="preserve">, and it buys the difference between a tier that scales to twenty replicas</w:t>
      </w:r>
      <w:r>
        <w:t xml:space="preserve"> </w:t>
      </w:r>
      <w:r>
        <w:t xml:space="preserve">and one that stops at six.</w:t>
      </w:r>
    </w:p>
    <w:p>
      <w:pPr>
        <w:pStyle w:val="BodyText"/>
      </w:pPr>
      <w:r>
        <w:rPr>
          <w:bCs/>
          <w:b/>
        </w:rPr>
        <w:t xml:space="preserve">🔴 Three failure tables now exist and nobody has a screen for them.</w:t>
      </w:r>
      <w:r>
        <w:t xml:space="preserve"> </w:t>
      </w:r>
      <w:r>
        <w:rPr>
          <w:rStyle w:val="VerbatimChar"/>
        </w:rPr>
        <w:t xml:space="preserve">sync.rejection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platform.dead_letter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ai.index_failure</w:t>
      </w:r>
      <w:r>
        <w:t xml:space="preserve">.</w:t>
      </w:r>
      <w:r>
        <w:t xml:space="preserve"> </w:t>
      </w:r>
      <w:r>
        <w:rPr>
          <w:bCs/>
          <w:b/>
        </w:rPr>
        <w:t xml:space="preserve">A dead-letter table nobody reads converts a visible</w:t>
      </w:r>
      <w:r>
        <w:rPr>
          <w:bCs/>
          <w:b/>
        </w:rPr>
        <w:t xml:space="preserve"> </w:t>
      </w:r>
      <w:r>
        <w:rPr>
          <w:bCs/>
          <w:b/>
        </w:rPr>
        <w:t xml:space="preserve">outage into an invisible backlog</w:t>
      </w:r>
      <w:r>
        <w:t xml:space="preserve"> </w:t>
      </w:r>
      <w:r>
        <w:t xml:space="preserve">— the dashboard is a gap in the screen layer, not the</w:t>
      </w:r>
      <w:r>
        <w:t xml:space="preserve"> </w:t>
      </w:r>
      <w:r>
        <w:t xml:space="preserve">infrastructure one.</w:t>
      </w:r>
    </w:p>
    <w:bookmarkEnd w:id="70"/>
    <w:bookmarkEnd w:id="71"/>
    <w:bookmarkStart w:id="74" w:name="part-10-which-configuration-a-venue-gets"/>
    <w:p>
      <w:pPr>
        <w:pStyle w:val="Heading2"/>
      </w:pPr>
      <w:r>
        <w:t xml:space="preserve">Part 10 · Which configuration a venue gets</w:t>
      </w:r>
    </w:p>
    <w:p>
      <w:pPr>
        <w:pStyle w:val="FirstParagraph"/>
      </w:pPr>
      <w:r>
        <w:rPr>
          <w:bCs/>
          <w:b/>
        </w:rPr>
        <w:t xml:space="preserve">Mapped to the tiers in Part 2, not to the abstract scales in the brief.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792"/>
        <w:gridCol w:w="1716"/>
        <w:gridCol w:w="792"/>
        <w:gridCol w:w="594"/>
        <w:gridCol w:w="99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  <w:r>
              <w:t xml:space="preserve"> </w:t>
            </w:r>
            <w:r>
              <w:t xml:space="preserve">— museum, water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shared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8/16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  <w:r>
              <w:t xml:space="preserve"> </w:t>
            </w:r>
            <w:r>
              <w:t xml:space="preserve">— theme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shared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8/16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  <w:r>
              <w:t xml:space="preserve"> </w:t>
            </w:r>
            <w:r>
              <w:t xml:space="preserve">— stadium, routine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+ dedicated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8/32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  <w:r>
              <w:t xml:space="preserve"> </w:t>
            </w:r>
            <w:r>
              <w:t xml:space="preserve">— stadium, sell-out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in 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for the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16/32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+$12/hour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Per-venue figures are that venue’s share of a shared cell</w:t>
      </w:r>
      <w:r>
        <w:t xml:space="preserve">, not a stack of its own — which is</w:t>
      </w:r>
      <w:r>
        <w:t xml:space="preserve"> </w:t>
      </w:r>
      <w:r>
        <w:t xml:space="preserve">the point of config (b) and the reason the small tier is $310 rather than the $948 a dedicated cell</w:t>
      </w:r>
      <w:r>
        <w:t xml:space="preserve"> </w:t>
      </w:r>
      <w:r>
        <w:t xml:space="preserve">costs.</w:t>
      </w:r>
    </w:p>
    <w:bookmarkStart w:id="72" w:name="X01bb215ec111760803a51209eeeec5c2ee28e6f"/>
    <w:p>
      <w:pPr>
        <w:pStyle w:val="Heading3"/>
      </w:pPr>
      <w:r>
        <w:t xml:space="preserve">🔴 A small venue cannot justify its own cell</w:t>
      </w:r>
    </w:p>
    <w:p>
      <w:pPr>
        <w:pStyle w:val="FirstParagraph"/>
      </w:pPr>
      <w:r>
        <w:rPr>
          <w:bCs/>
          <w:b/>
        </w:rPr>
        <w:t xml:space="preserve">$948 a month for a museum doing one request per second.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dedicated</w:t>
      </w:r>
      <w:r>
        <w:t xml:space="preserve"> </w:t>
      </w:r>
      <w:r>
        <w:t xml:space="preserve">placement the</w:t>
      </w:r>
      <w:r>
        <w:t xml:space="preserve"> </w:t>
      </w:r>
      <w:r>
        <w:t xml:space="preserve">infrastructure costs more than a member of staff, and</w:t>
      </w:r>
      <w:r>
        <w:t xml:space="preserve"> </w:t>
      </w:r>
      <w:r>
        <w:rPr>
          <w:bCs/>
          <w:b/>
        </w:rPr>
        <w:t xml:space="preserve">that is the conversation to have before</w:t>
      </w:r>
      <w:r>
        <w:rPr>
          <w:bCs/>
          <w:b/>
        </w:rPr>
        <w:t xml:space="preserve"> </w:t>
      </w:r>
      <w:r>
        <w:rPr>
          <w:bCs/>
          <w:b/>
        </w:rPr>
        <w:t xml:space="preserve">promising isolation to a tenant who does not need it.</w:t>
      </w:r>
    </w:p>
    <w:bookmarkEnd w:id="72"/>
    <w:bookmarkStart w:id="73" w:name="the-large-tier-is-two-different-problems"/>
    <w:p>
      <w:pPr>
        <w:pStyle w:val="Heading3"/>
      </w:pPr>
      <w:r>
        <w:t xml:space="preserve">The large tier is two different problems</w:t>
      </w:r>
    </w:p>
    <w:p>
      <w:pPr>
        <w:pStyle w:val="FirstParagraph"/>
      </w:pPr>
      <w:r>
        <w:rPr>
          <w:bCs/>
          <w:b/>
        </w:rPr>
        <w:t xml:space="preserve">A routine Saturday at 60,000 guests is 48.5 RPS steady</w:t>
      </w:r>
      <w:r>
        <w:t xml:space="preserve"> </w:t>
      </w:r>
      <w:r>
        <w:t xml:space="preserve">and fits inside a shared cell with more</w:t>
      </w:r>
      <w:r>
        <w:t xml:space="preserve"> </w:t>
      </w:r>
      <w:r>
        <w:t xml:space="preserve">replicas.</w:t>
      </w:r>
    </w:p>
    <w:p>
      <w:pPr>
        <w:pStyle w:val="BodyText"/>
      </w:pPr>
      <w:r>
        <w:rPr>
          <w:bCs/>
          <w:b/>
        </w:rPr>
        <w:t xml:space="preserve">A sell-out is a different event entirely</w:t>
      </w:r>
      <w:r>
        <w:t xml:space="preserve"> </w:t>
      </w:r>
      <w:r>
        <w:t xml:space="preserve">— 1,045 RPS over two hours, 6,270 if it compresses into</w:t>
      </w:r>
      <w:r>
        <w:t xml:space="preserve"> </w:t>
      </w:r>
      <w:r>
        <w:t xml:space="preserve">twenty minutes.</w:t>
      </w:r>
      <w:r>
        <w:t xml:space="preserve"> </w:t>
      </w:r>
      <w:r>
        <w:rPr>
          <w:bCs/>
          <w:b/>
        </w:rPr>
        <w:t xml:space="preserve">That is config (c), it runs for the window, and it costs twelve dollars.</w:t>
      </w:r>
    </w:p>
    <w:p>
      <w:pPr>
        <w:pStyle w:val="BodyText"/>
      </w:pPr>
      <w:r>
        <w:rPr>
          <w:bCs/>
          <w:b/>
        </w:rPr>
        <w:t xml:space="preserve">The mistake to avoid is provisioning the routine day for the sell-out.</w:t>
      </w:r>
      <w:r>
        <w:t xml:space="preserve"> </w:t>
      </w:r>
      <w:r>
        <w:t xml:space="preserve">A stadium is at 48 RPS</w:t>
      </w:r>
      <w:r>
        <w:t xml:space="preserve"> </w:t>
      </w:r>
      <w:r>
        <w:t xml:space="preserve">for 363 days and 6,000 RPS for two, and</w:t>
      </w:r>
      <w:r>
        <w:t xml:space="preserve"> </w:t>
      </w:r>
      <w:r>
        <w:rPr>
          <w:bCs/>
          <w:b/>
        </w:rPr>
        <w:t xml:space="preserve">paying for the second shape all year is how the (a)</w:t>
      </w:r>
      <w:r>
        <w:rPr>
          <w:bCs/>
          <w:b/>
        </w:rPr>
        <w:t xml:space="preserve"> </w:t>
      </w:r>
      <w:r>
        <w:rPr>
          <w:bCs/>
          <w:b/>
        </w:rPr>
        <w:t xml:space="preserve">numbers happen by accident.</w:t>
      </w:r>
    </w:p>
    <w:bookmarkEnd w:id="73"/>
    <w:bookmarkEnd w:id="74"/>
    <w:bookmarkStart w:id="77" w:name="part-11-what-each-configuration-trades"/>
    <w:p>
      <w:pPr>
        <w:pStyle w:val="Heading2"/>
      </w:pPr>
      <w:r>
        <w:t xml:space="preserve">Part 11 · What each configuration trades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425"/>
        <w:gridCol w:w="1742"/>
        <w:gridCol w:w="1425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(a)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flash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(d′) venue-local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whole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cell, plus one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scope_path</w:t>
            </w:r>
            <w:r>
              <w:t xml:space="preserve"> </w:t>
            </w: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one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per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PITR granularity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cell — all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outgrows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pooler saturates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contention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databases to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stacks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+ 600</w:t>
            </w:r>
          </w:p>
        </w:tc>
      </w:tr>
    </w:tbl>
    <w:bookmarkStart w:id="75" w:name="the-single-strongest-argument-for-each"/>
    <w:p>
      <w:pPr>
        <w:pStyle w:val="Heading3"/>
      </w:pPr>
      <w:r>
        <w:t xml:space="preserve">The single strongest argument for each</w:t>
      </w:r>
    </w:p>
    <w:p>
      <w:pPr>
        <w:pStyle w:val="FirstParagraph"/>
      </w:pPr>
      <w:r>
        <w:rPr>
          <w:bCs/>
          <w:b/>
        </w:rPr>
        <w:t xml:space="preserve">(a)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point-in-time recovery is per tenant.</w:t>
      </w:r>
      <w:r>
        <w:t xml:space="preserve"> </w:t>
      </w:r>
      <w:r>
        <w:t xml:space="preserve">Restoring one customer to last Tuesday touches</w:t>
      </w:r>
      <w:r>
        <w:t xml:space="preserve"> </w:t>
      </w:r>
      <w:r>
        <w:t xml:space="preserve">nobody else.</w:t>
      </w:r>
    </w:p>
    <w:p>
      <w:pPr>
        <w:pStyle w:val="BodyText"/>
      </w:pPr>
      <w:r>
        <w:rPr>
          <w:bCs/>
          <w:b/>
        </w:rPr>
        <w:t xml:space="preserve">(b)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one thing to upgrade.</w:t>
      </w:r>
      <w:r>
        <w:t xml:space="preserve"> </w:t>
      </w:r>
      <w:r>
        <w:t xml:space="preserve">A schema migration is one migration, not two hundred, and the</w:t>
      </w:r>
      <w:r>
        <w:t xml:space="preserve"> </w:t>
      </w:r>
      <w:r>
        <w:t xml:space="preserve">burst tier pools capacity across every quiet tenant.</w:t>
      </w:r>
    </w:p>
    <w:p>
      <w:pPr>
        <w:pStyle w:val="BodyText"/>
      </w:pPr>
      <w:r>
        <w:rPr>
          <w:bCs/>
          <w:b/>
        </w:rPr>
        <w:t xml:space="preserve">(c)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$24, and it isolates the exact failure that cost a client relationship in Bahrain.</w:t>
      </w:r>
    </w:p>
    <w:p>
      <w:pPr>
        <w:pStyle w:val="BodyText"/>
      </w:pPr>
      <w:r>
        <w:rPr>
          <w:bCs/>
          <w:b/>
        </w:rPr>
        <w:t xml:space="preserve">(d′)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 venue trades through a regional outage</w:t>
      </w:r>
      <w:r>
        <w:t xml:space="preserve">, not merely through its own broken</w:t>
      </w:r>
      <w:r>
        <w:t xml:space="preserve"> </w:t>
      </w:r>
      <w:r>
        <w:t xml:space="preserve">connection, which (b) already survives.</w:t>
      </w:r>
    </w:p>
    <w:bookmarkEnd w:id="75"/>
    <w:bookmarkStart w:id="76" w:name="and-the-strongest-argument-against-each"/>
    <w:p>
      <w:pPr>
        <w:pStyle w:val="Heading3"/>
      </w:pPr>
      <w:r>
        <w:t xml:space="preserve">And the strongest argument against each</w:t>
      </w:r>
    </w:p>
    <w:p>
      <w:pPr>
        <w:pStyle w:val="FirstParagraph"/>
      </w:pPr>
      <w:r>
        <w:rPr>
          <w:bCs/>
          <w:b/>
        </w:rPr>
        <w:t xml:space="preserve">(a)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machinery is sized for the software, not the traffic.</w:t>
      </w:r>
      <w:r>
        <w:t xml:space="preserve"> </w:t>
      </w:r>
      <w:r>
        <w:t xml:space="preserve">A museum at 1 RPS costs what</w:t>
      </w:r>
      <w:r>
        <w:t xml:space="preserve"> </w:t>
      </w:r>
      <w:r>
        <w:t xml:space="preserve">a theme park costs.</w:t>
      </w:r>
    </w:p>
    <w:p>
      <w:pPr>
        <w:pStyle w:val="BodyText"/>
      </w:pPr>
      <w:r>
        <w:rPr>
          <w:bCs/>
          <w:b/>
        </w:rPr>
        <w:t xml:space="preserve">(b)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🔴 PITR restores every tenant in the cell.</w:t>
      </w:r>
      <w:r>
        <w:t xml:space="preserve"> </w:t>
      </w:r>
      <w:r>
        <w:t xml:space="preserve">Recovering one customer means recovering all</w:t>
      </w:r>
      <w:r>
        <w:t xml:space="preserve"> </w:t>
      </w:r>
      <w:r>
        <w:t xml:space="preserve">of them.</w:t>
      </w:r>
      <w:r>
        <w:t xml:space="preserve"> </w:t>
      </w:r>
      <w:r>
        <w:rPr>
          <w:bCs/>
          <w:b/>
        </w:rPr>
        <w:t xml:space="preserve">This is not in any cost table and nobody has been told.</w:t>
      </w:r>
    </w:p>
    <w:p>
      <w:pPr>
        <w:pStyle w:val="BodyText"/>
      </w:pPr>
      <w:r>
        <w:rPr>
          <w:bCs/>
          <w:b/>
        </w:rPr>
        <w:t xml:space="preserve">(c)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reconciliation route back is undesigned</w:t>
      </w:r>
      <w:r>
        <w:t xml:space="preserve">, and teardown is a discipline rather than a</w:t>
      </w:r>
      <w:r>
        <w:t xml:space="preserve"> </w:t>
      </w:r>
      <w:r>
        <w:t xml:space="preserve">mechanism until it is automated.</w:t>
      </w:r>
    </w:p>
    <w:p>
      <w:pPr>
        <w:pStyle w:val="BodyText"/>
      </w:pPr>
      <w:r>
        <w:rPr>
          <w:bCs/>
          <w:b/>
        </w:rPr>
        <w:t xml:space="preserve">(d′)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1.8× config (b) for protection against a rarer failure than the one (b) already</w:t>
      </w:r>
      <w:r>
        <w:rPr>
          <w:bCs/>
          <w:b/>
        </w:rPr>
        <w:t xml:space="preserve"> </w:t>
      </w:r>
      <w:r>
        <w:rPr>
          <w:bCs/>
          <w:b/>
        </w:rPr>
        <w:t xml:space="preserve">handles.</w:t>
      </w:r>
    </w:p>
    <w:bookmarkEnd w:id="76"/>
    <w:bookmarkEnd w:id="77"/>
    <w:bookmarkStart w:id="78" w:name="part-12-recommendation"/>
    <w:p>
      <w:pPr>
        <w:pStyle w:val="Heading2"/>
      </w:pPr>
      <w:r>
        <w:t xml:space="preserve">Part 12 · Recommendation</w:t>
      </w:r>
    </w:p>
    <w:p>
      <w:pPr>
        <w:pStyle w:val="FirstParagraph"/>
      </w:pPr>
      <w:r>
        <w:rPr>
          <w:bCs/>
          <w:b/>
        </w:rPr>
        <w:t xml:space="preserve">Default to (b).</w:t>
      </w:r>
      <w:r>
        <w:t xml:space="preserve"> </w:t>
      </w:r>
      <w:r>
        <w:t xml:space="preserve">One cell per jurisdiction, shared burst tier, venue services per venue but not</w:t>
      </w:r>
      <w:r>
        <w:t xml:space="preserve"> </w:t>
      </w:r>
      <w:r>
        <w:t xml:space="preserve">per-venue</w:t>
      </w:r>
      <w:r>
        <w:t xml:space="preserve"> </w:t>
      </w:r>
      <w:r>
        <w:rPr>
          <w:iCs/>
          <w:i/>
        </w:rPr>
        <w:t xml:space="preserve">cells</w:t>
      </w:r>
      <w:r>
        <w:t xml:space="preserve">.</w:t>
      </w:r>
      <w:r>
        <w:t xml:space="preserve"> </w:t>
      </w:r>
      <w:r>
        <w:rPr>
          <w:bCs/>
          <w:b/>
        </w:rPr>
        <w:t xml:space="preserve">815 containers and one database at 200 tenants.</w:t>
      </w:r>
    </w:p>
    <w:p>
      <w:pPr>
        <w:pStyle w:val="BodyText"/>
      </w:pPr>
      <w:r>
        <w:rPr>
          <w:bCs/>
          <w:b/>
        </w:rPr>
        <w:t xml:space="preserve">Offer (a)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dedicated</w:t>
      </w:r>
      <w:r>
        <w:rPr>
          <w:bCs/>
          <w:b/>
        </w:rPr>
        <w:t xml:space="preserve">, per tenant per region.</w:t>
      </w:r>
    </w:p>
    <w:p>
      <w:pPr>
        <w:pStyle w:val="BodyText"/>
      </w:pPr>
      <w:r>
        <w:rPr>
          <w:bCs/>
          <w:b/>
        </w:rPr>
        <w:t xml:space="preserve">Offer (d′) as an upgrade to (b), not an alternative.</w:t>
      </w:r>
      <w:r>
        <w:t xml:space="preserve"> </w:t>
      </w:r>
      <w:r>
        <w:t xml:space="preserve">The only reason to take it is a venue that</w:t>
      </w:r>
      <w:r>
        <w:t xml:space="preserve"> </w:t>
      </w:r>
      <w:r>
        <w:t xml:space="preserve">must trade through a regional outage.</w:t>
      </w:r>
    </w:p>
    <w:p>
      <w:pPr>
        <w:pStyle w:val="BodyText"/>
      </w:pPr>
      <w:r>
        <w:rPr>
          <w:bCs/>
          <w:b/>
        </w:rPr>
        <w:t xml:space="preserve">Keep (c) ephemeral and separate.</w:t>
      </w:r>
    </w:p>
    <w:p>
      <w:pPr>
        <w:pStyle w:val="BodyText"/>
      </w:pPr>
      <w:r>
        <w:rPr>
          <w:bCs/>
          <w:b/>
        </w:rPr>
        <w:t xml:space="preserve">Add the AI tier once, not per configuration.</w:t>
      </w:r>
      <w:r>
        <w:t xml:space="preserve"> </w:t>
      </w:r>
      <w:r>
        <w:t xml:space="preserve">It is shared, sized by tenant count, and at</w:t>
      </w:r>
      <w:r>
        <w:t xml:space="preserve"> </w:t>
      </w:r>
      <w:r>
        <w:t xml:space="preserve">$1,148 a month on AWS it is 1.2% of the (b) bill at 200 tenants —</w:t>
      </w:r>
      <w:r>
        <w:t xml:space="preserve"> </w:t>
      </w:r>
      <w:r>
        <w:rPr>
          <w:bCs/>
          <w:b/>
        </w:rPr>
        <w:t xml:space="preserve">but it is the only component</w:t>
      </w:r>
      <w:r>
        <w:rPr>
          <w:bCs/>
          <w:b/>
        </w:rPr>
        <w:t xml:space="preserve"> </w:t>
      </w:r>
      <w:r>
        <w:rPr>
          <w:bCs/>
          <w:b/>
        </w:rPr>
        <w:t xml:space="preserve">whose compliance is unconfirmed</w:t>
      </w:r>
      <w:r>
        <w:t xml:space="preserve">, and that matters more than its cost.</w:t>
      </w:r>
    </w:p>
    <w:bookmarkEnd w:id="78"/>
    <w:bookmarkStart w:id="85" w:name="part-13-implementation-notes"/>
    <w:p>
      <w:pPr>
        <w:pStyle w:val="Heading2"/>
      </w:pPr>
      <w:r>
        <w:t xml:space="preserve">Part 13 · Implementation notes</w:t>
      </w:r>
    </w:p>
    <w:p>
      <w:pPr>
        <w:pStyle w:val="FirstParagraph"/>
      </w:pPr>
      <w:r>
        <w:rPr>
          <w:bCs/>
          <w:b/>
        </w:rPr>
        <w:t xml:space="preserve">The detail a commercial summary cannot carry.</w:t>
      </w:r>
    </w:p>
    <w:bookmarkStart w:id="79" w:name="postgres-configuration-per-configuration"/>
    <w:p>
      <w:pPr>
        <w:pStyle w:val="Heading3"/>
      </w:pPr>
      <w:r>
        <w:t xml:space="preserve">Postgres configuration, per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5"/>
        <w:gridCol w:w="1650"/>
        <w:gridCol w:w="2475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flash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behind pgbouncer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behind pgbouncer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shared_buffers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synchronous_commit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</w:t>
            </w:r>
            <w:r>
              <w:t xml:space="preserve"> </w:t>
            </w:r>
            <w:r>
              <w:t xml:space="preserve">— a decision, see Part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effective_cache_size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random_page_cost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read-only for catalogue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random_page_cost = 1.1</w:t>
      </w:r>
      <w:r>
        <w:rPr>
          <w:bCs/>
          <w:b/>
        </w:rPr>
        <w:t xml:space="preserve"> </w:t>
      </w:r>
      <w:r>
        <w:rPr>
          <w:bCs/>
          <w:b/>
        </w:rPr>
        <w:t xml:space="preserve">on all three</w:t>
      </w:r>
      <w:r>
        <w:t xml:space="preserve"> </w:t>
      </w:r>
      <w:r>
        <w:t xml:space="preserve">because every one runs on SSD.</w:t>
      </w:r>
      <w:r>
        <w:t xml:space="preserve"> </w:t>
      </w:r>
      <w:r>
        <w:rPr>
          <w:bCs/>
          <w:b/>
        </w:rPr>
        <w:t xml:space="preserve">The default of 4.0 is</w:t>
      </w:r>
      <w:r>
        <w:rPr>
          <w:bCs/>
          <w:b/>
        </w:rPr>
        <w:t xml:space="preserve"> </w:t>
      </w:r>
      <w:r>
        <w:rPr>
          <w:bCs/>
          <w:b/>
        </w:rPr>
        <w:t xml:space="preserve">tuned for spinning disks</w:t>
      </w:r>
      <w:r>
        <w:t xml:space="preserve"> </w:t>
      </w:r>
      <w:r>
        <w:t xml:space="preserve">and makes the planner avoid index scans it should be choosing.</w:t>
      </w:r>
    </w:p>
    <w:bookmarkEnd w:id="79"/>
    <w:bookmarkStart w:id="80" w:name="Xbcb1b417dccbba04bab01e36c18c04007407c67"/>
    <w:p>
      <w:pPr>
        <w:pStyle w:val="Heading3"/>
      </w:pPr>
      <w:r>
        <w:t xml:space="preserve">Connection arithmetic, which is where (b) actually fails</w:t>
      </w:r>
    </w:p>
    <w:p>
      <w:pPr>
        <w:pStyle w:val="FirstParagraph"/>
      </w:pPr>
      <w:r>
        <w:rPr>
          <w:bCs/>
          <w:b/>
        </w:rPr>
        <w:t xml:space="preserve">Twelve shared services, each scaling to twenty replicas, each holding twenty connections is</w:t>
      </w:r>
      <w:r>
        <w:rPr>
          <w:bCs/>
          <w:b/>
        </w:rPr>
        <w:t xml:space="preserve"> </w:t>
      </w:r>
      <w:r>
        <w:rPr>
          <w:bCs/>
          <w:b/>
        </w:rPr>
        <w:t xml:space="preserve">4,800.</w:t>
      </w:r>
      <w:r>
        <w:t xml:space="preserve"> </w:t>
      </w:r>
      <w:r>
        <w:t xml:space="preserve">Postgres will refuse at 500.</w:t>
      </w:r>
    </w:p>
    <w:p>
      <w:pPr>
        <w:pStyle w:val="BodyText"/>
      </w:pPr>
      <w:r>
        <w:rPr>
          <w:bCs/>
          <w:b/>
        </w:rPr>
        <w:t xml:space="preserve">pgbouncer in transaction mode collapses that</w:t>
      </w:r>
      <w:r>
        <w:t xml:space="preserve">: a connection is held for the duration of a</w:t>
      </w:r>
      <w:r>
        <w:t xml:space="preserve"> </w:t>
      </w:r>
      <w:r>
        <w:t xml:space="preserve">statement rather than a session, so</w:t>
      </w:r>
      <w:r>
        <w:t xml:space="preserve"> </w:t>
      </w:r>
      <w:r>
        <w:rPr>
          <w:bCs/>
          <w:b/>
        </w:rPr>
        <w:t xml:space="preserve">4,800 client connections share roughly 40 server ones</w:t>
      </w:r>
      <w:r>
        <w:t xml:space="preserve"> </w:t>
      </w:r>
      <w:r>
        <w:t xml:space="preserve">at</w:t>
      </w:r>
      <w:r>
        <w:t xml:space="preserve"> </w:t>
      </w:r>
      <w:r>
        <w:t xml:space="preserve">realistic concurrency.</w:t>
      </w:r>
    </w:p>
    <w:p>
      <w:pPr>
        <w:pStyle w:val="BodyText"/>
      </w:pPr>
      <w:r>
        <w:rPr>
          <w:bCs/>
          <w:b/>
        </w:rPr>
        <w:t xml:space="preserve">What transaction mode forbids</w:t>
      </w:r>
      <w:r>
        <w:t xml:space="preserve"> </w:t>
      </w:r>
      <w:r>
        <w:t xml:space="preserve">and every service must respect:</w:t>
      </w:r>
    </w:p>
    <w:p>
      <w:pPr>
        <w:numPr>
          <w:ilvl w:val="0"/>
          <w:numId w:val="1001"/>
        </w:numPr>
        <w:pStyle w:val="Compact"/>
      </w:pPr>
      <w:r>
        <w:t xml:space="preserve">No prepared statements across transactions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outside a transaction — including</w:t>
      </w:r>
      <w:r>
        <w:t xml:space="preserve"> </w:t>
      </w:r>
      <w:r>
        <w:rPr>
          <w:rStyle w:val="VerbatimChar"/>
        </w:rPr>
        <w:t xml:space="preserve">SET search_path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advisory lock held between statements</w:t>
      </w:r>
      <w:r>
        <w:t xml:space="preserve"> </w:t>
      </w:r>
      <w:r>
        <w:t xml:space="preserve">— ADR-0031’s singleton lock is taken and released</w:t>
      </w:r>
      <w:r>
        <w:t xml:space="preserve"> </w:t>
      </w:r>
      <w:r>
        <w:t xml:space="preserve">inside one transaction for exactly this reason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/</w:t>
      </w:r>
      <w:r>
        <w:rPr>
          <w:rStyle w:val="VerbatimChar"/>
        </w:rPr>
        <w:t xml:space="preserve">NOTIFY</w:t>
      </w:r>
    </w:p>
    <w:p>
      <w:pPr>
        <w:pStyle w:val="FirstParagraph"/>
      </w:pPr>
      <w:r>
        <w:rPr>
          <w:bCs/>
          <w:b/>
        </w:rPr>
        <w:t xml:space="preserve">A service that breaks one of these fails intermittently under load and works perfectly in</w:t>
      </w:r>
      <w:r>
        <w:rPr>
          <w:bCs/>
          <w:b/>
        </w:rPr>
        <w:t xml:space="preserve"> </w:t>
      </w:r>
      <w:r>
        <w:rPr>
          <w:bCs/>
          <w:b/>
        </w:rPr>
        <w:t xml:space="preserve">development</w:t>
      </w:r>
      <w:r>
        <w:t xml:space="preserve">, which is the worst failure shape there is.</w:t>
      </w:r>
    </w:p>
    <w:bookmarkEnd w:id="80"/>
    <w:bookmarkStart w:id="81" w:name="autoscaling-triggers"/>
    <w:p>
      <w:pPr>
        <w:pStyle w:val="Heading3"/>
      </w:pPr>
      <w:r>
        <w:t xml:space="preserve">Autoscaling triggers</w:t>
      </w:r>
    </w:p>
    <w:p>
      <w:pPr>
        <w:pStyle w:val="FirstParagraph"/>
      </w:pPr>
      <w:r>
        <w:rPr>
          <w:bCs/>
          <w:b/>
        </w:rPr>
        <w:t xml:space="preserve">On requests per second, not CPU.</w:t>
      </w:r>
    </w:p>
    <w:p>
      <w:pPr>
        <w:pStyle w:val="BodyText"/>
      </w:pPr>
      <w:r>
        <w:rPr>
          <w:bCs/>
          <w:b/>
        </w:rPr>
        <w:t xml:space="preserve">CPU lags a burst by the time it takes to fill a queue.</w:t>
      </w:r>
      <w:r>
        <w:t xml:space="preserve"> </w:t>
      </w:r>
      <w:r>
        <w:t xml:space="preserve">A fifty-second flash sale is over before</w:t>
      </w:r>
      <w:r>
        <w:t xml:space="preserve"> </w:t>
      </w:r>
      <w:r>
        <w:t xml:space="preserve">a CPU-triggered scale-out has served anything, and by the time CPU registers the load the latency</w:t>
      </w:r>
      <w:r>
        <w:t xml:space="preserve"> </w:t>
      </w:r>
      <w:r>
        <w:t xml:space="preserve">damage is already done.</w:t>
      </w:r>
    </w:p>
    <w:p>
      <w:pPr>
        <w:pStyle w:val="SourceCode"/>
      </w:pPr>
      <w:r>
        <w:rPr>
          <w:rStyle w:val="VerbatimChar"/>
        </w:rPr>
        <w:t xml:space="preserve">Catalogue    scale out at 400 RPS/replica    cooldown 60s     min 4  max 20</w:t>
      </w:r>
      <w:r>
        <w:br/>
      </w:r>
      <w:r>
        <w:rPr>
          <w:rStyle w:val="VerbatimChar"/>
        </w:rPr>
        <w:t xml:space="preserve">Order        scale out at 250 RPS/replica    cooldown 60s     min 4  max 16</w:t>
      </w:r>
      <w:r>
        <w:br/>
      </w:r>
      <w:r>
        <w:rPr>
          <w:rStyle w:val="VerbatimChar"/>
        </w:rPr>
        <w:t xml:space="preserve">Identity     scale out at 600 RPS/replica    cooldown 90s     min 3  max 8</w:t>
      </w:r>
      <w:r>
        <w:br/>
      </w:r>
      <w:r>
        <w:rPr>
          <w:rStyle w:val="VerbatimChar"/>
        </w:rPr>
        <w:t xml:space="preserve">Access       scale out at 800 RPS/replica    cooldown 120s    min 2  max 6</w:t>
      </w:r>
    </w:p>
    <w:p>
      <w:pPr>
        <w:pStyle w:val="FirstParagraph"/>
      </w:pPr>
      <w:r>
        <w:rPr>
          <w:bCs/>
          <w:b/>
        </w:rPr>
        <w:t xml:space="preserve">Per-replica thresholds are hypotheses.</w:t>
      </w:r>
      <w:r>
        <w:t xml:space="preserve"> </w:t>
      </w:r>
      <w:r>
        <w:rPr>
          <w:rStyle w:val="VerbatimChar"/>
        </w:rPr>
        <w:t xml:space="preserve">tools/bench.py</w:t>
      </w:r>
      <w:r>
        <w:t xml:space="preserve"> </w:t>
      </w:r>
      <w:r>
        <w:t xml:space="preserve">establishes the real ones, and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Order figure is the one most likely to be wrong</w:t>
      </w:r>
      <w:r>
        <w:t xml:space="preserve"> </w:t>
      </w:r>
      <w:r>
        <w:t xml:space="preserve">because it is bounded by lease contention rather</w:t>
      </w:r>
      <w:r>
        <w:t xml:space="preserve"> </w:t>
      </w:r>
      <w:r>
        <w:t xml:space="preserve">than by CPU.</w:t>
      </w:r>
    </w:p>
    <w:p>
      <w:pPr>
        <w:pStyle w:val="BodyText"/>
      </w:pPr>
      <w:r>
        <w:rPr>
          <w:bCs/>
          <w:b/>
        </w:rPr>
        <w:t xml:space="preserve">Scale in is slower than scale out</w:t>
      </w:r>
      <w:r>
        <w:t xml:space="preserve">, deliberately: 5 minutes against 60 seconds.</w:t>
      </w:r>
      <w:r>
        <w:t xml:space="preserve"> </w:t>
      </w:r>
      <w:r>
        <w:rPr>
          <w:bCs/>
          <w:b/>
        </w:rPr>
        <w:t xml:space="preserve">A sale that</w:t>
      </w:r>
      <w:r>
        <w:rPr>
          <w:bCs/>
          <w:b/>
        </w:rPr>
        <w:t xml:space="preserve"> </w:t>
      </w:r>
      <w:r>
        <w:rPr>
          <w:bCs/>
          <w:b/>
        </w:rPr>
        <w:t xml:space="preserve">pauses for ninety seconds should not lose its capacity.</w:t>
      </w:r>
    </w:p>
    <w:bookmarkEnd w:id="81"/>
    <w:bookmarkStart w:id="82" w:name="health-readiness-and-the-difference"/>
    <w:p>
      <w:pPr>
        <w:pStyle w:val="Heading3"/>
      </w:pPr>
      <w:r>
        <w:t xml:space="preserve">Health, readiness and the difference</w:t>
      </w:r>
    </w:p>
    <w:p>
      <w:pPr>
        <w:pStyle w:val="FirstParagraph"/>
      </w:pPr>
      <w:r>
        <w:rPr>
          <w:bCs/>
          <w:b/>
        </w:rPr>
        <w:t xml:space="preserve">Readiness fails when the pool is exhausted or the database is unreachable.</w:t>
      </w:r>
      <w:r>
        <w:t xml:space="preserve"> </w:t>
      </w:r>
      <w:r>
        <w:t xml:space="preserve">The instance stops</w:t>
      </w:r>
      <w:r>
        <w:t xml:space="preserve"> </w:t>
      </w:r>
      <w:r>
        <w:t xml:space="preserve">receiving traffic and is not killed.</w:t>
      </w:r>
    </w:p>
    <w:p>
      <w:pPr>
        <w:pStyle w:val="BodyText"/>
      </w:pPr>
      <w:r>
        <w:rPr>
          <w:bCs/>
          <w:b/>
        </w:rPr>
        <w:t xml:space="preserve">Liveness fails only on a deadlocked process.</w:t>
      </w:r>
      <w:r>
        <w:t xml:space="preserve"> </w:t>
      </w:r>
      <w:r>
        <w:rPr>
          <w:bCs/>
          <w:b/>
        </w:rPr>
        <w:t xml:space="preserve">An instance that is merely overloaded must not be</w:t>
      </w:r>
      <w:r>
        <w:rPr>
          <w:bCs/>
          <w:b/>
        </w:rPr>
        <w:t xml:space="preserve"> </w:t>
      </w:r>
      <w:r>
        <w:rPr>
          <w:bCs/>
          <w:b/>
        </w:rPr>
        <w:t xml:space="preserve">restarted</w:t>
      </w:r>
      <w:r>
        <w:t xml:space="preserve"> </w:t>
      </w:r>
      <w:r>
        <w:t xml:space="preserve">— restarting it moves its load onto its equally overloaded neighbours, which is how a</w:t>
      </w:r>
      <w:r>
        <w:t xml:space="preserve"> </w:t>
      </w:r>
      <w:r>
        <w:t xml:space="preserve">brownout becomes an outage.</w:t>
      </w:r>
    </w:p>
    <w:p>
      <w:pPr>
        <w:pStyle w:val="BodyText"/>
      </w:pPr>
      <w:r>
        <w:rPr>
          <w:rStyle w:val="VerbatimChar"/>
          <w:bCs/>
          <w:b/>
        </w:rPr>
        <w:t xml:space="preserve">/_health</w:t>
      </w:r>
      <w:r>
        <w:rPr>
          <w:bCs/>
          <w:b/>
        </w:rPr>
        <w:t xml:space="preserve"> </w:t>
      </w:r>
      <w:r>
        <w:rPr>
          <w:bCs/>
          <w:b/>
        </w:rPr>
        <w:t xml:space="preserve">already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poolSize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poolIdle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coldStartMs</w:t>
      </w:r>
      <w:r>
        <w:t xml:space="preserve"> </w:t>
      </w:r>
      <w:r>
        <w:t xml:space="preserve">in the generated skeletons.</w:t>
      </w:r>
    </w:p>
    <w:bookmarkEnd w:id="82"/>
    <w:bookmarkStart w:id="83" w:name="cold-start"/>
    <w:p>
      <w:pPr>
        <w:pStyle w:val="Heading3"/>
      </w:pPr>
      <w:r>
        <w:t xml:space="preserve">Cold start</w:t>
      </w:r>
    </w:p>
    <w:p>
      <w:pPr>
        <w:pStyle w:val="FirstParagraph"/>
      </w:pPr>
      <w:r>
        <w:rPr>
          <w:bCs/>
          <w:b/>
        </w:rPr>
        <w:t xml:space="preserve">A pool that fills lazily makes the first request the slow one and the container look healthy.</w:t>
      </w:r>
      <w:r>
        <w:t xml:space="preserve"> </w:t>
      </w:r>
      <w:r>
        <w:t xml:space="preserve">The skeletons fill the pool at startup and time it, which is why</w:t>
      </w:r>
      <w:r>
        <w:t xml:space="preserve"> </w:t>
      </w:r>
      <w:r>
        <w:rPr>
          <w:rStyle w:val="VerbatimChar"/>
        </w:rPr>
        <w:t xml:space="preserve">coldStartMs</w:t>
      </w:r>
      <w:r>
        <w:t xml:space="preserve"> </w:t>
      </w:r>
      <w:r>
        <w:t xml:space="preserve">is a field.</w:t>
      </w:r>
    </w:p>
    <w:p>
      <w:pPr>
        <w:pStyle w:val="BodyText"/>
      </w:pPr>
      <w:r>
        <w:rPr>
          <w:bCs/>
          <w:b/>
        </w:rPr>
        <w:t xml:space="preserve">Budget: under 5 seconds to ready.</w:t>
      </w:r>
      <w:r>
        <w:t xml:space="preserve"> </w:t>
      </w:r>
      <w:r>
        <w:t xml:space="preserve">Above that, autoscaling cannot respond inside a burst and the</w:t>
      </w:r>
      <w:r>
        <w:t xml:space="preserve"> </w:t>
      </w:r>
      <w:r>
        <w:t xml:space="preserve">minimum replica count has to absorb it instead —</w:t>
      </w:r>
      <w:r>
        <w:t xml:space="preserve"> </w:t>
      </w:r>
      <w:r>
        <w:rPr>
          <w:bCs/>
          <w:b/>
        </w:rPr>
        <w:t xml:space="preserve">which means paying for idle capacity to cover a</w:t>
      </w:r>
      <w:r>
        <w:rPr>
          <w:bCs/>
          <w:b/>
        </w:rPr>
        <w:t xml:space="preserve"> </w:t>
      </w:r>
      <w:r>
        <w:rPr>
          <w:bCs/>
          <w:b/>
        </w:rPr>
        <w:t xml:space="preserve">slow start.</w:t>
      </w:r>
    </w:p>
    <w:bookmarkEnd w:id="83"/>
    <w:bookmarkStart w:id="84" w:name="X46f8ac8b249b2b42d76225b71c5f1878c343d98"/>
    <w:p>
      <w:pPr>
        <w:pStyle w:val="Heading3"/>
      </w:pPr>
      <w:r>
        <w:t xml:space="preserve">Backup and restore, which nothing in the package states</w:t>
      </w:r>
    </w:p>
    <w:p>
      <w:pPr>
        <w:pStyle w:val="FirstParagraph"/>
      </w:pPr>
      <w:r>
        <w:rPr>
          <w:bCs/>
          <w:b/>
        </w:rPr>
        <w:t xml:space="preserve">🔴 There is no RPO or RTO anywhere in 34 ADRs.</w:t>
      </w:r>
      <w:r>
        <w:t xml:space="preserve"> </w:t>
      </w:r>
      <w:r>
        <w:t xml:space="preserve">These are the shapes each configuration can</w:t>
      </w:r>
      <w:r>
        <w:t xml:space="preserve"> </w:t>
      </w:r>
      <w:r>
        <w:t xml:space="preserve">support, not targets anybody has agreed: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(a)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flash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archiving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— ephemeral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Point-in-time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the cell, all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tenant in the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Point-in-time recovery on a shared cell restores every tenant in it.</w:t>
      </w:r>
      <w:r>
        <w:t xml:space="preserve"> </w:t>
      </w:r>
      <w:r>
        <w:t xml:space="preserve">Recovering one tenant to</w:t>
      </w:r>
      <w:r>
        <w:t xml:space="preserve"> </w:t>
      </w:r>
      <w:r>
        <w:t xml:space="preserve">last Tuesday means recovering all of them, and</w:t>
      </w:r>
      <w:r>
        <w:t xml:space="preserve"> </w:t>
      </w:r>
      <w:r>
        <w:rPr>
          <w:bCs/>
          <w:b/>
        </w:rPr>
        <w:t xml:space="preserve">that is a property nobody has been told about.</w:t>
      </w:r>
    </w:p>
    <w:p>
      <w:pPr>
        <w:pStyle w:val="BodyText"/>
      </w:pPr>
      <w:r>
        <w:rPr>
          <w:bCs/>
          <w:b/>
        </w:rPr>
        <w:t xml:space="preserve">It is the strongest technical argument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placement</w:t>
      </w:r>
      <w:r>
        <w:t xml:space="preserve"> </w:t>
      </w:r>
      <w:r>
        <w:t xml:space="preserve">and it is not in the cost</w:t>
      </w:r>
      <w:r>
        <w:t xml:space="preserve"> </w:t>
      </w:r>
      <w:r>
        <w:t xml:space="preserve">table, because it does not show up until the day it matters.</w:t>
      </w:r>
    </w:p>
    <w:bookmarkEnd w:id="84"/>
    <w:bookmarkEnd w:id="85"/>
    <w:bookmarkStart w:id="86" w:name="part-14-what-would-falsify-this"/>
    <w:p>
      <w:pPr>
        <w:pStyle w:val="Heading2"/>
      </w:pPr>
      <w:r>
        <w:t xml:space="preserve">Part 14 · What would falsify this</w:t>
      </w:r>
    </w:p>
    <w:p>
      <w:pPr>
        <w:pStyle w:val="FirstParagraph"/>
      </w:pPr>
      <w:r>
        <w:rPr>
          <w:bCs/>
          <w:b/>
        </w:rPr>
        <w:t xml:space="preserve">Every figure above is a container count and a limit, not a measurement.</w:t>
      </w:r>
      <w:r>
        <w:t xml:space="preserve"> </w:t>
      </w:r>
      <w:r>
        <w:rPr>
          <w:rStyle w:val="VerbatimChar"/>
        </w:rPr>
        <w:t xml:space="preserve">tools/bench.py</w:t>
      </w:r>
      <w:r>
        <w:t xml:space="preserve"> </w:t>
      </w:r>
      <w:r>
        <w:t xml:space="preserve">runs</w:t>
      </w:r>
      <w:r>
        <w:t xml:space="preserve"> </w:t>
      </w:r>
      <w:r>
        <w:t xml:space="preserve">the same workload against all four.</w:t>
      </w:r>
    </w:p>
    <w:p>
      <w:pPr>
        <w:pStyle w:val="BodyText"/>
      </w:pPr>
      <w:r>
        <w:rPr>
          <w:bCs/>
          <w:b/>
        </w:rPr>
        <w:t xml:space="preserve">Decides (b) at scale</w:t>
      </w:r>
      <w:r>
        <w:t xml:space="preserve">: the replica count at which pgbouncer becomes the bottleneck instead of</w:t>
      </w:r>
      <w:r>
        <w:t xml:space="preserve"> </w:t>
      </w:r>
      <w:r>
        <w:t xml:space="preserve">Postgres.</w:t>
      </w:r>
    </w:p>
    <w:p>
      <w:pPr>
        <w:pStyle w:val="BodyText"/>
      </w:pPr>
      <w:r>
        <w:rPr>
          <w:bCs/>
          <w:b/>
        </w:rPr>
        <w:t xml:space="preserve">Decides (d′)</w:t>
      </w:r>
      <w:r>
        <w:t xml:space="preserve">: whether a venue-local Postgres at 1 vCPU / 2 GB sustains F&amp;B and Inventory during</w:t>
      </w:r>
      <w:r>
        <w:t xml:space="preserve"> </w:t>
      </w:r>
      <w:r>
        <w:t xml:space="preserve">service.</w:t>
      </w:r>
      <w:r>
        <w:t xml:space="preserve"> </w:t>
      </w:r>
      <w:r>
        <w:rPr>
          <w:bCs/>
          <w:b/>
        </w:rPr>
        <w:t xml:space="preserve">If it does not, the venue tier needs more and the 1.8× becomes worse.</w:t>
      </w:r>
    </w:p>
    <w:p>
      <w:pPr>
        <w:pStyle w:val="BodyText"/>
      </w:pPr>
      <w:r>
        <w:rPr>
          <w:bCs/>
          <w:b/>
        </w:rPr>
        <w:t xml:space="preserve">Decides (c)</w:t>
      </w:r>
      <w:r>
        <w:t xml:space="preserve">: lease contention throughput on one hot performance.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tools/bench.py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hot-venue </w:t>
      </w:r>
      <w:r>
        <w:rPr>
          <w:rStyle w:val="AttributeTok"/>
        </w:rPr>
        <w:t xml:space="preserve">--rps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600</w:t>
      </w:r>
    </w:p>
    <w:p>
      <w:pPr>
        <w:pStyle w:val="FirstParagraph"/>
      </w:pPr>
      <w:r>
        <w:rPr>
          <w:rStyle w:val="VerbatimChar"/>
          <w:bCs/>
          <w:b/>
        </w:rPr>
        <w:t xml:space="preserve">hot-venue</w:t>
      </w:r>
      <w:r>
        <w:rPr>
          <w:bCs/>
          <w:b/>
        </w:rPr>
        <w:t xml:space="preserve"> </w:t>
      </w:r>
      <w:r>
        <w:rPr>
          <w:bCs/>
          <w:b/>
        </w:rPr>
        <w:t xml:space="preserve">sends 90% of load to one venue</w:t>
      </w:r>
      <w:r>
        <w:t xml:space="preserve"> </w:t>
      </w:r>
      <w:r>
        <w:t xml:space="preserve">— the Bahrain distribution, and the pattern that</w:t>
      </w:r>
      <w:r>
        <w:t xml:space="preserve"> </w:t>
      </w:r>
      <w:r>
        <w:t xml:space="preserve">separates the four most sharply.</w:t>
      </w:r>
    </w:p>
    <w:bookmarkEnd w:id="86"/>
    <w:bookmarkStart w:id="87" w:name="part-15-still-blocking"/>
    <w:p>
      <w:pPr>
        <w:pStyle w:val="Heading2"/>
      </w:pPr>
      <w:r>
        <w:t xml:space="preserve">Part 15 · Still blocking</w:t>
      </w:r>
    </w:p>
    <w:p>
      <w:pPr>
        <w:pStyle w:val="FirstParagraph"/>
      </w:pPr>
      <w:r>
        <w:rPr>
          <w:bCs/>
          <w:b/>
        </w:rPr>
        <w:t xml:space="preserve">CF-161</w:t>
      </w:r>
      <w:r>
        <w:t xml:space="preserve"> </w:t>
      </w:r>
      <w:r>
        <w:t xml:space="preserve">— one database per cell or one per service.</w:t>
      </w:r>
      <w:r>
        <w:t xml:space="preserve"> </w:t>
      </w:r>
      <w:r>
        <w:rPr>
          <w:bCs/>
          <w:b/>
        </w:rPr>
        <w:t xml:space="preserve">Every connection number here assumes</w:t>
      </w:r>
      <w:r>
        <w:rPr>
          <w:bCs/>
          <w:b/>
        </w:rPr>
        <w:t xml:space="preserve"> </w:t>
      </w:r>
      <w:r>
        <w:rPr>
          <w:bCs/>
          <w:b/>
        </w:rPr>
        <w:t xml:space="preserve">shared-schema</w:t>
      </w:r>
      <w:r>
        <w:t xml:space="preserve">, and per-service databases turn (d′)’s 601 databases into several thousand.</w:t>
      </w:r>
      <w:r>
        <w:t xml:space="preserve"> </w:t>
      </w:r>
      <w:r>
        <w:rPr>
          <w:bCs/>
          <w:b/>
        </w:rPr>
        <w:t xml:space="preserve">ADR-0028</w:t>
      </w:r>
      <w:r>
        <w:rPr>
          <w:bCs/>
          <w:b/>
        </w:rPr>
        <w:t xml:space="preserve"> </w:t>
      </w:r>
      <w:r>
        <w:rPr>
          <w:bCs/>
          <w:b/>
        </w:rPr>
        <w:t xml:space="preserve">still reads Accepted while contradicting a client-facing recommendation.</w:t>
      </w:r>
    </w:p>
    <w:p>
      <w:pPr>
        <w:pStyle w:val="BodyText"/>
      </w:pPr>
      <w:r>
        <w:rPr>
          <w:bCs/>
          <w:b/>
        </w:rPr>
        <w:t xml:space="preserve">CF-64</w:t>
      </w:r>
      <w:r>
        <w:t xml:space="preserve"> </w:t>
      </w:r>
      <w:r>
        <w:t xml:space="preserve">— AWS or Azure, pending DESC.</w:t>
      </w:r>
      <w:r>
        <w:t xml:space="preserve"> </w:t>
      </w:r>
      <w:r>
        <w:rPr>
          <w:bCs/>
          <w:b/>
        </w:rPr>
        <w:t xml:space="preserve">This document prices AWS and GCP because those were</w:t>
      </w:r>
      <w:r>
        <w:rPr>
          <w:bCs/>
          <w:b/>
        </w:rPr>
        <w:t xml:space="preserve"> </w:t>
      </w:r>
      <w:r>
        <w:rPr>
          <w:bCs/>
          <w:b/>
        </w:rPr>
        <w:t xml:space="preserve">asked for; Azure is not costed and should be if it is still a candidate.</w:t>
      </w:r>
      <w:r>
        <w:t xml:space="preserve"> </w:t>
      </w:r>
      <w:r>
        <w:t xml:space="preserve">CF-64 also carries RPO</w:t>
      </w:r>
      <w:r>
        <w:t xml:space="preserve"> </w:t>
      </w:r>
      <w:r>
        <w:t xml:space="preserve">and RTO, which are stated nowhere in the package.</w:t>
      </w:r>
    </w:p>
    <w:bookmarkEnd w:id="87"/>
    <w:bookmarkEnd w:id="88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66" Target="media/rId66.png" /><Relationship Type="http://schemas.openxmlformats.org/officeDocument/2006/relationships/image" Id="rId54" Target="media/rId54.png" /><Relationship Type="http://schemas.openxmlformats.org/officeDocument/2006/relationships/image" Id="rId33" Target="media/rId33.png" /><Relationship Type="http://schemas.openxmlformats.org/officeDocument/2006/relationships/image" Id="rId62" Target="media/rId62.png" /><Relationship Type="http://schemas.openxmlformats.org/officeDocument/2006/relationships/image" Id="rId39" Target="media/rId39.png" /><Relationship Type="http://schemas.openxmlformats.org/officeDocument/2006/relationships/image" Id="rId46" Target="media/rId46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Deployment architecture (technical)</dc:title>
  <dc:creator/>
  <cp:keywords/>
  <dcterms:created xsi:type="dcterms:W3CDTF">2026-09-01T08:29:26Z</dcterms:created>
  <dcterms:modified xsi:type="dcterms:W3CDTF">2026-09-01T08:29:26Z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