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TICVAI</w:t>
      </w:r>
      <w:r>
        <w:t xml:space="preserve"> </w:t>
      </w:r>
      <w:r>
        <w:t xml:space="preserve">—</w:t>
      </w:r>
      <w:r>
        <w:t xml:space="preserve"> </w:t>
      </w:r>
      <w:r>
        <w:t xml:space="preserve">Flow</w:t>
      </w:r>
      <w:r>
        <w:t xml:space="preserve"> </w:t>
      </w:r>
      <w:r>
        <w:t xml:space="preserve">coverage</w:t>
      </w:r>
      <w:r>
        <w:t xml:space="preserve"> </w:t>
      </w:r>
      <w:r>
        <w:t xml:space="preserve">plan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contents"/>
    <w:p>
      <w:pPr>
        <w:pStyle w:val="Heading2"/>
      </w:pPr>
      <w:r>
        <w:t xml:space="preserve">Contents</w:t>
      </w:r>
    </w:p>
    <w:p>
      <w:pPr>
        <w:numPr>
          <w:ilvl w:val="0"/>
          <w:numId w:val="1001"/>
        </w:numPr>
        <w:pStyle w:val="Compact"/>
      </w:pPr>
      <w:r>
        <w:t xml:space="preserve">The finding that changes the plan</w:t>
      </w:r>
    </w:p>
    <w:p>
      <w:pPr>
        <w:numPr>
          <w:ilvl w:val="0"/>
          <w:numId w:val="1001"/>
        </w:numPr>
        <w:pStyle w:val="Compact"/>
      </w:pPr>
      <w:r>
        <w:t xml:space="preserve">What each pass buys</w:t>
      </w:r>
    </w:p>
    <w:p>
      <w:pPr>
        <w:numPr>
          <w:ilvl w:val="0"/>
          <w:numId w:val="1001"/>
        </w:numPr>
        <w:pStyle w:val="Compact"/>
      </w:pPr>
      <w:r>
        <w:t xml:space="preserve">The twelve</w:t>
      </w:r>
    </w:p>
    <w:p>
      <w:pPr>
        <w:numPr>
          <w:ilvl w:val="0"/>
          <w:numId w:val="1001"/>
        </w:numPr>
        <w:pStyle w:val="Compact"/>
      </w:pPr>
      <w:r>
        <w:t xml:space="preserve">What to change about the metric</w:t>
      </w:r>
    </w:p>
    <w:bookmarkEnd w:id="20"/>
    <w:bookmarkStart w:id="29" w:name="X689e846ba23f5b66a7ea8731034e8ab04432f8d"/>
    <w:p>
      <w:pPr>
        <w:pStyle w:val="Heading1"/>
      </w:pPr>
      <w:r>
        <w:t xml:space="preserve">Flow coverage — what to build, in what passes, and why the number is the wrong target</w:t>
      </w:r>
    </w:p>
    <w:p>
      <w:pPr>
        <w:pStyle w:val="FirstParagraph"/>
      </w:pPr>
      <w:r>
        <w:rPr>
          <w:bCs/>
          <w:b/>
        </w:rPr>
        <w:t xml:space="preserve">24 August 2026.</w:t>
      </w:r>
      <w:r>
        <w:t xml:space="preserve"> </w:t>
      </w:r>
      <w:r>
        <w:t xml:space="preserve">35 flows, 1,007 operations, 21% coverage.</w:t>
      </w:r>
    </w:p>
    <w:p>
      <w:r>
        <w:pict>
          <v:rect style="width:0;height:1.5pt" o:hralign="center" o:hrstd="t" o:hr="t"/>
        </w:pict>
      </w:r>
    </w:p>
    <w:bookmarkStart w:id="21" w:name="the-finding-that-changes-the-plan"/>
    <w:p>
      <w:pPr>
        <w:pStyle w:val="Heading2"/>
      </w:pPr>
      <w:r>
        <w:t xml:space="preserve">The finding that changes the plan</w:t>
      </w:r>
    </w:p>
    <w:p>
      <w:pPr>
        <w:pStyle w:val="FirstParagraph"/>
      </w:pPr>
      <w:r>
        <w:rPr>
          <w:bCs/>
          <w:b/>
        </w:rPr>
        <w:t xml:space="preserve">Twelve flows move coverage from 21% to 25%.</w:t>
      </w:r>
    </w:p>
    <w:p>
      <w:pPr>
        <w:pStyle w:val="BodyText"/>
      </w:pPr>
      <w:r>
        <w:t xml:space="preserve">That is not a disappointing result to be improved on.</w:t>
      </w:r>
      <w:r>
        <w:t xml:space="preserve"> </w:t>
      </w:r>
      <w:r>
        <w:rPr>
          <w:bCs/>
          <w:b/>
        </w:rPr>
        <w:t xml:space="preserve">It is the honest arithmetic</w:t>
      </w:r>
      <w:r>
        <w:t xml:space="preserve">: a flow names</w:t>
      </w:r>
      <w:r>
        <w:t xml:space="preserve"> </w:t>
      </w:r>
      <w:r>
        <w:t xml:space="preserve">five or six operations, 792 operations sit in no flow, and reaching 50% would take roughly eighty</w:t>
      </w:r>
      <w:r>
        <w:t xml:space="preserve"> </w:t>
      </w:r>
      <w:r>
        <w:t xml:space="preserve">more flows.</w:t>
      </w:r>
      <w:r>
        <w:t xml:space="preserve"> </w:t>
      </w:r>
      <w:r>
        <w:rPr>
          <w:bCs/>
          <w:b/>
        </w:rPr>
        <w:t xml:space="preserve">Reaching 100% would take two hundred.</w:t>
      </w:r>
    </w:p>
    <w:p>
      <w:pPr>
        <w:pStyle w:val="BodyText"/>
      </w:pPr>
      <w:r>
        <w:rPr>
          <w:bCs/>
          <w:b/>
        </w:rPr>
        <w:t xml:space="preserve">So coverage is the wrong target, and the effort is right.</w:t>
      </w:r>
      <w:r>
        <w:t xml:space="preserve"> </w:t>
      </w:r>
      <w:r>
        <w:t xml:space="preserve">A flow earns its place by crossing a</w:t>
      </w:r>
      <w:r>
        <w:t xml:space="preserve"> </w:t>
      </w:r>
      <w:r>
        <w:t xml:space="preserve">boundary — two services, two devices, or a state machine — and</w:t>
      </w:r>
      <w:r>
        <w:t xml:space="preserve"> </w:t>
      </w:r>
      <w:r>
        <w:rPr>
          <w:rStyle w:val="VerbatimChar"/>
          <w:bCs/>
          <w:b/>
        </w:rPr>
        <w:t xml:space="preserve">listPromotions</w:t>
      </w:r>
      <w:r>
        <w:rPr>
          <w:bCs/>
          <w:b/>
        </w:rPr>
        <w:t xml:space="preserve"> </w:t>
      </w:r>
      <w:r>
        <w:rPr>
          <w:bCs/>
          <w:b/>
        </w:rPr>
        <w:t xml:space="preserve">will never be in</w:t>
      </w:r>
      <w:r>
        <w:rPr>
          <w:bCs/>
          <w:b/>
        </w:rPr>
        <w:t xml:space="preserve"> </w:t>
      </w:r>
      <w:r>
        <w:rPr>
          <w:bCs/>
          <w:b/>
        </w:rPr>
        <w:t xml:space="preserve">a flow because there is no boundary to cross.</w:t>
      </w:r>
    </w:p>
    <w:p>
      <w:pPr>
        <w:pStyle w:val="BodyText"/>
      </w:pPr>
      <w:r>
        <w:rPr>
          <w:bCs/>
          <w:b/>
        </w:rPr>
        <w:t xml:space="preserve">The measure that matters is defects found per flow, and it has been one or more every time: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35"/>
        <w:gridCol w:w="64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found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F28 food safety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HACCP absent from 947 operations — a regulatory exposure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F29 table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 operation links missing; the device-handover gap in the flow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F31 menu lifecycle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P04 screen polled for a catalogue bundle</w:t>
            </w:r>
            <w:r>
              <w:t xml:space="preserve"> </w:t>
            </w:r>
            <w:r>
              <w:t xml:space="preserve">— a published menu reached no till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F32 till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readiness check ordered after the float instead of before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F33 offline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BO-130</w:t>
            </w:r>
            <w:r>
              <w:t xml:space="preserve">/</w:t>
            </w:r>
            <w:r>
              <w:rPr>
                <w:rStyle w:val="VerbatimChar"/>
              </w:rPr>
              <w:t xml:space="preserve">BO-133</w:t>
            </w:r>
            <w:r>
              <w:t xml:space="preserve"> </w:t>
            </w:r>
            <w:r>
              <w:t xml:space="preserve">at wave 2 while offline trading is wave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F34/F35 retail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</w:t>
            </w:r>
          </w:p>
        </w:tc>
      </w:tr>
    </w:tbl>
    <w:p>
      <w:pPr>
        <w:pStyle w:val="BodyText"/>
      </w:pPr>
      <w:r>
        <w:rPr>
          <w:bCs/>
          <w:b/>
        </w:rPr>
        <w:t xml:space="preserve">Twelve flows at that rate is roughly a dozen defects</w:t>
      </w:r>
      <w:r>
        <w:t xml:space="preserve">, and the coverage percentage is a side</w:t>
      </w:r>
      <w:r>
        <w:t xml:space="preserve"> </w:t>
      </w:r>
      <w:r>
        <w:t xml:space="preserve">effect.</w:t>
      </w:r>
    </w:p>
    <w:p>
      <w:r>
        <w:pict>
          <v:rect style="width:0;height:1.5pt" o:hralign="center" o:hrstd="t" o:hr="t"/>
        </w:pict>
      </w:r>
    </w:p>
    <w:bookmarkEnd w:id="21"/>
    <w:bookmarkStart w:id="22" w:name="what-each-pass-buys"/>
    <w:p>
      <w:pPr>
        <w:pStyle w:val="Heading2"/>
      </w:pPr>
      <w:r>
        <w:t xml:space="preserve">What each pass buys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48"/>
        <w:gridCol w:w="1195"/>
        <w:gridCol w:w="5628"/>
        <w:gridCol w:w="64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ops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F36, F37, F38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Catalogue 9%, Identity 11%, and the money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F39, F40, F41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 18%,</w:t>
            </w:r>
            <w:r>
              <w:t xml:space="preserve"> </w:t>
            </w:r>
            <w:r>
              <w:rPr>
                <w:bCs/>
                <w:b/>
              </w:rPr>
              <w:t xml:space="preserve">AI 7% — the weakest service</w:t>
            </w:r>
            <w:r>
              <w:t xml:space="preserve">, provisioning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F42, F43, F44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White-label, seating, the developer surface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F45, F46, F47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Maintenance, season tickets, 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</w:tbl>
    <w:p>
      <w:pPr>
        <w:pStyle w:val="BodyText"/>
      </w:pPr>
      <w:r>
        <w:rPr>
          <w:bCs/>
          <w:b/>
        </w:rPr>
        <w:t xml:space="preserve">Pass 1 is where the risk is.</w:t>
      </w:r>
      <w:r>
        <w:t xml:space="preserve"> </w:t>
      </w:r>
      <w:r>
        <w:rPr>
          <w:rStyle w:val="VerbatimChar"/>
        </w:rPr>
        <w:t xml:space="preserve">CatalogueService</w:t>
      </w:r>
      <w:r>
        <w:t xml:space="preserve"> </w:t>
      </w:r>
      <w:r>
        <w:t xml:space="preserve">is the largest service at 132 operations, sits</w:t>
      </w:r>
      <w:r>
        <w:t xml:space="preserve"> </w:t>
      </w:r>
      <w:r>
        <w:t xml:space="preserve">on the sale path, and is walked at 9%.</w:t>
      </w:r>
      <w:r>
        <w:t xml:space="preserve"> </w:t>
      </w:r>
      <w:r>
        <w:rPr>
          <w:rStyle w:val="VerbatimChar"/>
        </w:rPr>
        <w:t xml:space="preserve">IdentityService</w:t>
      </w:r>
      <w:r>
        <w:t xml:space="preserve"> </w:t>
      </w:r>
      <w:r>
        <w:t xml:space="preserve">is read by twelve contracts.</w:t>
      </w:r>
      <w:r>
        <w:t xml:space="preserve"> </w:t>
      </w:r>
      <w:r>
        <w:rPr>
          <w:bCs/>
          <w:b/>
        </w:rPr>
        <w:t xml:space="preserve">A refund is</w:t>
      </w:r>
      <w:r>
        <w:rPr>
          <w:bCs/>
          <w:b/>
        </w:rPr>
        <w:t xml:space="preserve"> </w:t>
      </w:r>
      <w:r>
        <w:rPr>
          <w:bCs/>
          <w:b/>
        </w:rPr>
        <w:t xml:space="preserve">the only path where money leaves.</w:t>
      </w:r>
    </w:p>
    <w:p>
      <w:pPr>
        <w:pStyle w:val="BodyText"/>
      </w:pPr>
      <w:r>
        <w:rPr>
          <w:bCs/>
          <w:b/>
        </w:rPr>
        <w:t xml:space="preserve">Pass 2 includes the AI boundary.</w:t>
      </w:r>
      <w:r>
        <w:t xml:space="preserve"> </w:t>
      </w:r>
      <w:r>
        <w:t xml:space="preserve">ADR-0020 has caught four wrongly-placed writes and</w:t>
      </w:r>
      <w:r>
        <w:t xml:space="preserve"> </w:t>
      </w:r>
      <w:r>
        <w:rPr>
          <w:bCs/>
          <w:b/>
        </w:rPr>
        <w:t xml:space="preserve">no flow</w:t>
      </w:r>
      <w:r>
        <w:rPr>
          <w:bCs/>
          <w:b/>
        </w:rPr>
        <w:t xml:space="preserve"> </w:t>
      </w:r>
      <w:r>
        <w:rPr>
          <w:bCs/>
          <w:b/>
        </w:rPr>
        <w:t xml:space="preserve">has ever walked it</w:t>
      </w:r>
      <w:r>
        <w:t xml:space="preserve"> </w:t>
      </w:r>
      <w:r>
        <w:t xml:space="preserve">— the boundary is enforced by a checker and never exercised end to end.</w:t>
      </w:r>
    </w:p>
    <w:p>
      <w:pPr>
        <w:pStyle w:val="BodyText"/>
      </w:pPr>
      <w:r>
        <w:rPr>
          <w:bCs/>
          <w:b/>
        </w:rPr>
        <w:t xml:space="preserve">Passes 3 and 4 are lower yield and should be treated that way.</w:t>
      </w:r>
      <w:r>
        <w:t xml:space="preserve"> </w:t>
      </w:r>
      <w:r>
        <w:t xml:space="preserve">Five and seven new operations</w:t>
      </w:r>
      <w:r>
        <w:t xml:space="preserve"> </w:t>
      </w:r>
      <w:r>
        <w:t xml:space="preserve">respectively; worth doing, not worth doing first.</w:t>
      </w:r>
    </w:p>
    <w:p>
      <w:r>
        <w:pict>
          <v:rect style="width:0;height:1.5pt" o:hralign="center" o:hrstd="t" o:hr="t"/>
        </w:pict>
      </w:r>
    </w:p>
    <w:bookmarkEnd w:id="22"/>
    <w:bookmarkStart w:id="27" w:name="the-twelve"/>
    <w:p>
      <w:pPr>
        <w:pStyle w:val="Heading2"/>
      </w:pPr>
      <w:r>
        <w:t xml:space="preserve">The twelve</w:t>
      </w:r>
    </w:p>
    <w:bookmarkStart w:id="23" w:name="pass-1-the-sale-path-and-the-law"/>
    <w:p>
      <w:pPr>
        <w:pStyle w:val="Heading3"/>
      </w:pPr>
      <w:r>
        <w:t xml:space="preserve">Pass 1 — the sale path and the law</w:t>
      </w:r>
    </w:p>
    <w:p>
      <w:pPr>
        <w:pStyle w:val="FirstParagraph"/>
      </w:pPr>
      <w:r>
        <w:rPr>
          <w:bCs/>
          <w:b/>
        </w:rPr>
        <w:t xml:space="preserve">F36 · A price list is created, versioned and published</w:t>
      </w:r>
      <w:r>
        <w:t xml:space="preserve"> </w:t>
      </w:r>
      <w:r>
        <w:rPr>
          <w:rStyle w:val="VerbatimChar"/>
        </w:rPr>
        <w:t xml:space="preserve">createPriceList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setPrices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copyPriceList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listPriceVariances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publishBundle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getLatestBundle</w:t>
      </w:r>
      <w:r>
        <w:t xml:space="preserve"> </w:t>
      </w:r>
      <w:r>
        <w:rPr>
          <w:bCs/>
          <w:b/>
        </w:rPr>
        <w:t xml:space="preserve">Versioned pricing has never been walked</w:t>
      </w:r>
      <w:r>
        <w:t xml:space="preserve">, and F31 already proved the publish path had a hole in</w:t>
      </w:r>
      <w:r>
        <w:t xml:space="preserve"> </w:t>
      </w:r>
      <w:r>
        <w:t xml:space="preserve">it — the till that did not poll. This is the same shape one layer down.</w:t>
      </w:r>
    </w:p>
    <w:p>
      <w:pPr>
        <w:pStyle w:val="BodyText"/>
      </w:pPr>
      <w:r>
        <w:rPr>
          <w:bCs/>
          <w:b/>
        </w:rPr>
        <w:t xml:space="preserve">F37 · A DSAR is raised and answered</w:t>
      </w:r>
      <w:r>
        <w:t xml:space="preserve"> </w:t>
      </w:r>
      <w:r>
        <w:rPr>
          <w:rStyle w:val="VerbatimChar"/>
        </w:rPr>
        <w:t xml:space="preserve">createDsarRequest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getDsarRequest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deleteGuestAccount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listAuditRecords</w:t>
      </w:r>
      <w:r>
        <w:t xml:space="preserve"> </w:t>
      </w:r>
      <w:r>
        <w:rPr>
          <w:bCs/>
          <w:b/>
        </w:rPr>
        <w:t xml:space="preserve">Regulatory, and it crosses identity, pii and cross-cell.</w:t>
      </w:r>
      <w:r>
        <w:t xml:space="preserve"> </w:t>
      </w:r>
      <w:r>
        <w:t xml:space="preserve">ADR-0023 separates principal from</w:t>
      </w:r>
      <w:r>
        <w:t xml:space="preserve"> </w:t>
      </w:r>
      <w:r>
        <w:t xml:space="preserve">subject precisely so this is answerable;</w:t>
      </w:r>
      <w:r>
        <w:t xml:space="preserve"> </w:t>
      </w:r>
      <w:r>
        <w:rPr>
          <w:bCs/>
          <w:b/>
        </w:rPr>
        <w:t xml:space="preserve">nothing has ever tested that it is.</w:t>
      </w:r>
    </w:p>
    <w:p>
      <w:pPr>
        <w:pStyle w:val="BodyText"/>
      </w:pPr>
      <w:r>
        <w:rPr>
          <w:bCs/>
          <w:b/>
        </w:rPr>
        <w:t xml:space="preserve">F38 · A refund is requested, approved and paid</w:t>
      </w:r>
      <w:r>
        <w:t xml:space="preserve"> </w:t>
      </w:r>
      <w:r>
        <w:rPr>
          <w:rStyle w:val="VerbatimChar"/>
        </w:rPr>
        <w:t xml:space="preserve">createRefundRequest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approveRefund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createRefund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recordSettlement</w:t>
      </w:r>
      <w:r>
        <w:t xml:space="preserve"> </w:t>
      </w:r>
      <w:r>
        <w:rPr>
          <w:bCs/>
          <w:b/>
        </w:rPr>
        <w:t xml:space="preserve">The only path where money leaves the platform.</w:t>
      </w:r>
      <w:r>
        <w:t xml:space="preserve"> </w:t>
      </w:r>
      <w:r>
        <w:t xml:space="preserve">Crosses Order, Approvals and Ledger — three</w:t>
      </w:r>
      <w:r>
        <w:t xml:space="preserve"> </w:t>
      </w:r>
      <w:r>
        <w:t xml:space="preserve">services and an approval state machine.</w:t>
      </w:r>
    </w:p>
    <w:bookmarkEnd w:id="23"/>
    <w:bookmarkStart w:id="24" w:name="pass-2-engagement-and-provisioning"/>
    <w:p>
      <w:pPr>
        <w:pStyle w:val="Heading3"/>
      </w:pPr>
      <w:r>
        <w:t xml:space="preserve">Pass 2 — engagement and provisioning</w:t>
      </w:r>
    </w:p>
    <w:p>
      <w:pPr>
        <w:pStyle w:val="FirstParagraph"/>
      </w:pPr>
      <w:r>
        <w:rPr>
          <w:bCs/>
          <w:b/>
        </w:rPr>
        <w:t xml:space="preserve">F39 · A campaign is built, sent and measured</w:t>
      </w:r>
      <w:r>
        <w:t xml:space="preserve"> </w:t>
      </w:r>
      <w:r>
        <w:rPr>
          <w:rStyle w:val="VerbatimChar"/>
        </w:rPr>
        <w:t xml:space="preserve">createSegment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previewSegment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createCampaign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testSendCampaign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launchCampaign</w:t>
      </w:r>
      <w:r>
        <w:t xml:space="preserve"> </w:t>
      </w:r>
      <w:r>
        <w:rPr>
          <w:bCs/>
          <w:b/>
        </w:rPr>
        <w:t xml:space="preserve">Marketing is the largest domain and the one most likely to split.</w:t>
      </w:r>
      <w:r>
        <w:t xml:space="preserve"> </w:t>
      </w:r>
      <w:r>
        <w:t xml:space="preserve">Walking it is how the split</w:t>
      </w:r>
      <w:r>
        <w:t xml:space="preserve"> </w:t>
      </w:r>
      <w:r>
        <w:t xml:space="preserve">line gets tested before it is drawn.</w:t>
      </w:r>
    </w:p>
    <w:p>
      <w:pPr>
        <w:pStyle w:val="BodyText"/>
      </w:pPr>
      <w:r>
        <w:rPr>
          <w:bCs/>
          <w:b/>
        </w:rPr>
        <w:t xml:space="preserve">F40 · A guest asks the concierge and it acts</w:t>
      </w:r>
      <w:r>
        <w:t xml:space="preserve"> </w:t>
      </w:r>
      <w:r>
        <w:rPr>
          <w:rStyle w:val="VerbatimChar"/>
        </w:rPr>
        <w:t xml:space="preserve">createAiConversation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sendAiMessage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listProposedActions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decideProposedAction</w:t>
      </w:r>
      <w:r>
        <w:t xml:space="preserve"> </w:t>
      </w:r>
      <w:r>
        <w:rPr>
          <w:bCs/>
          <w:b/>
        </w:rPr>
        <w:t xml:space="preserve">The ADR-0020 boundary, walked.</w:t>
      </w:r>
      <w:r>
        <w:t xml:space="preserve"> </w:t>
      </w:r>
      <w:r>
        <w:t xml:space="preserve">A suggestion proposes; a person decides.</w:t>
      </w:r>
      <w:r>
        <w:t xml:space="preserve"> </w:t>
      </w:r>
      <w:r>
        <w:rPr>
          <w:bCs/>
          <w:b/>
        </w:rPr>
        <w:t xml:space="preserve">The one flow where</w:t>
      </w:r>
      <w:r>
        <w:rPr>
          <w:bCs/>
          <w:b/>
        </w:rPr>
        <w:t xml:space="preserve"> </w:t>
      </w:r>
      <w:r>
        <w:rPr>
          <w:bCs/>
          <w:b/>
        </w:rPr>
        <w:t xml:space="preserve">the interesting property is what the system may not do.</w:t>
      </w:r>
    </w:p>
    <w:p>
      <w:pPr>
        <w:pStyle w:val="BodyText"/>
      </w:pPr>
      <w:r>
        <w:rPr>
          <w:bCs/>
          <w:b/>
        </w:rPr>
        <w:t xml:space="preserve">F41 · A tenant is provisioned onto a cell</w:t>
      </w:r>
      <w:r>
        <w:t xml:space="preserve"> </w:t>
      </w:r>
      <w:r>
        <w:rPr>
          <w:rStyle w:val="VerbatimChar"/>
        </w:rPr>
        <w:t xml:space="preserve">createTenant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addLicenceAddOn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setModuleEnablement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validateTenantConfig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publishTenantConfig</w:t>
      </w:r>
      <w:r>
        <w:t xml:space="preserve"> </w:t>
      </w:r>
      <w:r>
        <w:rPr>
          <w:bCs/>
          <w:b/>
        </w:rPr>
        <w:t xml:space="preserve">The licence-to-screen join declared on 24 August, exercised.</w:t>
      </w:r>
      <w:r>
        <w:t xml:space="preserve"> </w:t>
      </w:r>
      <w:r>
        <w:rPr>
          <w:rStyle w:val="VerbatimChar"/>
        </w:rPr>
        <w:t xml:space="preserve">requiresModule</w:t>
      </w:r>
      <w:r>
        <w:t xml:space="preserve"> </w:t>
      </w:r>
      <w:r>
        <w:t xml:space="preserve">was added to 476</w:t>
      </w:r>
      <w:r>
        <w:t xml:space="preserve"> </w:t>
      </w:r>
      <w:r>
        <w:t xml:space="preserve">screens and</w:t>
      </w:r>
      <w:r>
        <w:t xml:space="preserve"> </w:t>
      </w:r>
      <w:r>
        <w:rPr>
          <w:bCs/>
          <w:b/>
        </w:rPr>
        <w:t xml:space="preserve">nothing has yet walked a tenant buying a module and seeing the screens appear.</w:t>
      </w:r>
    </w:p>
    <w:bookmarkEnd w:id="24"/>
    <w:bookmarkStart w:id="25" w:name="pass-3-publishing-seating-developers"/>
    <w:p>
      <w:pPr>
        <w:pStyle w:val="Heading3"/>
      </w:pPr>
      <w:r>
        <w:t xml:space="preserve">Pass 3 — publishing, seating, developers</w:t>
      </w:r>
    </w:p>
    <w:p>
      <w:pPr>
        <w:pStyle w:val="FirstParagraph"/>
      </w:pPr>
      <w:r>
        <w:rPr>
          <w:bCs/>
          <w:b/>
        </w:rPr>
        <w:t xml:space="preserve">F42 · A white-label app is branded and published</w:t>
      </w:r>
      <w:r>
        <w:t xml:space="preserve"> </w:t>
      </w:r>
      <w:r>
        <w:t xml:space="preserve">— one new operation; mostly already covered.</w:t>
      </w:r>
    </w:p>
    <w:p>
      <w:pPr>
        <w:pStyle w:val="BodyText"/>
      </w:pPr>
      <w:r>
        <w:rPr>
          <w:bCs/>
          <w:b/>
        </w:rPr>
        <w:t xml:space="preserve">F43 · A seat map is built and sold from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createSeatHold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extendSeatHold</w:t>
      </w:r>
      <w:r>
        <w:t xml:space="preserve"> </w:t>
      </w:r>
      <w:r>
        <w:t xml:space="preserve">are contended</w:t>
      </w:r>
      <w:r>
        <w:t xml:space="preserve"> </w:t>
      </w:r>
      <w:r>
        <w:t xml:space="preserve">inventory, which is a concurrency story nothing walks.</w:t>
      </w:r>
    </w:p>
    <w:p>
      <w:pPr>
        <w:pStyle w:val="BodyText"/>
      </w:pPr>
      <w:r>
        <w:rPr>
          <w:bCs/>
          <w:b/>
        </w:rPr>
        <w:t xml:space="preserve">F44 · A developer registers and calls the API</w:t>
      </w:r>
      <w:r>
        <w:t xml:space="preserve"> </w:t>
      </w:r>
      <w:r>
        <w:rPr>
          <w:bCs/>
          <w:b/>
        </w:rPr>
        <w:t xml:space="preserve">Found while planning this, before writing anything:</w:t>
      </w:r>
      <w:r>
        <w:t xml:space="preserve"> </w:t>
      </w:r>
      <w:r>
        <w:rPr>
          <w:rStyle w:val="VerbatimChar"/>
        </w:rPr>
        <w:t xml:space="preserve">rotateApiCredential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revokeApiCredential</w:t>
      </w:r>
      <w:r>
        <w:t xml:space="preserve"> </w:t>
      </w:r>
      <w:r>
        <w:t xml:space="preserve">exist, and the operation that mints the first one is</w:t>
      </w:r>
      <w:r>
        <w:t xml:space="preserve"> </w:t>
      </w:r>
      <w:r>
        <w:rPr>
          <w:rStyle w:val="VerbatimChar"/>
        </w:rPr>
        <w:t xml:space="preserve">rotateApiCredential</w:t>
      </w:r>
      <w:r>
        <w:t xml:space="preserve"> </w:t>
      </w:r>
      <w:r>
        <w:t xml:space="preserve">itself on</w:t>
      </w:r>
      <w:r>
        <w:t xml:space="preserve"> </w:t>
      </w:r>
      <w:r>
        <w:rPr>
          <w:rStyle w:val="VerbatimChar"/>
        </w:rPr>
        <w:t xml:space="preserve">POST /credentials</w:t>
      </w:r>
      <w:r>
        <w:t xml:space="preserve">.</w:t>
      </w:r>
      <w:r>
        <w:t xml:space="preserve"> </w:t>
      </w:r>
      <w:r>
        <w:rPr>
          <w:bCs/>
          <w:b/>
        </w:rPr>
        <w:t xml:space="preserve">That reads as a rotate and behaves as a create</w:t>
      </w:r>
      <w:r>
        <w:t xml:space="preserve">, and a developer</w:t>
      </w:r>
      <w:r>
        <w:t xml:space="preserve"> </w:t>
      </w:r>
      <w:r>
        <w:t xml:space="preserve">reading the contract will look for</w:t>
      </w:r>
      <w:r>
        <w:t xml:space="preserve"> </w:t>
      </w:r>
      <w:r>
        <w:rPr>
          <w:rStyle w:val="VerbatimChar"/>
        </w:rPr>
        <w:t xml:space="preserve">createApiCredential</w:t>
      </w:r>
      <w:r>
        <w:t xml:space="preserve"> </w:t>
      </w:r>
      <w:r>
        <w:t xml:space="preserve">and not find it. Worth a naming decision.</w:t>
      </w:r>
    </w:p>
    <w:bookmarkEnd w:id="25"/>
    <w:bookmarkStart w:id="26" w:name="pass-4-the-long-tail"/>
    <w:p>
      <w:pPr>
        <w:pStyle w:val="Heading3"/>
      </w:pPr>
      <w:r>
        <w:t xml:space="preserve">Pass 4 — the long tail</w:t>
      </w:r>
    </w:p>
    <w:p>
      <w:pPr>
        <w:pStyle w:val="FirstParagraph"/>
      </w:pPr>
      <w:r>
        <w:rPr>
          <w:bCs/>
          <w:b/>
        </w:rPr>
        <w:t xml:space="preserve">F45 · A work order is raised, done and verified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F46 · A season ticket is sold, shared and</w:t>
      </w:r>
      <w:r>
        <w:rPr>
          <w:bCs/>
          <w:b/>
        </w:rPr>
        <w:t xml:space="preserve"> </w:t>
      </w:r>
      <w:r>
        <w:rPr>
          <w:bCs/>
          <w:b/>
        </w:rPr>
        <w:t xml:space="preserve">used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F47 · A report is defined, scheduled and delivered</w:t>
      </w:r>
    </w:p>
    <w:p>
      <w:pPr>
        <w:pStyle w:val="BodyText"/>
      </w:pPr>
      <w:r>
        <w:rPr>
          <w:bCs/>
          <w:b/>
        </w:rPr>
        <w:t xml:space="preserve">Two to three new operations each.</w:t>
      </w:r>
      <w:r>
        <w:t xml:space="preserve"> </w:t>
      </w:r>
      <w:r>
        <w:t xml:space="preserve">Real journeys, low yield, and the right place to stop.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what-to-change-about-the-metric"/>
    <w:p>
      <w:pPr>
        <w:pStyle w:val="Heading2"/>
      </w:pPr>
      <w:r>
        <w:t xml:space="preserve">What to change about the metric</w:t>
      </w:r>
    </w:p>
    <w:p>
      <w:pPr>
        <w:pStyle w:val="FirstParagraph"/>
      </w:pPr>
      <w:r>
        <w:rPr>
          <w:bCs/>
          <w:b/>
        </w:rPr>
        <w:t xml:space="preserve">Report flow coverage per service, not per platform.</w:t>
      </w:r>
      <w:r>
        <w:t xml:space="preserve"> </w:t>
      </w:r>
      <w:r>
        <w:t xml:space="preserve">21% across 1,007 operations says nothing;</w:t>
      </w:r>
      <w:r>
        <w:t xml:space="preserve"> </w:t>
      </w:r>
      <w:r>
        <w:rPr>
          <w:bCs/>
          <w:b/>
        </w:rPr>
        <w:t xml:space="preserve">AI at 7% and VenueOps at 36% says where to look.</w:t>
      </w:r>
    </w:p>
    <w:p>
      <w:pPr>
        <w:pStyle w:val="BodyText"/>
      </w:pPr>
      <w:r>
        <w:rPr>
          <w:bCs/>
          <w:b/>
        </w:rPr>
        <w:t xml:space="preserve">Add it to the services workbook</w:t>
      </w:r>
      <w:r>
        <w:t xml:space="preserve"> </w:t>
      </w:r>
      <w:r>
        <w:t xml:space="preserve">beside the deploy order —</w:t>
      </w:r>
      <w:r>
        <w:t xml:space="preserve"> </w:t>
      </w:r>
      <w:r>
        <w:rPr>
          <w:bCs/>
          <w:b/>
        </w:rPr>
        <w:t xml:space="preserve">a service at 7% coverage is a fact</w:t>
      </w:r>
      <w:r>
        <w:rPr>
          <w:bCs/>
          <w:b/>
        </w:rPr>
        <w:t xml:space="preserve"> </w:t>
      </w:r>
      <w:r>
        <w:rPr>
          <w:bCs/>
          <w:b/>
        </w:rPr>
        <w:t xml:space="preserve">a build team should see next to the instruction to deploy it.</w:t>
      </w:r>
    </w:p>
    <w:p>
      <w:pPr>
        <w:pStyle w:val="BodyText"/>
      </w:pPr>
      <w:r>
        <w:rPr>
          <w:bCs/>
          <w:b/>
        </w:rPr>
        <w:t xml:space="preserve">Stop at four passes.</w:t>
      </w:r>
      <w:r>
        <w:t xml:space="preserve"> </w:t>
      </w:r>
      <w:r>
        <w:t xml:space="preserve">After F47 the next flow is worth less than the next table written, and</w:t>
      </w:r>
      <w:r>
        <w:t xml:space="preserve"> </w:t>
      </w:r>
      <w:r>
        <w:rPr>
          <w:bCs/>
          <w:b/>
        </w:rPr>
        <w:t xml:space="preserve">build is still 0%.</w:t>
      </w:r>
    </w:p>
    <w:bookmarkEnd w:id="28"/>
    <w:bookmarkEnd w:id="29"/>
    <w:sectPr>
      <w:headerReference r:id="rId9" w:type="default"/>
      <w:footerReference r:id="rId10" w:type="default"/>
      <w:pgSz w:h="15840" w:orient="portrait" w:w="12240"/>
      <w:pgMar w:bottom="1080" w:footer="708" w:gutter="0" w:header="708" w:left="1080" w:right="1080" w:top="108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F6E56" w:sz="6" w:space="1"/>
      </w:pBdr>
      <w:jc w:val="center"/>
    </w:pPr>
    <w:r>
      <w:rPr>
        <w:rFonts w:ascii="Arial" w:cs="Arial" w:eastAsia="Arial" w:hAnsi="Arial"/>
        <w:color w:val="444444"/>
        <w:sz w:val="18"/>
        <w:szCs w:val="18"/>
      </w:rPr>
      <w:t xml:space="preserve">Softlabs  |  Confidential  |  Page </w:t>
    </w:r>
    <w:r>
      <w:rPr>
        <w:rFonts w:ascii="Arial" w:cs="Arial" w:eastAsia="Arial" w:hAnsi="Arial"/>
        <w:color w:val="444444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6E56" w:sz="6" w:space="1"/>
      </w:pBdr>
      <w:tabs>
        <w:tab w:val="right" w:pos="9026"/>
      </w:tabs>
    </w:pPr>
    <w:r>
      <w:rPr>
        <w:rFonts w:ascii="Arial" w:cs="Arial" w:eastAsia="Arial" w:hAnsi="Arial"/>
        <w:color w:val="444444"/>
        <w:sz w:val="18"/>
        <w:szCs w:val="18"/>
      </w:rPr>
      <w:t xml:space="preserve">TICVAI Platform — Design Package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444444"/>
        <w:sz w:val="18"/>
        <w:szCs w:val="18"/>
      </w:rPr>
      <w:t xml:space="preserve">Softlabs  | 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15:restartNumberingAfterBreak="0" w:abstractNumId="2">
    <w:multiLevelType w:val="hybridMultilevel"/>
    <w:lvl w15:tentative="1" w:ilvl="0">
      <w:start w:val="1"/>
      <w:numFmt w:val="bullet"/>
      <w:lvlText w:val="•"/>
      <w:lvlJc w:val="left"/>
      <w:pPr>
        <w:ind w:hanging="360" w:left="720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1"/>
    <w:lvlOverride w:ilvl="0">
      <w:startOverride w:val="1"/>
    </w:lvlOverride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evenAndOddHeaders w:val="false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44444"/>
        <w:sz w:val="22"/>
        <w:szCs w:val="22"/>
      </w:rPr>
    </w:rPrDefault>
    <w:pPrDefault/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rPr>
      <w:color w:val="2E74B5"/>
      <w:sz w:val="32"/>
      <w:szCs w:val="32"/>
    </w:rPr>
  </w:style>
  <w:style w:styleId="Heading2" w:type="paragraph">
    <w:name w:val="Heading 2"/>
    <w:basedOn w:val="Normal"/>
    <w:next w:val="Normal"/>
    <w:qFormat/>
    <w:rPr>
      <w:color w:val="2E74B5"/>
      <w:sz w:val="26"/>
      <w:szCs w:val="26"/>
    </w:rPr>
  </w:style>
  <w:style w:styleId="Heading3" w:type="paragraph">
    <w:name w:val="Heading 3"/>
    <w:basedOn w:val="Normal"/>
    <w:next w:val="Normal"/>
    <w:qFormat/>
    <w:rPr>
      <w:color w:val="1F4D78"/>
      <w:sz w:val="24"/>
      <w:szCs w:val="24"/>
    </w:rPr>
  </w:style>
  <w:style w:styleId="Heading4" w:type="paragraph">
    <w:name w:val="Heading 4"/>
    <w:basedOn w:val="Normal"/>
    <w:next w:val="Normal"/>
    <w:qFormat/>
    <w:rPr>
      <w:i/>
      <w:iCs/>
      <w:color w:val="2E74B5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EndnoteReference" w:type="character">
    <w:name w:val="endnote reference"/>
    <w:basedOn w:val="DefaultParagraphFont"/>
    <w:uiPriority w:val="99"/>
    <w:semiHidden/>
    <w:unhideWhenUsed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EndnoteTextChar" w:type="characte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styleId="Heading1" w:type="paragraph">
    <w:name w:val="Heading 1"/>
    <w:basedOn w:val="Normal"/>
    <w:next w:val="Normal"/>
    <w:qFormat/>
    <w:pPr>
      <w:spacing w:after="180" w:before="400"/>
      <w:outlineLvl w:val="0"/>
    </w:pPr>
    <w:rPr>
      <w:rFonts w:ascii="Arial" w:cs="Arial" w:eastAsia="Arial" w:hAnsi="Arial"/>
      <w:b/>
      <w:bCs/>
      <w:color w:val="1B2A4A"/>
      <w:sz w:val="40"/>
      <w:szCs w:val="40"/>
    </w:rPr>
  </w:style>
  <w:style w:styleId="Heading2" w:type="paragraph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1B2A4A"/>
      <w:sz w:val="30"/>
      <w:szCs w:val="30"/>
    </w:rPr>
  </w:style>
  <w:style w:styleId="Heading3" w:type="paragraph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0F6E56"/>
      <w:sz w:val="26"/>
      <w:szCs w:val="26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TableCaption" w:type="paragraph">
    <w:name w:val="Table Caption"/>
    <w:basedOn w:val="Caption"/>
    <w:pPr>
      <w:keepNext/>
    </w:pPr>
  </w:style>
  <w:style w:customStyle="1" w:styleId="Compact" w:type="paragraph">
    <w:name w:val="Compact"/>
    <w:basedOn w:val="BodyText"/>
    <w:qFormat/>
    <w:pPr>
      <w:spacing w:after="36" w:before="36"/>
    </w:pPr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styleId="BodyText" w:type="paragraph">
    <w:name w:val="Body Text"/>
    <w:basedOn w:val="Normal"/>
    <w:link w:val="BodyTextChar"/>
    <w:pPr>
      <w:spacing w:after="120" w:before="0" w:line="264" w:lineRule="auto"/>
    </w:pPr>
    <w:qFormat/>
  </w:style>
  <w:style w:customStyle="1" w:styleId="FirstParagraph" w:type="paragraph">
    <w:name w:val="First Paragraph"/>
    <w:basedOn w:val="BodyText"/>
    <w:next w:val="BodyText"/>
    <w:qFormat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TICVAI — Flow coverage plan</dc:title>
  <dc:creator/>
  <cp:keywords/>
  <dcterms:created xsi:type="dcterms:W3CDTF">2026-08-24T15:19:11Z</dcterms:created>
  <dcterms:modified xsi:type="dcterms:W3CDTF">2026-08-24T15:19:11Z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">
    <vt:lpwstr>True</vt:lpwstr>
  </property>
</Properties>
</file>