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 xml:space="preserve">Chapter 8 Implementation </w:t>
            </w:r>
            <w:r>
              <w:rPr>
                <w:b/>
                <w:i w:val="0"/>
                <w:color w:val="FFFFFF"/>
                <w:sz w:val="19"/>
              </w:rPr>
              <w:t>&amp;</w:t>
            </w:r>
            <w:r>
              <w:rPr>
                <w:b/>
                <w:i w:val="0"/>
                <w:color w:val="FFFFFF"/>
                <w:sz w:val="19"/>
              </w:rPr>
              <w:t xml:space="preserve"> Delivery</w:t>
            </w:r>
          </w:p>
        </w:tc>
      </w:tr>
    </w:tbl>
    <w:p>
      <w:pPr>
        <w:spacing w:after="40"/>
      </w:pPr>
    </w:p>
    <w:p>
      <w:pPr>
        <w:spacing w:after="80"/>
      </w:pPr>
      <w:r>
        <w:rPr>
          <w:i/>
          <w:color w:val="555555"/>
          <w:sz w:val="18"/>
        </w:rPr>
        <w:t>Figure 8.1 — Implementation Timeline: 17 Months from Contract Signing to Complete Handover</w:t>
      </w:r>
    </w:p>
    <w:p>
      <w:pPr>
        <w:pStyle w:val="Heading1"/>
        <w:spacing w:before="280" w:after="120"/>
      </w:pPr>
      <w:r>
        <w:rPr>
          <w:b/>
          <w:color w:val="1F3864"/>
          <w:sz w:val="36"/>
        </w:rPr>
        <w:t>8. Implementation &amp; Delivery</w:t>
      </w:r>
    </w:p>
    <w:p>
      <w:pPr>
        <w:pStyle w:val="Heading2"/>
        <w:spacing w:before="200" w:after="80"/>
      </w:pPr>
      <w:r>
        <w:rPr>
          <w:b/>
          <w:color w:val="2E75B6"/>
          <w:sz w:val="28"/>
        </w:rPr>
        <w:t>8.1 Overview</w:t>
      </w:r>
    </w:p>
    <w:p>
      <w:pPr>
        <w:spacing w:after="120" w:line="259" w:lineRule="auto"/>
      </w:pPr>
      <w:r>
        <w:rPr>
          <w:i/>
          <w:color w:val="555555"/>
        </w:rPr>
        <w:t>The implementation plan for TAIS is built around one principle: no surprises. Every milestone is defined, every client dependency is named, every gate has explicit entry criteria that both parties sign off in writing. The timeline is honest about what the client’s target implies and transparent about what our recommendation delivers differently.</w:t>
      </w:r>
    </w:p>
    <w:p>
      <w:pPr>
        <w:spacing w:after="120" w:line="259" w:lineRule="auto"/>
      </w:pPr>
      <w:r>
        <w:rPr>
          <w:b w:val="0"/>
          <w:i w:val="0"/>
        </w:rPr>
        <w:t>The total timeline from contract signing to complete platform handover is 17 months: a 7-week Discovery &amp; Definition Phase followed by 15 months of phased development. Phase 1 (Months 2–8) delivers the complete platform across all 12 domains. Phase 2 (Months 9–14) delivers enterprise integrations and rule-based operational engines. Phase 3 (Months 15–16, concurrent with Phase 2 tail) delivers documentation finalisation, KT, iOS, and delta security review of Phase 2 additions, and formal handover. A 6-month Hypercare period begins at the Month 16 gate and runs to Month 22.</w:t>
      </w:r>
    </w:p>
    <w:p>
      <w:pPr>
        <w:pStyle w:val="Heading2"/>
        <w:spacing w:before="200" w:after="80"/>
      </w:pPr>
      <w:r>
        <w:rPr>
          <w:b/>
          <w:color w:val="2E75B6"/>
          <w:sz w:val="28"/>
        </w:rPr>
        <w:t>8.2 Months 0–1 — Discovery &amp; Definition Phase (7 Weeks)</w:t>
      </w:r>
    </w:p>
    <w:p>
      <w:pPr>
        <w:spacing w:after="120" w:line="259" w:lineRule="auto"/>
      </w:pPr>
      <w:r>
        <w:rPr>
          <w:b w:val="0"/>
          <w:i/>
        </w:rPr>
        <w:t>Before a single line of code is written, the TAIS platform goes through a structured Discovery</w:t>
      </w:r>
      <w:r>
        <w:rPr>
          <w:b w:val="0"/>
          <w:i/>
        </w:rPr>
        <w:t xml:space="preserve"> </w:t>
      </w:r>
      <w:r>
        <w:rPr>
          <w:b/>
          <w:i w:val="0"/>
        </w:rPr>
        <w:t>*&amp;</w:t>
      </w:r>
      <w:r>
        <w:rPr>
          <w:b/>
          <w:i w:val="0"/>
        </w:rPr>
        <w:t xml:space="preserve"> </w:t>
      </w:r>
      <w:r>
        <w:rPr>
          <w:b w:val="0"/>
          <w:i w:val="0"/>
        </w:rPr>
        <w:t>Definition Phase. Building before requirements are fully understood is the most common cause of cost overruns, rework, and delayed go-lives in complex platform projects.*</w:t>
      </w:r>
    </w:p>
    <w:p>
      <w:pPr>
        <w:spacing w:after="120" w:line="259" w:lineRule="auto"/>
      </w:pPr>
      <w:r>
        <w:rPr>
          <w:b w:val="0"/>
          <w:i w:val="0"/>
        </w:rPr>
        <w:t>The Discovery &amp; Definition Phase produces three signed-off artefacts that both parties build against for the remainder of the project: the Requirements &amp; Scope Document, the Wireframe &amp; UX Design Pack (in English and Arabic RTL), and the Technical Architecture Document. Development does not begin until all three are approved in writing by both parties.</w:t>
      </w:r>
    </w:p>
    <w:p>
      <w:pPr>
        <w:pStyle w:val="Heading3"/>
        <w:spacing w:before="160" w:after="60"/>
      </w:pPr>
      <w:r>
        <w:rPr>
          <w:b/>
          <w:color w:val="2E75B6"/>
          <w:sz w:val="23"/>
        </w:rPr>
        <w:t>Week 1 — Kickoff &amp; Stakeholder Alignment</w:t>
      </w:r>
    </w:p>
    <w:p>
      <w:pPr>
        <w:pStyle w:val="ListBullet"/>
        <w:spacing w:after="40"/>
      </w:pPr>
      <w:r>
        <w:rPr>
          <w:b w:val="0"/>
          <w:i w:val="0"/>
        </w:rPr>
        <w:t>Project kickoff with all stakeholders. Team structure, communication channels, RAID log, and escalation paths confirmed.</w:t>
      </w:r>
    </w:p>
    <w:p>
      <w:pPr>
        <w:pStyle w:val="ListBullet"/>
        <w:spacing w:after="40"/>
      </w:pPr>
      <w:r>
        <w:rPr>
          <w:b w:val="0"/>
          <w:i w:val="0"/>
        </w:rPr>
        <w:t>RACI matrix signed. Formal change management process agreed in writing (per Q&amp;A requirement).</w:t>
      </w:r>
    </w:p>
    <w:p>
      <w:pPr>
        <w:pStyle w:val="ListBullet"/>
        <w:spacing w:after="40"/>
      </w:pPr>
      <w:r>
        <w:rPr>
          <w:b w:val="0"/>
          <w:i w:val="0"/>
        </w:rPr>
        <w:t>Acceptance criteria agreed in writing: functional testing, performance benchmarks, security validation, UAT approval process (per Q&amp;A).</w:t>
      </w:r>
    </w:p>
    <w:p>
      <w:pPr>
        <w:pStyle w:val="ListBullet"/>
        <w:spacing w:after="40"/>
      </w:pPr>
      <w:r>
        <w:rPr>
          <w:b w:val="0"/>
          <w:i w:val="0"/>
        </w:rPr>
        <w:t>Client provisions confirmed: dev cloud environment access, client-owned repository setup, App Store Connect and Google Play developer accounts, Stripe merchant credentials.</w:t>
      </w:r>
    </w:p>
    <w:p>
      <w:pPr>
        <w:pStyle w:val="Heading3"/>
        <w:spacing w:before="160" w:after="60"/>
      </w:pPr>
      <w:r>
        <w:rPr>
          <w:b/>
          <w:color w:val="2E75B6"/>
          <w:sz w:val="23"/>
        </w:rPr>
        <w:t>Week 2 — Requirements Deep Dive</w:t>
      </w:r>
    </w:p>
    <w:p>
      <w:pPr>
        <w:spacing w:after="120" w:line="259" w:lineRule="auto"/>
      </w:pPr>
      <w:r>
        <w:rPr>
          <w:b w:val="0"/>
          <w:i w:val="0"/>
        </w:rPr>
        <w:t>Domain-by-domain workshops with client stakeholders across all 12 RFP domains. Ambiguities and assumption conflicts surfaced before development begins.</w:t>
      </w:r>
    </w:p>
    <w:p>
      <w:pPr>
        <w:pStyle w:val="ListBullet"/>
        <w:spacing w:after="40"/>
      </w:pPr>
      <w:r>
        <w:rPr>
          <w:b w:val="0"/>
          <w:i w:val="0"/>
        </w:rPr>
        <w:t>Access control hardware model confirmation per venue (Axess, Skidata, CAME, KABA, Boon Edam models confirmed for each site)</w:t>
      </w:r>
    </w:p>
    <w:p>
      <w:pPr>
        <w:pStyle w:val="ListBullet"/>
        <w:spacing w:after="40"/>
      </w:pPr>
      <w:r>
        <w:rPr>
          <w:b w:val="0"/>
          <w:i w:val="0"/>
        </w:rPr>
        <w:t>Communication provider selection confirmed (client selects per Q&amp;A; Twilio, SendGrid examples)</w:t>
      </w:r>
    </w:p>
    <w:p>
      <w:pPr>
        <w:pStyle w:val="ListBullet"/>
        <w:spacing w:after="40"/>
      </w:pPr>
      <w:r>
        <w:rPr>
          <w:b w:val="0"/>
          <w:i w:val="0"/>
        </w:rPr>
        <w:t>UAE VAT TRN numbers collected per venue — required for FTA-compliant invoice configuration</w:t>
      </w:r>
    </w:p>
    <w:p>
      <w:pPr>
        <w:pStyle w:val="ListBullet"/>
        <w:spacing w:after="40"/>
      </w:pPr>
      <w:r>
        <w:rPr>
          <w:b w:val="0"/>
          <w:i w:val="0"/>
        </w:rPr>
        <w:t>Staff role mapping per venue — operational roles documented and mapped to RBAC permission sets</w:t>
      </w:r>
    </w:p>
    <w:p>
      <w:pPr>
        <w:pStyle w:val="ListBullet"/>
        <w:spacing w:after="40"/>
      </w:pPr>
      <w:r>
        <w:rPr>
          <w:b w:val="0"/>
          <w:i w:val="0"/>
        </w:rPr>
        <w:t>Branding assets collected per venue/brand — logos, colour palettes, fonts for white-label theming</w:t>
      </w:r>
    </w:p>
    <w:p>
      <w:pPr>
        <w:pStyle w:val="ListBullet"/>
        <w:spacing w:after="40"/>
      </w:pPr>
      <w:r>
        <w:rPr>
          <w:b w:val="0"/>
          <w:i w:val="0"/>
        </w:rPr>
        <w:t>Operations Command Center KPI requirements confirmed beyond RFP defaults</w:t>
      </w:r>
    </w:p>
    <w:p>
      <w:pPr>
        <w:pStyle w:val="ListBullet"/>
        <w:spacing w:after="40"/>
      </w:pPr>
      <w:r>
        <w:rPr>
          <w:b w:val="0"/>
          <w:i w:val="0"/>
        </w:rPr>
        <w:t>Legacy system documentation collected; data migration scope agreed (customer profiles, purchase history, membership records, wallet balances, ticket data)</w:t>
      </w:r>
    </w:p>
    <w:p>
      <w:pPr>
        <w:pStyle w:val="ListBullet"/>
        <w:spacing w:after="40"/>
      </w:pPr>
      <w:r>
        <w:rPr>
          <w:b w:val="0"/>
          <w:i w:val="0"/>
        </w:rPr>
        <w:t>LLM deployment option confirmed — client selects Option A (cloud API), B (UAE residency), or C (self-hosted) for Chapter 5 Tier 2 capabilities</w:t>
      </w:r>
    </w:p>
    <w:p>
      <w:pPr>
        <w:pStyle w:val="Heading3"/>
        <w:spacing w:before="160" w:after="60"/>
      </w:pPr>
      <w:r>
        <w:rPr>
          <w:b/>
          <w:color w:val="2E75B6"/>
          <w:sz w:val="23"/>
        </w:rPr>
        <w:t>Week 3 — Wireframes &amp; UX Design</w:t>
      </w:r>
    </w:p>
    <w:p>
      <w:pPr>
        <w:spacing w:after="120" w:line="259" w:lineRule="auto"/>
      </w:pPr>
      <w:r>
        <w:rPr>
          <w:b w:val="0"/>
          <w:i w:val="0"/>
        </w:rPr>
        <w:t>All key interfaces wireframed and reviewed before frontend development begins. Produced in both English and Arabic RTL — layout and flow validated for right-to-left rendering at design stage, not during development.</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Interface</w:t>
            </w:r>
          </w:p>
        </w:tc>
        <w:tc>
          <w:tcPr>
            <w:tcW w:type="dxa" w:w="4824"/>
            <w:shd w:val="clear" w:fill="1F3864"/>
          </w:tcPr>
          <w:p>
            <w:pPr>
              <w:spacing w:after="20" w:before="20"/>
            </w:pPr>
            <w:r/>
            <w:r>
              <w:rPr>
                <w:b/>
                <w:i w:val="0"/>
                <w:color w:val="FFFFFF"/>
                <w:sz w:val="19"/>
              </w:rPr>
              <w:t>Key Flows Covered</w:t>
            </w:r>
          </w:p>
        </w:tc>
      </w:tr>
      <w:tr>
        <w:tc>
          <w:tcPr>
            <w:tcW w:type="dxa" w:w="4824"/>
          </w:tcPr>
          <w:p>
            <w:pPr>
              <w:spacing w:after="20" w:before="20"/>
            </w:pPr>
            <w:r/>
            <w:r>
              <w:rPr>
                <w:b w:val="0"/>
                <w:i w:val="0"/>
                <w:sz w:val="19"/>
              </w:rPr>
              <w:t>Guest web storefront</w:t>
            </w:r>
          </w:p>
        </w:tc>
        <w:tc>
          <w:tcPr>
            <w:tcW w:type="dxa" w:w="4824"/>
          </w:tcPr>
          <w:p>
            <w:pPr>
              <w:spacing w:after="20" w:before="20"/>
            </w:pPr>
            <w:r/>
            <w:r>
              <w:rPr>
                <w:b w:val="0"/>
                <w:i w:val="0"/>
                <w:sz w:val="19"/>
              </w:rPr>
              <w:t>Browse to select to checkout to digital ticket receipt</w:t>
            </w:r>
          </w:p>
        </w:tc>
      </w:tr>
      <w:tr>
        <w:tc>
          <w:tcPr>
            <w:tcW w:type="dxa" w:w="4824"/>
            <w:shd w:val="clear" w:fill="EEF3F8"/>
          </w:tcPr>
          <w:p>
            <w:pPr>
              <w:spacing w:after="20" w:before="20"/>
            </w:pPr>
            <w:r/>
            <w:r>
              <w:rPr>
                <w:b w:val="0"/>
                <w:i w:val="0"/>
                <w:sz w:val="19"/>
              </w:rPr>
              <w:t>Guest mobile app</w:t>
            </w:r>
          </w:p>
        </w:tc>
        <w:tc>
          <w:tcPr>
            <w:tcW w:type="dxa" w:w="4824"/>
            <w:shd w:val="clear" w:fill="EEF3F8"/>
          </w:tcPr>
          <w:p>
            <w:pPr>
              <w:spacing w:after="20" w:before="20"/>
            </w:pPr>
            <w:r/>
            <w:r>
              <w:rPr>
                <w:b w:val="0"/>
                <w:i w:val="0"/>
                <w:sz w:val="19"/>
              </w:rPr>
              <w:t>Home, ticket wallet, virtual queue, venue map, live wait times</w:t>
            </w:r>
          </w:p>
        </w:tc>
      </w:tr>
      <w:tr>
        <w:tc>
          <w:tcPr>
            <w:tcW w:type="dxa" w:w="4824"/>
          </w:tcPr>
          <w:p>
            <w:pPr>
              <w:spacing w:after="20" w:before="20"/>
            </w:pPr>
            <w:r/>
            <w:r>
              <w:rPr>
                <w:b w:val="0"/>
                <w:i w:val="0"/>
                <w:sz w:val="19"/>
              </w:rPr>
              <w:t>Staff operations app</w:t>
            </w:r>
          </w:p>
        </w:tc>
        <w:tc>
          <w:tcPr>
            <w:tcW w:type="dxa" w:w="4824"/>
          </w:tcPr>
          <w:p>
            <w:pPr>
              <w:spacing w:after="20" w:before="20"/>
            </w:pPr>
            <w:r/>
            <w:r>
              <w:rPr>
                <w:b w:val="0"/>
                <w:i w:val="0"/>
                <w:sz w:val="19"/>
              </w:rPr>
              <w:t>Ticket validation, queue management, shift management, incident reporting</w:t>
            </w:r>
          </w:p>
        </w:tc>
      </w:tr>
      <w:tr>
        <w:tc>
          <w:tcPr>
            <w:tcW w:type="dxa" w:w="4824"/>
            <w:shd w:val="clear" w:fill="EEF3F8"/>
          </w:tcPr>
          <w:p>
            <w:pPr>
              <w:spacing w:after="20" w:before="20"/>
            </w:pPr>
            <w:r/>
            <w:r>
              <w:rPr>
                <w:b w:val="0"/>
                <w:i w:val="0"/>
                <w:sz w:val="19"/>
              </w:rPr>
              <w:t>Admin / back-office</w:t>
            </w:r>
          </w:p>
        </w:tc>
        <w:tc>
          <w:tcPr>
            <w:tcW w:type="dxa" w:w="4824"/>
            <w:shd w:val="clear" w:fill="EEF3F8"/>
          </w:tcPr>
          <w:p>
            <w:pPr>
              <w:spacing w:after="20" w:before="20"/>
            </w:pPr>
            <w:r/>
            <w:r>
              <w:rPr>
                <w:b w:val="0"/>
                <w:i w:val="0"/>
                <w:sz w:val="19"/>
              </w:rPr>
              <w:t>Tenant config, product catalog, pricing, user management, reporting</w:t>
            </w:r>
          </w:p>
        </w:tc>
      </w:tr>
      <w:tr>
        <w:tc>
          <w:tcPr>
            <w:tcW w:type="dxa" w:w="4824"/>
          </w:tcPr>
          <w:p>
            <w:pPr>
              <w:spacing w:after="20" w:before="20"/>
            </w:pPr>
            <w:r/>
            <w:r>
              <w:rPr>
                <w:b w:val="0"/>
                <w:i w:val="0"/>
                <w:sz w:val="19"/>
              </w:rPr>
              <w:t>POS terminal</w:t>
            </w:r>
          </w:p>
        </w:tc>
        <w:tc>
          <w:tcPr>
            <w:tcW w:type="dxa" w:w="4824"/>
          </w:tcPr>
          <w:p>
            <w:pPr>
              <w:spacing w:after="20" w:before="20"/>
            </w:pPr>
            <w:r/>
            <w:r>
              <w:rPr>
                <w:b w:val="0"/>
                <w:i w:val="0"/>
                <w:sz w:val="19"/>
              </w:rPr>
              <w:t>Sale flow, cash handling, discount application, offline indicator, receipt</w:t>
            </w:r>
          </w:p>
        </w:tc>
      </w:tr>
      <w:tr>
        <w:tc>
          <w:tcPr>
            <w:tcW w:type="dxa" w:w="4824"/>
            <w:shd w:val="clear" w:fill="EEF3F8"/>
          </w:tcPr>
          <w:p>
            <w:pPr>
              <w:spacing w:after="20" w:before="20"/>
            </w:pPr>
            <w:r/>
            <w:r>
              <w:rPr>
                <w:b w:val="0"/>
                <w:i w:val="0"/>
                <w:sz w:val="19"/>
              </w:rPr>
              <w:t>Kiosk</w:t>
            </w:r>
          </w:p>
        </w:tc>
        <w:tc>
          <w:tcPr>
            <w:tcW w:type="dxa" w:w="4824"/>
            <w:shd w:val="clear" w:fill="EEF3F8"/>
          </w:tcPr>
          <w:p>
            <w:pPr>
              <w:spacing w:after="20" w:before="20"/>
            </w:pPr>
            <w:r/>
            <w:r>
              <w:rPr>
                <w:b w:val="0"/>
                <w:i w:val="0"/>
                <w:sz w:val="19"/>
              </w:rPr>
              <w:t>Unattended ticket purchase, wristband print, F&amp;B order</w:t>
            </w:r>
          </w:p>
        </w:tc>
      </w:tr>
    </w:tbl>
    <w:p>
      <w:pPr>
        <w:spacing w:after="40"/>
      </w:pPr>
    </w:p>
    <w:p>
      <w:pPr>
        <w:pStyle w:val="Heading3"/>
        <w:spacing w:before="160" w:after="60"/>
      </w:pPr>
      <w:r>
        <w:rPr>
          <w:b/>
          <w:color w:val="2E75B6"/>
          <w:sz w:val="23"/>
        </w:rPr>
        <w:t>Week 4 — Technical Design &amp; Sign-Off</w:t>
      </w:r>
    </w:p>
    <w:p>
      <w:pPr>
        <w:pStyle w:val="ListBullet"/>
        <w:spacing w:after="40"/>
      </w:pPr>
      <w:r>
        <w:rPr>
          <w:b w:val="0"/>
          <w:i w:val="0"/>
        </w:rPr>
        <w:t>System architecture finalised: microservices map, data flow diagrams, API contracts</w:t>
      </w:r>
    </w:p>
    <w:p>
      <w:pPr>
        <w:pStyle w:val="ListBullet"/>
        <w:spacing w:after="40"/>
      </w:pPr>
      <w:r>
        <w:rPr>
          <w:b w:val="0"/>
          <w:i w:val="0"/>
        </w:rPr>
        <w:t>Database schema design completed for all major entities</w:t>
      </w:r>
    </w:p>
    <w:p>
      <w:pPr>
        <w:pStyle w:val="ListBullet"/>
        <w:spacing w:after="40"/>
      </w:pPr>
      <w:r>
        <w:rPr>
          <w:b w:val="0"/>
          <w:i w:val="0"/>
        </w:rPr>
        <w:t>Integration approach confirmed per third-party system (access control SDK, Stripe, Opera, communication provider)</w:t>
      </w:r>
    </w:p>
    <w:p>
      <w:pPr>
        <w:pStyle w:val="ListBullet"/>
        <w:spacing w:after="40"/>
      </w:pPr>
      <w:r>
        <w:rPr>
          <w:b w:val="0"/>
          <w:i w:val="0"/>
        </w:rPr>
        <w:t>Development backlog created, prioritised, and estimated; Sprint plan for Month 2 confirmed</w:t>
      </w:r>
    </w:p>
    <w:p>
      <w:pPr>
        <w:pStyle w:val="ListBullet"/>
        <w:spacing w:after="40"/>
      </w:pPr>
      <w:r>
        <w:rPr>
          <w:b w:val="0"/>
          <w:i w:val="0"/>
        </w:rPr>
        <w:t>Infrastructure sizing finalised and shared with client’s infrastructure team</w:t>
      </w:r>
    </w:p>
    <w:p>
      <w:pPr>
        <w:pStyle w:val="ListBullet"/>
        <w:spacing w:after="40"/>
      </w:pPr>
      <w:r>
        <w:rPr>
          <w:b w:val="0"/>
          <w:i w:val="0"/>
        </w:rPr>
        <w:t>Architecture sign-off document signed by both parties</w:t>
      </w:r>
    </w:p>
    <w:p>
      <w:pPr>
        <w:pStyle w:val="Heading3"/>
        <w:spacing w:before="160" w:after="60"/>
      </w:pPr>
      <w:r>
        <w:rPr>
          <w:b/>
          <w:color w:val="2E75B6"/>
          <w:sz w:val="23"/>
        </w:rPr>
        <w:t>Weeks 5–7 — Refinement, Sign-Off &amp; Mobilisation</w:t>
      </w:r>
    </w:p>
    <w:p>
      <w:pPr>
        <w:spacing w:after="120" w:line="259" w:lineRule="auto"/>
      </w:pPr>
      <w:r>
        <w:rPr>
          <w:b w:val="0"/>
          <w:i w:val="0"/>
        </w:rPr>
        <w:t>The additional three weeks beyond the core deliverables protect against the most common cause of delay later in the project: artefacts that are formally approved but materially incomplete. This block exists to close that gap before development begins.</w:t>
      </w:r>
    </w:p>
    <w:p>
      <w:pPr>
        <w:pStyle w:val="ListBullet"/>
        <w:spacing w:after="40"/>
      </w:pPr>
      <w:r>
        <w:rPr>
          <w:b w:val="0"/>
          <w:i w:val="0"/>
        </w:rPr>
        <w:t>Final review cycle on wireframes (EN + Arabic RTL) and Technical Architecture Document with all client stakeholders, not just the technical lead — finance, operations, marketing, venue managers each sign off on the surfaces they will use</w:t>
      </w:r>
    </w:p>
    <w:p>
      <w:pPr>
        <w:pStyle w:val="ListBullet"/>
        <w:spacing w:after="40"/>
      </w:pPr>
      <w:r>
        <w:rPr>
          <w:b w:val="0"/>
          <w:i w:val="0"/>
        </w:rPr>
        <w:t>Discovery &amp; Definition Gate package consolidated and signed in writing by both parties: scope, wireframes, architecture, sprint plan, acceptance criteria, change management process</w:t>
      </w:r>
    </w:p>
    <w:p>
      <w:pPr>
        <w:pStyle w:val="ListBullet"/>
        <w:spacing w:after="40"/>
      </w:pPr>
      <w:r>
        <w:rPr>
          <w:b w:val="0"/>
          <w:i w:val="0"/>
        </w:rPr>
        <w:t>Client dependency window closed: all Month 2 client provisions confirmed live and tested (cloud access, repository, App Store accounts, Stripe credentials, branding assets, VAT TRN numbers per venue)</w:t>
      </w:r>
    </w:p>
    <w:p>
      <w:pPr>
        <w:pStyle w:val="ListBullet"/>
        <w:spacing w:after="40"/>
      </w:pPr>
      <w:r>
        <w:rPr>
          <w:b w:val="0"/>
          <w:i w:val="0"/>
        </w:rPr>
        <w:t>Team mobilisation: engineering team onboarded to the codebase repository, environments, access controls, and sprint cadence; first sprint backlog refined and pointed by the team that will execute it</w:t>
      </w:r>
    </w:p>
    <w:p>
      <w:pPr>
        <w:pStyle w:val="ListBullet"/>
        <w:spacing w:after="40"/>
      </w:pPr>
      <w:r>
        <w:rPr>
          <w:b w:val="0"/>
          <w:i w:val="0"/>
        </w:rPr>
        <w:t>Risk register baseline established with mitigation owners assigned</w:t>
      </w:r>
    </w:p>
    <w:p>
      <w:pPr>
        <w:pStyle w:val="ListBullet"/>
        <w:spacing w:after="40"/>
      </w:pPr>
      <w:r>
        <w:rPr>
          <w:b w:val="0"/>
          <w:i w:val="0"/>
        </w:rPr>
        <w:t>Hardware procurement confirmed by the client: access control units, scanners, POS terminals identified per venue with delivery commitments in writing</w:t>
      </w: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 xml:space="preserve">Discovery </w:t>
            </w:r>
            <w:r>
              <w:rPr>
                <w:b/>
                <w:i w:val="0"/>
                <w:color w:val="FFFFFF"/>
                <w:sz w:val="19"/>
              </w:rPr>
              <w:t>&amp;</w:t>
            </w:r>
            <w:r>
              <w:rPr>
                <w:b/>
                <w:i w:val="0"/>
                <w:color w:val="FFFFFF"/>
                <w:sz w:val="19"/>
              </w:rPr>
              <w:t xml:space="preserve"> Definition Gate — Entry Criteria for Month 2</w:t>
            </w:r>
            <w:r>
              <w:rPr>
                <w:b/>
                <w:i w:val="0"/>
                <w:color w:val="FFFFFF"/>
                <w:sz w:val="19"/>
              </w:rPr>
              <w:t xml:space="preserve"> Development does not begin until all of the following are signed off in writing by both parties: scope boundary confirmed, wireframes approved in English and Arabic RTL, Technical Architecture Document approved, Sprint plan for Month 2 agreed, acceptance criteria agreed, change management process agreed, all Month 2 client dependencies confirmed as ready, UAE VAT TRN numbers collected, staff role structure documented, branding assets received for pilot venue. If any item is outstanding, Month 2 start is deferred accordingly.</w:t>
            </w:r>
          </w:p>
        </w:tc>
      </w:tr>
    </w:tbl>
    <w:p>
      <w:pPr>
        <w:spacing w:after="40"/>
      </w:pPr>
    </w:p>
    <w:p>
      <w:pPr>
        <w:pStyle w:val="Heading2"/>
        <w:spacing w:before="200" w:after="80"/>
      </w:pPr>
      <w:r>
        <w:rPr>
          <w:b/>
          <w:color w:val="2E75B6"/>
          <w:sz w:val="28"/>
        </w:rPr>
        <w:t>8.3 Phase 1 — Complete Platform (Months 2–8)</w:t>
      </w:r>
    </w:p>
    <w:p>
      <w:pPr>
        <w:spacing w:after="120" w:line="259" w:lineRule="auto"/>
      </w:pPr>
      <w:r>
        <w:rPr>
          <w:b w:val="0"/>
          <w:i w:val="0"/>
        </w:rPr>
        <w:t>Phase 1 delivers a complete, production-ready platform across all 12 RFP domains, with all venues live, security audited, and AI Phase 1 assistants active. It is not a pilot or a starting point — it is the full platform.</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Month</w:t>
            </w:r>
          </w:p>
        </w:tc>
        <w:tc>
          <w:tcPr>
            <w:tcW w:type="dxa" w:w="3216"/>
            <w:shd w:val="clear" w:fill="1F3864"/>
          </w:tcPr>
          <w:p>
            <w:pPr>
              <w:spacing w:after="20" w:before="20"/>
            </w:pPr>
            <w:r/>
            <w:r>
              <w:rPr>
                <w:b/>
                <w:i w:val="0"/>
                <w:color w:val="FFFFFF"/>
                <w:sz w:val="19"/>
              </w:rPr>
              <w:t>Key Deliverables</w:t>
            </w:r>
          </w:p>
        </w:tc>
        <w:tc>
          <w:tcPr>
            <w:tcW w:type="dxa" w:w="3216"/>
            <w:shd w:val="clear" w:fill="1F3864"/>
          </w:tcPr>
          <w:p>
            <w:pPr>
              <w:spacing w:after="20" w:before="20"/>
            </w:pPr>
            <w:r/>
            <w:r>
              <w:rPr>
                <w:b/>
                <w:i w:val="0"/>
                <w:color w:val="FFFFFF"/>
                <w:sz w:val="19"/>
              </w:rPr>
              <w:t>Gate / Decision Point</w:t>
            </w:r>
          </w:p>
        </w:tc>
      </w:tr>
      <w:tr>
        <w:tc>
          <w:tcPr>
            <w:tcW w:type="dxa" w:w="3216"/>
          </w:tcPr>
          <w:p>
            <w:pPr>
              <w:spacing w:after="20" w:before="20"/>
            </w:pPr>
            <w:r/>
            <w:r>
              <w:rPr>
                <w:b w:val="0"/>
                <w:i w:val="0"/>
                <w:sz w:val="19"/>
              </w:rPr>
              <w:t>Month 2</w:t>
            </w:r>
          </w:p>
        </w:tc>
        <w:tc>
          <w:tcPr>
            <w:tcW w:type="dxa" w:w="3216"/>
          </w:tcPr>
          <w:p>
            <w:pPr>
              <w:spacing w:after="20" w:before="20"/>
            </w:pPr>
            <w:r/>
            <w:r>
              <w:rPr>
                <w:b w:val="0"/>
                <w:i w:val="0"/>
                <w:sz w:val="19"/>
              </w:rPr>
              <w:t>Identity &amp; Security service, multi-tenant core, CI/CD pipeline, three environments live</w:t>
            </w:r>
          </w:p>
        </w:tc>
        <w:tc>
          <w:tcPr>
            <w:tcW w:type="dxa" w:w="3216"/>
          </w:tcPr>
          <w:p>
            <w:pPr>
              <w:spacing w:after="20" w:before="20"/>
            </w:pPr>
            <w:r/>
            <w:r>
              <w:rPr>
                <w:b w:val="0"/>
                <w:i w:val="0"/>
                <w:sz w:val="19"/>
              </w:rPr>
              <w:t>Tenant isolation verified; CI/CD gates active</w:t>
            </w:r>
          </w:p>
        </w:tc>
      </w:tr>
      <w:tr>
        <w:tc>
          <w:tcPr>
            <w:tcW w:type="dxa" w:w="3216"/>
            <w:shd w:val="clear" w:fill="EEF3F8"/>
          </w:tcPr>
          <w:p>
            <w:pPr>
              <w:spacing w:after="20" w:before="20"/>
            </w:pPr>
            <w:r/>
            <w:r>
              <w:rPr>
                <w:b w:val="0"/>
                <w:i w:val="0"/>
                <w:sz w:val="19"/>
              </w:rPr>
              <w:t>Month 3</w:t>
            </w:r>
          </w:p>
        </w:tc>
        <w:tc>
          <w:tcPr>
            <w:tcW w:type="dxa" w:w="3216"/>
            <w:shd w:val="clear" w:fill="EEF3F8"/>
          </w:tcPr>
          <w:p>
            <w:pPr>
              <w:spacing w:after="20" w:before="20"/>
            </w:pPr>
            <w:r/>
            <w:r>
              <w:rPr>
                <w:b w:val="0"/>
                <w:i w:val="0"/>
                <w:sz w:val="19"/>
              </w:rPr>
              <w:t>Finance core (ledger, VAT, reconciliation), Ticketing engine, Events module, Pre-production environment</w:t>
            </w:r>
          </w:p>
        </w:tc>
        <w:tc>
          <w:tcPr>
            <w:tcW w:type="dxa" w:w="3216"/>
            <w:shd w:val="clear" w:fill="EEF3F8"/>
          </w:tcPr>
          <w:p>
            <w:pPr>
              <w:spacing w:after="20" w:before="20"/>
            </w:pPr>
            <w:r/>
            <w:r>
              <w:rPr>
                <w:b w:val="0"/>
                <w:i w:val="0"/>
                <w:sz w:val="19"/>
              </w:rPr>
              <w:t>Finance ledger UAT; ticketing domain UAT</w:t>
            </w:r>
          </w:p>
        </w:tc>
      </w:tr>
      <w:tr>
        <w:tc>
          <w:tcPr>
            <w:tcW w:type="dxa" w:w="3216"/>
          </w:tcPr>
          <w:p>
            <w:pPr>
              <w:spacing w:after="20" w:before="20"/>
            </w:pPr>
            <w:r/>
            <w:r>
              <w:rPr>
                <w:b w:val="0"/>
                <w:i w:val="0"/>
                <w:sz w:val="19"/>
              </w:rPr>
              <w:t>Month 4</w:t>
            </w:r>
          </w:p>
        </w:tc>
        <w:tc>
          <w:tcPr>
            <w:tcW w:type="dxa" w:w="3216"/>
          </w:tcPr>
          <w:p>
            <w:pPr>
              <w:spacing w:after="20" w:before="20"/>
            </w:pPr>
            <w:r/>
            <w:r>
              <w:rPr>
                <w:b w:val="0"/>
                <w:i w:val="0"/>
                <w:sz w:val="19"/>
              </w:rPr>
              <w:t>POS (offline-first), Commerce, Mobile apps (beta), Communication layer, i18n English and Arabic</w:t>
            </w:r>
          </w:p>
        </w:tc>
        <w:tc>
          <w:tcPr>
            <w:tcW w:type="dxa" w:w="3216"/>
          </w:tcPr>
          <w:p>
            <w:pPr>
              <w:spacing w:after="20" w:before="20"/>
            </w:pPr>
            <w:r/>
            <w:r>
              <w:rPr>
                <w:b w:val="0"/>
                <w:i w:val="0"/>
                <w:sz w:val="19"/>
              </w:rPr>
              <w:t>Internal UAT — Phase 1 core domains</w:t>
            </w:r>
          </w:p>
        </w:tc>
      </w:tr>
      <w:tr>
        <w:tc>
          <w:tcPr>
            <w:tcW w:type="dxa" w:w="3216"/>
            <w:shd w:val="clear" w:fill="EEF3F8"/>
          </w:tcPr>
          <w:p>
            <w:pPr>
              <w:spacing w:after="20" w:before="20"/>
            </w:pPr>
            <w:r/>
            <w:r>
              <w:rPr>
                <w:b w:val="0"/>
                <w:i w:val="0"/>
                <w:sz w:val="19"/>
              </w:rPr>
              <w:t>Month 5</w:t>
            </w:r>
          </w:p>
        </w:tc>
        <w:tc>
          <w:tcPr>
            <w:tcW w:type="dxa" w:w="3216"/>
            <w:shd w:val="clear" w:fill="EEF3F8"/>
          </w:tcPr>
          <w:p>
            <w:pPr>
              <w:spacing w:after="20" w:before="20"/>
            </w:pPr>
            <w:r/>
            <w:r>
              <w:rPr>
                <w:b w:val="0"/>
                <w:i w:val="0"/>
                <w:sz w:val="19"/>
              </w:rPr>
              <w:t>PCI-DSS controls, Data migration tooling, Security controls validation</w:t>
            </w:r>
          </w:p>
        </w:tc>
        <w:tc>
          <w:tcPr>
            <w:tcW w:type="dxa" w:w="3216"/>
            <w:shd w:val="clear" w:fill="EEF3F8"/>
          </w:tcPr>
          <w:p>
            <w:pPr>
              <w:spacing w:after="20" w:before="20"/>
            </w:pPr>
            <w:r/>
            <w:r>
              <w:rPr>
                <w:b w:val="0"/>
                <w:i w:val="0"/>
                <w:sz w:val="19"/>
              </w:rPr>
              <w:t>Security controls verified; PCI scope confirmed</w:t>
            </w:r>
          </w:p>
        </w:tc>
      </w:tr>
      <w:tr>
        <w:tc>
          <w:tcPr>
            <w:tcW w:type="dxa" w:w="3216"/>
          </w:tcPr>
          <w:p>
            <w:pPr>
              <w:spacing w:after="20" w:before="20"/>
            </w:pPr>
            <w:r/>
            <w:r>
              <w:rPr>
                <w:b w:val="0"/>
                <w:i w:val="0"/>
                <w:sz w:val="19"/>
              </w:rPr>
              <w:t>Month 6</w:t>
            </w:r>
          </w:p>
        </w:tc>
        <w:tc>
          <w:tcPr>
            <w:tcW w:type="dxa" w:w="3216"/>
          </w:tcPr>
          <w:p>
            <w:pPr>
              <w:spacing w:after="20" w:before="20"/>
            </w:pPr>
            <w:r/>
            <w:r>
              <w:rPr>
                <w:b w:val="0"/>
                <w:i w:val="0"/>
                <w:sz w:val="19"/>
              </w:rPr>
              <w:t>Pilot venue deployment, Client UAT, Opera PMS integration</w:t>
            </w:r>
          </w:p>
        </w:tc>
        <w:tc>
          <w:tcPr>
            <w:tcW w:type="dxa" w:w="3216"/>
          </w:tcPr>
          <w:p>
            <w:pPr>
              <w:spacing w:after="20" w:before="20"/>
            </w:pPr>
            <w:r/>
            <w:r>
              <w:rPr>
                <w:b w:val="0"/>
                <w:i w:val="0"/>
                <w:sz w:val="19"/>
              </w:rPr>
              <w:t>Pilot venue go-live — full platform in production</w:t>
            </w:r>
          </w:p>
        </w:tc>
      </w:tr>
      <w:tr>
        <w:tc>
          <w:tcPr>
            <w:tcW w:type="dxa" w:w="3216"/>
            <w:shd w:val="clear" w:fill="EEF3F8"/>
          </w:tcPr>
          <w:p>
            <w:pPr>
              <w:spacing w:after="20" w:before="20"/>
            </w:pPr>
            <w:r/>
            <w:r>
              <w:rPr>
                <w:b w:val="0"/>
                <w:i w:val="0"/>
                <w:sz w:val="19"/>
              </w:rPr>
              <w:t>Month 7</w:t>
            </w:r>
          </w:p>
        </w:tc>
        <w:tc>
          <w:tcPr>
            <w:tcW w:type="dxa" w:w="3216"/>
            <w:shd w:val="clear" w:fill="EEF3F8"/>
          </w:tcPr>
          <w:p>
            <w:pPr>
              <w:spacing w:after="20" w:before="20"/>
            </w:pPr>
            <w:r/>
            <w:r>
              <w:rPr>
                <w:b w:val="0"/>
                <w:i w:val="0"/>
                <w:sz w:val="19"/>
              </w:rPr>
              <w:t>Marketing &amp; CRM module, Operations &amp; Logistics, Additional access control manufacturers, Command Center, Analytics, Wave 1 rollout begins (3–4 venues), security audit starts</w:t>
            </w:r>
          </w:p>
        </w:tc>
        <w:tc>
          <w:tcPr>
            <w:tcW w:type="dxa" w:w="3216"/>
            <w:shd w:val="clear" w:fill="EEF3F8"/>
          </w:tcPr>
          <w:p>
            <w:pPr>
              <w:spacing w:after="20" w:before="20"/>
            </w:pPr>
            <w:r/>
            <w:r>
              <w:rPr>
                <w:b w:val="0"/>
                <w:i w:val="0"/>
                <w:sz w:val="19"/>
              </w:rPr>
              <w:t>Marketing + ops UAT; Wave 1 live; security audit in progress</w:t>
            </w:r>
          </w:p>
        </w:tc>
      </w:tr>
      <w:tr>
        <w:tc>
          <w:tcPr>
            <w:tcW w:type="dxa" w:w="3216"/>
          </w:tcPr>
          <w:p>
            <w:pPr>
              <w:spacing w:after="20" w:before="20"/>
            </w:pPr>
            <w:r/>
            <w:r>
              <w:rPr>
                <w:b w:val="0"/>
                <w:i w:val="0"/>
                <w:sz w:val="19"/>
              </w:rPr>
              <w:t>Month 8</w:t>
            </w:r>
          </w:p>
        </w:tc>
        <w:tc>
          <w:tcPr>
            <w:tcW w:type="dxa" w:w="3216"/>
          </w:tcPr>
          <w:p>
            <w:pPr>
              <w:spacing w:after="20" w:before="20"/>
            </w:pPr>
            <w:r/>
            <w:r>
              <w:rPr>
                <w:b w:val="0"/>
                <w:i w:val="0"/>
                <w:sz w:val="19"/>
              </w:rPr>
              <w:t>AI Phase 1 (Config Assistant, Reporting Assistant, BI Dashboards), Developer portal, GDPR/PDPL tooling, Wave 1 rollout (3–4 venues)</w:t>
            </w:r>
          </w:p>
        </w:tc>
        <w:tc>
          <w:tcPr>
            <w:tcW w:type="dxa" w:w="3216"/>
          </w:tcPr>
          <w:p>
            <w:pPr>
              <w:spacing w:after="20" w:before="20"/>
            </w:pPr>
            <w:r/>
            <w:r>
              <w:rPr>
                <w:b w:val="0"/>
                <w:i w:val="0"/>
                <w:sz w:val="19"/>
              </w:rPr>
              <w:t>AI assistant UAT; Wave 1 venues live</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Phase 1 Gate — Month 8</w:t>
            </w:r>
            <w:r>
              <w:rPr>
                <w:b/>
                <w:i w:val="0"/>
                <w:color w:val="FFFFFF"/>
                <w:sz w:val="19"/>
              </w:rPr>
              <w:t xml:space="preserve"> What the client receives at the Phase 1 gate: All 12 domains operational across all venues. All venues live (pilot + Wave 1 + Wave 2). AI Phase 1 assistants active (Configuration Assistant, Reporting Assistant, BI Dashboards). Penetration test completed and findings resolved. DESC documentation package delivered. Arabic RTL fully validated across all surfaces. The 6-month Hypercare period does NOT start here — it starts at the Month 16 gate. Hypercare starts at complete handover, not at first go-live.</w:t>
            </w:r>
          </w:p>
        </w:tc>
      </w:tr>
    </w:tbl>
    <w:p>
      <w:pPr>
        <w:spacing w:after="40"/>
      </w:pPr>
    </w:p>
    <w:p>
      <w:pPr>
        <w:pStyle w:val="Heading2"/>
        <w:spacing w:before="200" w:after="80"/>
      </w:pPr>
      <w:r>
        <w:rPr>
          <w:b/>
          <w:color w:val="2E75B6"/>
          <w:sz w:val="28"/>
        </w:rPr>
        <w:t>8.4 Phase 2 — Enterprise Integrations (Months 9–14)</w:t>
      </w:r>
    </w:p>
    <w:p>
      <w:pPr>
        <w:spacing w:after="120" w:line="259" w:lineRule="auto"/>
      </w:pPr>
      <w:r>
        <w:rPr>
          <w:b w:val="0"/>
          <w:i w:val="0"/>
        </w:rPr>
        <w:t>Phase 2 starts immediately at Month 9 after the Phase 1 gate, building on a stable proven platform. Following the 21 May scope review, external ERP integration, external CRM integration, and any additional payment gateways are no longer committed Phase 2 build items — they are handled as red-card clauses (see 8.5a), activated on the client’s written request with a fixed timeline and cost. The UAE government and tourism integrations (DTCM, DCT, UAE Pass, SIEM, Azure AD) are delivered in Phase 1, not Phase 2. The ML recommendation capabilities are not committed Phase 2 deliverables — they are recommended future capabilities commissioned separately when sufficient Phase 1 data has accumulated and the client has confirmed UAE infrastructure requirements. See Chapter 5 for full detail.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Capability</w:t>
            </w:r>
          </w:p>
        </w:tc>
        <w:tc>
          <w:tcPr>
            <w:tcW w:type="dxa" w:w="3216"/>
            <w:shd w:val="clear" w:fill="1F3864"/>
          </w:tcPr>
          <w:p>
            <w:pPr>
              <w:spacing w:after="20" w:before="20"/>
            </w:pPr>
            <w:r/>
            <w:r>
              <w:rPr>
                <w:b/>
                <w:i w:val="0"/>
                <w:color w:val="FFFFFF"/>
                <w:sz w:val="19"/>
              </w:rPr>
              <w:t>Timing</w:t>
            </w:r>
          </w:p>
        </w:tc>
        <w:tc>
          <w:tcPr>
            <w:tcW w:type="dxa" w:w="3216"/>
            <w:shd w:val="clear" w:fill="1F3864"/>
          </w:tcPr>
          <w:p>
            <w:pPr>
              <w:spacing w:after="20" w:before="20"/>
            </w:pPr>
            <w:r/>
            <w:r>
              <w:rPr>
                <w:b/>
                <w:i w:val="0"/>
                <w:color w:val="FFFFFF"/>
                <w:sz w:val="19"/>
              </w:rPr>
              <w:t>Detail</w:t>
            </w:r>
          </w:p>
        </w:tc>
      </w:tr>
      <w:tr>
        <w:tc>
          <w:tcPr>
            <w:tcW w:type="dxa" w:w="3216"/>
          </w:tcPr>
          <w:p>
            <w:pPr>
              <w:spacing w:after="20" w:before="20"/>
            </w:pPr>
            <w:r/>
            <w:r>
              <w:rPr>
                <w:b w:val="0"/>
                <w:i w:val="0"/>
                <w:sz w:val="19"/>
              </w:rPr>
              <w:t>Rule-Based Dynamic Pricing Engine</w:t>
            </w:r>
          </w:p>
        </w:tc>
        <w:tc>
          <w:tcPr>
            <w:tcW w:type="dxa" w:w="3216"/>
          </w:tcPr>
          <w:p>
            <w:pPr>
              <w:spacing w:after="20" w:before="20"/>
            </w:pPr>
            <w:r/>
            <w:r>
              <w:rPr>
                <w:b w:val="0"/>
                <w:i w:val="0"/>
                <w:sz w:val="19"/>
              </w:rPr>
              <w:t>Month 10–11</w:t>
            </w:r>
          </w:p>
        </w:tc>
        <w:tc>
          <w:tcPr>
            <w:tcW w:type="dxa" w:w="3216"/>
          </w:tcPr>
          <w:p>
            <w:pPr>
              <w:spacing w:after="20" w:before="20"/>
            </w:pPr>
            <w:r/>
            <w:r>
              <w:rPr>
                <w:b w:val="0"/>
                <w:i w:val="0"/>
                <w:sz w:val="19"/>
              </w:rPr>
              <w:t>Configurable rules engine; venue managers set floor, ceiling, and demand-based rules; A/B testing framework; full audit trail</w:t>
            </w:r>
          </w:p>
        </w:tc>
      </w:tr>
      <w:tr>
        <w:tc>
          <w:tcPr>
            <w:tcW w:type="dxa" w:w="3216"/>
            <w:shd w:val="clear" w:fill="EEF3F8"/>
          </w:tcPr>
          <w:p>
            <w:pPr>
              <w:spacing w:after="20" w:before="20"/>
            </w:pPr>
            <w:r/>
            <w:r>
              <w:rPr>
                <w:b w:val="0"/>
                <w:i w:val="0"/>
                <w:sz w:val="19"/>
              </w:rPr>
              <w:t>Rule-Based Fraud Detection Engine</w:t>
            </w:r>
          </w:p>
        </w:tc>
        <w:tc>
          <w:tcPr>
            <w:tcW w:type="dxa" w:w="3216"/>
            <w:shd w:val="clear" w:fill="EEF3F8"/>
          </w:tcPr>
          <w:p>
            <w:pPr>
              <w:spacing w:after="20" w:before="20"/>
            </w:pPr>
            <w:r/>
            <w:r>
              <w:rPr>
                <w:b w:val="0"/>
                <w:i w:val="0"/>
                <w:sz w:val="19"/>
              </w:rPr>
              <w:t>Month 10–11</w:t>
            </w:r>
          </w:p>
        </w:tc>
        <w:tc>
          <w:tcPr>
            <w:tcW w:type="dxa" w:w="3216"/>
            <w:shd w:val="clear" w:fill="EEF3F8"/>
          </w:tcPr>
          <w:p>
            <w:pPr>
              <w:spacing w:after="20" w:before="20"/>
            </w:pPr>
            <w:r/>
            <w:r>
              <w:rPr>
                <w:b w:val="0"/>
                <w:i w:val="0"/>
                <w:sz w:val="19"/>
              </w:rPr>
              <w:t>Real-time rules: duplicate tickets, velocity checks, account takeover; millisecond gate response; case management dashboard</w:t>
            </w:r>
          </w:p>
        </w:tc>
      </w:tr>
      <w:tr>
        <w:tc>
          <w:tcPr>
            <w:tcW w:type="dxa" w:w="3216"/>
          </w:tcPr>
          <w:p>
            <w:pPr>
              <w:spacing w:after="20" w:before="20"/>
            </w:pPr>
            <w:r/>
            <w:r>
              <w:rPr>
                <w:b w:val="0"/>
                <w:i w:val="0"/>
                <w:sz w:val="19"/>
              </w:rPr>
              <w:t>Ticket Resale Marketplace</w:t>
            </w:r>
          </w:p>
        </w:tc>
        <w:tc>
          <w:tcPr>
            <w:tcW w:type="dxa" w:w="3216"/>
          </w:tcPr>
          <w:p>
            <w:pPr>
              <w:spacing w:after="20" w:before="20"/>
            </w:pPr>
            <w:r/>
            <w:r>
              <w:rPr>
                <w:b w:val="0"/>
                <w:i w:val="0"/>
                <w:sz w:val="19"/>
              </w:rPr>
              <w:t>Month 12–13</w:t>
            </w:r>
          </w:p>
        </w:tc>
        <w:tc>
          <w:tcPr>
            <w:tcW w:type="dxa" w:w="3216"/>
          </w:tcPr>
          <w:p>
            <w:pPr>
              <w:spacing w:after="20" w:before="20"/>
            </w:pPr>
            <w:r/>
            <w:r>
              <w:rPr>
                <w:b w:val="0"/>
                <w:i w:val="0"/>
                <w:sz w:val="19"/>
              </w:rPr>
              <w:t>Controlled peer-to-peer resale; per-ticket-type resale restrictions; transfer limits configurable</w:t>
            </w:r>
          </w:p>
        </w:tc>
      </w:tr>
      <w:tr>
        <w:tc>
          <w:tcPr>
            <w:tcW w:type="dxa" w:w="3216"/>
            <w:shd w:val="clear" w:fill="EEF3F8"/>
          </w:tcPr>
          <w:p>
            <w:pPr>
              <w:spacing w:after="20" w:before="20"/>
            </w:pPr>
            <w:r/>
            <w:r>
              <w:rPr>
                <w:b w:val="0"/>
                <w:i w:val="0"/>
                <w:sz w:val="19"/>
              </w:rPr>
              <w:t>External ERP / CRM and extra gateways</w:t>
            </w:r>
          </w:p>
        </w:tc>
        <w:tc>
          <w:tcPr>
            <w:tcW w:type="dxa" w:w="3216"/>
            <w:shd w:val="clear" w:fill="EEF3F8"/>
          </w:tcPr>
          <w:p>
            <w:pPr>
              <w:spacing w:after="20" w:before="20"/>
            </w:pPr>
            <w:r/>
            <w:r>
              <w:rPr>
                <w:b w:val="0"/>
                <w:i w:val="0"/>
                <w:sz w:val="19"/>
              </w:rPr>
              <w:t>On request (red-card)</w:t>
            </w:r>
          </w:p>
        </w:tc>
        <w:tc>
          <w:tcPr>
            <w:tcW w:type="dxa" w:w="3216"/>
            <w:shd w:val="clear" w:fill="EEF3F8"/>
          </w:tcPr>
          <w:p>
            <w:pPr>
              <w:spacing w:after="20" w:before="20"/>
            </w:pPr>
            <w:r/>
            <w:r>
              <w:rPr>
                <w:b w:val="0"/>
                <w:i w:val="0"/>
                <w:sz w:val="19"/>
              </w:rPr>
              <w:t>Delivered as pre-priced red-card clauses, not committed phase scope. Platform built ready; client activates as needed. See 8.5a and Chapter 6.</w:t>
            </w:r>
          </w:p>
        </w:tc>
      </w:tr>
      <w:tr>
        <w:tc>
          <w:tcPr>
            <w:tcW w:type="dxa" w:w="3216"/>
          </w:tcPr>
          <w:p>
            <w:pPr>
              <w:spacing w:after="20" w:before="20"/>
            </w:pPr>
            <w:r/>
            <w:r>
              <w:rPr>
                <w:b w:val="0"/>
                <w:i w:val="0"/>
                <w:sz w:val="19"/>
              </w:rPr>
              <w:t>Phase 2 + Phase 3 Gate — Hypercare Begins</w:t>
            </w:r>
          </w:p>
        </w:tc>
        <w:tc>
          <w:tcPr>
            <w:tcW w:type="dxa" w:w="3216"/>
          </w:tcPr>
          <w:p>
            <w:pPr>
              <w:spacing w:after="20" w:before="20"/>
            </w:pPr>
            <w:r/>
            <w:r>
              <w:rPr>
                <w:b w:val="0"/>
                <w:i w:val="0"/>
                <w:sz w:val="19"/>
              </w:rPr>
              <w:t>Month 16</w:t>
            </w:r>
          </w:p>
        </w:tc>
        <w:tc>
          <w:tcPr>
            <w:tcW w:type="dxa" w:w="3216"/>
          </w:tcPr>
          <w:p>
            <w:pPr>
              <w:spacing w:after="20" w:before="20"/>
            </w:pPr>
            <w:r/>
            <w:r>
              <w:rPr>
                <w:b w:val="0"/>
                <w:i w:val="0"/>
                <w:sz w:val="19"/>
              </w:rPr>
              <w:t>Committed Phase 2 scope complete. Rule-based pricing and fraud engines live.</w:t>
            </w:r>
          </w:p>
        </w:tc>
      </w:tr>
    </w:tbl>
    <w:p>
      <w:pPr>
        <w:spacing w:after="40"/>
      </w:pPr>
    </w:p>
    <w:p>
      <w:pPr>
        <w:pStyle w:val="Heading2"/>
        <w:spacing w:before="200" w:after="80"/>
      </w:pPr>
      <w:r>
        <w:rPr>
          <w:b/>
          <w:color w:val="2E75B6"/>
          <w:sz w:val="28"/>
        </w:rPr>
        <w:t>8.5 Phase 3 — Handover (Months 15–16, Concurrent with Phase 2 Tail)</w:t>
      </w:r>
    </w:p>
    <w:p>
      <w:pPr>
        <w:spacing w:after="120" w:line="259" w:lineRule="auto"/>
      </w:pPr>
      <w:r>
        <w:rPr>
          <w:b w:val="0"/>
          <w:i w:val="0"/>
        </w:rPr>
        <w:t>Phase 3 (Months 1501316) runs concurrent with the final two months of Phase 2. Documentation has been building since Month 11 014 Months 1501316 are sign-off, not first drafts. Knowledge transfer runs as four structured sessions. iOS is submitted to Apple at Month 15 Week 1 (build complete Month 14). The security review is a targeted delta review of Phase 2 additions 014 pricing engine, fraud engine, ERP and CRM adapters 014 not a full platform penetration test, which was the Month 8 gate. A delta review takes 10132 weeks. Two months is sufficient. Documentation and knowledge transfer begin while Phase 2 integration development continues — different activities by different team members that do not conflict. The iOS build runs on the mobile team’s track from Month 12. All Phase 3 tracks close at the Month 16 gate alongside Phase 2.</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Deliverable</w:t>
            </w:r>
          </w:p>
        </w:tc>
        <w:tc>
          <w:tcPr>
            <w:tcW w:type="dxa" w:w="3216"/>
            <w:shd w:val="clear" w:fill="1F3864"/>
          </w:tcPr>
          <w:p>
            <w:pPr>
              <w:spacing w:after="20" w:before="20"/>
            </w:pPr>
            <w:r/>
            <w:r>
              <w:rPr>
                <w:b/>
                <w:i w:val="0"/>
                <w:color w:val="FFFFFF"/>
                <w:sz w:val="19"/>
              </w:rPr>
              <w:t>Timing</w:t>
            </w:r>
          </w:p>
        </w:tc>
        <w:tc>
          <w:tcPr>
            <w:tcW w:type="dxa" w:w="3216"/>
            <w:shd w:val="clear" w:fill="1F3864"/>
          </w:tcPr>
          <w:p>
            <w:pPr>
              <w:spacing w:after="20" w:before="20"/>
            </w:pPr>
            <w:r/>
            <w:r>
              <w:rPr>
                <w:b/>
                <w:i w:val="0"/>
                <w:color w:val="FFFFFF"/>
                <w:sz w:val="19"/>
              </w:rPr>
              <w:t>Detail</w:t>
            </w:r>
          </w:p>
        </w:tc>
      </w:tr>
      <w:tr>
        <w:tc>
          <w:tcPr>
            <w:tcW w:type="dxa" w:w="3216"/>
          </w:tcPr>
          <w:p>
            <w:pPr>
              <w:spacing w:after="20" w:before="20"/>
            </w:pPr>
            <w:r/>
            <w:r>
              <w:rPr>
                <w:b w:val="0"/>
                <w:i w:val="0"/>
                <w:sz w:val="19"/>
              </w:rPr>
              <w:t>Documentation finalisation + sign-off (drafts built from Month 11)</w:t>
            </w:r>
          </w:p>
        </w:tc>
        <w:tc>
          <w:tcPr>
            <w:tcW w:type="dxa" w:w="3216"/>
          </w:tcPr>
          <w:p>
            <w:pPr>
              <w:spacing w:after="20" w:before="20"/>
            </w:pPr>
            <w:r/>
            <w:r>
              <w:rPr>
                <w:b w:val="0"/>
                <w:i w:val="0"/>
                <w:sz w:val="19"/>
              </w:rPr>
              <w:t>Month 15–16</w:t>
            </w:r>
          </w:p>
        </w:tc>
        <w:tc>
          <w:tcPr>
            <w:tcW w:type="dxa" w:w="3216"/>
          </w:tcPr>
          <w:p>
            <w:pPr>
              <w:spacing w:after="20" w:before="20"/>
            </w:pPr>
            <w:r/>
            <w:r>
              <w:rPr>
                <w:b w:val="0"/>
                <w:i w:val="0"/>
                <w:sz w:val="19"/>
              </w:rPr>
              <w:t>Sign-off sprint — not first drafts</w:t>
            </w:r>
          </w:p>
        </w:tc>
      </w:tr>
      <w:tr>
        <w:tc>
          <w:tcPr>
            <w:tcW w:type="dxa" w:w="3216"/>
            <w:shd w:val="clear" w:fill="EEF3F8"/>
          </w:tcPr>
          <w:p>
            <w:pPr>
              <w:spacing w:after="20" w:before="20"/>
            </w:pPr>
            <w:r/>
            <w:r>
              <w:rPr>
                <w:b w:val="0"/>
                <w:i w:val="0"/>
                <w:sz w:val="19"/>
              </w:rPr>
              <w:t>Knowledge transfer — 4 structured sessions (architecture, codebase, deployment, operations)</w:t>
            </w:r>
          </w:p>
        </w:tc>
        <w:tc>
          <w:tcPr>
            <w:tcW w:type="dxa" w:w="3216"/>
            <w:shd w:val="clear" w:fill="EEF3F8"/>
          </w:tcPr>
          <w:p>
            <w:pPr>
              <w:spacing w:after="20" w:before="20"/>
            </w:pPr>
            <w:r/>
            <w:r>
              <w:rPr>
                <w:b w:val="0"/>
                <w:i w:val="0"/>
                <w:sz w:val="19"/>
              </w:rPr>
              <w:t>Month 15–16</w:t>
            </w:r>
          </w:p>
        </w:tc>
        <w:tc>
          <w:tcPr>
            <w:tcW w:type="dxa" w:w="3216"/>
            <w:shd w:val="clear" w:fill="EEF3F8"/>
          </w:tcPr>
          <w:p>
            <w:pPr>
              <w:spacing w:after="20" w:before="20"/>
            </w:pPr>
            <w:r/>
            <w:r>
              <w:rPr>
                <w:b w:val="0"/>
                <w:i w:val="0"/>
                <w:sz w:val="19"/>
              </w:rPr>
              <w:t>Fortnightly sessions across 2 months</w:t>
            </w:r>
          </w:p>
        </w:tc>
      </w:tr>
      <w:tr>
        <w:tc>
          <w:tcPr>
            <w:tcW w:type="dxa" w:w="3216"/>
          </w:tcPr>
          <w:p>
            <w:pPr>
              <w:spacing w:after="20" w:before="20"/>
            </w:pPr>
            <w:r/>
            <w:r>
              <w:rPr>
                <w:b w:val="0"/>
                <w:i w:val="0"/>
                <w:sz w:val="19"/>
              </w:rPr>
              <w:t>Full documentation handover signed off + open-source licensing report</w:t>
            </w:r>
          </w:p>
        </w:tc>
        <w:tc>
          <w:tcPr>
            <w:tcW w:type="dxa" w:w="3216"/>
          </w:tcPr>
          <w:p>
            <w:pPr>
              <w:spacing w:after="20" w:before="20"/>
            </w:pPr>
            <w:r/>
            <w:r>
              <w:rPr>
                <w:b w:val="0"/>
                <w:i w:val="0"/>
                <w:sz w:val="19"/>
              </w:rPr>
              <w:t>Month 16</w:t>
            </w:r>
          </w:p>
        </w:tc>
        <w:tc>
          <w:tcPr>
            <w:tcW w:type="dxa" w:w="3216"/>
          </w:tcPr>
          <w:p>
            <w:pPr>
              <w:spacing w:after="20" w:before="20"/>
            </w:pPr>
            <w:r/>
            <w:r>
              <w:rPr>
                <w:b w:val="0"/>
                <w:i w:val="0"/>
                <w:sz w:val="19"/>
              </w:rPr>
              <w:t>Technical docs, API docs, deployment procedures, DB schema, DR runbooks, open-source licensing report</w:t>
            </w:r>
          </w:p>
        </w:tc>
      </w:tr>
      <w:tr>
        <w:tc>
          <w:tcPr>
            <w:tcW w:type="dxa" w:w="3216"/>
            <w:shd w:val="clear" w:fill="EEF3F8"/>
          </w:tcPr>
          <w:p>
            <w:pPr>
              <w:spacing w:after="20" w:before="20"/>
            </w:pPr>
            <w:r/>
            <w:r>
              <w:rPr>
                <w:b w:val="0"/>
                <w:i w:val="0"/>
                <w:sz w:val="19"/>
              </w:rPr>
              <w:t>Staff Operations App — iOS submitted Month 15 Week 1 (build complete Month 14)</w:t>
            </w:r>
          </w:p>
        </w:tc>
        <w:tc>
          <w:tcPr>
            <w:tcW w:type="dxa" w:w="3216"/>
            <w:shd w:val="clear" w:fill="EEF3F8"/>
          </w:tcPr>
          <w:p>
            <w:pPr>
              <w:spacing w:after="20" w:before="20"/>
            </w:pPr>
            <w:r/>
            <w:r>
              <w:rPr>
                <w:b w:val="0"/>
                <w:i w:val="0"/>
                <w:sz w:val="19"/>
              </w:rPr>
              <w:t>Month 15–16</w:t>
            </w:r>
          </w:p>
        </w:tc>
        <w:tc>
          <w:tcPr>
            <w:tcW w:type="dxa" w:w="3216"/>
            <w:shd w:val="clear" w:fill="EEF3F8"/>
          </w:tcPr>
          <w:p>
            <w:pPr>
              <w:spacing w:after="20" w:before="20"/>
            </w:pPr>
            <w:r/>
            <w:r>
              <w:rPr>
                <w:b w:val="0"/>
                <w:i w:val="0"/>
                <w:sz w:val="19"/>
              </w:rPr>
              <w:t>ML optimisation layer over rule-based pricing engine — only if client has commissioned Tier 3 ML capabilities</w:t>
            </w:r>
          </w:p>
        </w:tc>
      </w:tr>
      <w:tr>
        <w:tc>
          <w:tcPr>
            <w:tcW w:type="dxa" w:w="3216"/>
          </w:tcPr>
          <w:p>
            <w:pPr>
              <w:spacing w:after="20" w:before="20"/>
            </w:pPr>
            <w:r/>
            <w:r>
              <w:rPr>
                <w:b w:val="0"/>
                <w:i w:val="0"/>
                <w:sz w:val="19"/>
              </w:rPr>
              <w:t>Delta security review of Phase 2 additions (pricing, fraud, ERP/CRM adapters)</w:t>
            </w:r>
          </w:p>
        </w:tc>
        <w:tc>
          <w:tcPr>
            <w:tcW w:type="dxa" w:w="3216"/>
          </w:tcPr>
          <w:p>
            <w:pPr>
              <w:spacing w:after="20" w:before="20"/>
            </w:pPr>
            <w:r/>
            <w:r>
              <w:rPr>
                <w:b w:val="0"/>
                <w:i w:val="0"/>
                <w:sz w:val="19"/>
              </w:rPr>
              <w:t>Month 15–16</w:t>
            </w:r>
          </w:p>
        </w:tc>
        <w:tc>
          <w:tcPr>
            <w:tcW w:type="dxa" w:w="3216"/>
          </w:tcPr>
          <w:p>
            <w:pPr>
              <w:spacing w:after="20" w:before="20"/>
            </w:pPr>
            <w:r/>
            <w:r>
              <w:rPr>
                <w:b w:val="0"/>
                <w:i w:val="0"/>
                <w:sz w:val="19"/>
              </w:rPr>
              <w:t>Full pen test Month 8. Delta review of Phase 2 additions: 1–2 weeks.</w:t>
            </w:r>
          </w:p>
        </w:tc>
      </w:tr>
      <w:tr>
        <w:tc>
          <w:tcPr>
            <w:tcW w:type="dxa" w:w="3216"/>
            <w:shd w:val="clear" w:fill="EEF3F8"/>
          </w:tcPr>
          <w:p>
            <w:pPr>
              <w:spacing w:after="20" w:before="20"/>
            </w:pPr>
            <w:r/>
            <w:r>
              <w:rPr>
                <w:b w:val="0"/>
                <w:i w:val="0"/>
                <w:sz w:val="19"/>
              </w:rPr>
              <w:t>Phase 2 + Phase 3 Gate — Hypercare Begins</w:t>
            </w:r>
          </w:p>
        </w:tc>
        <w:tc>
          <w:tcPr>
            <w:tcW w:type="dxa" w:w="3216"/>
            <w:shd w:val="clear" w:fill="EEF3F8"/>
          </w:tcPr>
          <w:p>
            <w:pPr>
              <w:spacing w:after="20" w:before="20"/>
            </w:pPr>
            <w:r/>
            <w:r>
              <w:rPr>
                <w:b w:val="0"/>
                <w:i w:val="0"/>
                <w:sz w:val="19"/>
              </w:rPr>
              <w:t>Month 16</w:t>
            </w:r>
          </w:p>
        </w:tc>
        <w:tc>
          <w:tcPr>
            <w:tcW w:type="dxa" w:w="3216"/>
            <w:shd w:val="clear" w:fill="EEF3F8"/>
          </w:tcPr>
          <w:p>
            <w:pPr>
              <w:spacing w:after="20" w:before="20"/>
            </w:pPr>
            <w:r/>
            <w:r>
              <w:rPr>
                <w:b w:val="0"/>
                <w:i w:val="0"/>
                <w:sz w:val="19"/>
              </w:rPr>
              <w:t>Complete handover package delivered. Client internal team operationally independent. 6-month Hypercare period begins.</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Hypercare — 6 months from Phase 3 gate</w:t>
            </w:r>
            <w:r>
              <w:rPr>
                <w:b/>
                <w:i w:val="0"/>
                <w:color w:val="FFFFFF"/>
                <w:sz w:val="19"/>
              </w:rPr>
              <w:t xml:space="preserve"> The Hypercare period covers defect remediation, performance issue resolution, and minor adjustments to delivered scope. It runs for six months from the Month 16 gate (to Month 22) — when the complete handover package is delivered and the client’s team is confirmed operationally independent. It does not begin at pilot go-live (Month 6) or Phase 1 gate (Month 8). Six months is deliberate: the client onboards venues and modules in waves after Phase 1, so different parts of the platform come under real operational load at different times, and defects surface over that period rather than all at once. A six-month window ensures intensive support covers the full stabilisation curve, not just the first weeks. Beyond Hypercare, the client’s internal team operates the platform independently, with two clearly defined commercial options available (detailed in 8.5a and the Commercial Document): an Annual Maintenance Contract (AMC) for predictable ongoing defect and support coverage, and/or the option to embed dedicated Softlabs resources within the client’s team. Ongoing enhancements, new features, and scope extensions are handled through Change Requests or the red-card clauses at the rates documented in the Commercial Document.</w:t>
            </w:r>
          </w:p>
        </w:tc>
      </w:tr>
    </w:tbl>
    <w:p>
      <w:pPr>
        <w:spacing w:after="40"/>
      </w:pPr>
    </w:p>
    <w:p>
      <w:pPr>
        <w:pStyle w:val="Heading2"/>
        <w:spacing w:before="200" w:after="80"/>
      </w:pPr>
      <w:r>
        <w:rPr>
          <w:b/>
          <w:color w:val="2E75B6"/>
          <w:sz w:val="28"/>
        </w:rPr>
        <w:t>8.5a Post-Hypercare Support, AMC and Red-Card Clauses</w:t>
      </w:r>
    </w:p>
    <w:p>
      <w:pPr>
        <w:spacing w:after="120" w:line="259" w:lineRule="auto"/>
      </w:pPr>
      <w:r>
        <w:rPr>
          <w:b w:val="0"/>
          <w:i w:val="0"/>
        </w:rPr>
        <w:t>Beyond the six-month Hypercare window, the engagement model is defined explicitly so there are no surprises once the client’s team is operating independently. Two ongoing-support options are offered, and they are not mutually exclusive.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Option</w:t>
            </w:r>
          </w:p>
        </w:tc>
        <w:tc>
          <w:tcPr>
            <w:tcW w:type="dxa" w:w="3216"/>
            <w:shd w:val="clear" w:fill="1F3864"/>
          </w:tcPr>
          <w:p>
            <w:pPr>
              <w:spacing w:after="20" w:before="20"/>
            </w:pPr>
            <w:r/>
            <w:r>
              <w:rPr>
                <w:b/>
                <w:i w:val="0"/>
                <w:color w:val="FFFFFF"/>
                <w:sz w:val="19"/>
              </w:rPr>
              <w:t>What it provides</w:t>
            </w:r>
          </w:p>
        </w:tc>
        <w:tc>
          <w:tcPr>
            <w:tcW w:type="dxa" w:w="3216"/>
            <w:shd w:val="clear" w:fill="1F3864"/>
          </w:tcPr>
          <w:p>
            <w:pPr>
              <w:spacing w:after="20" w:before="20"/>
            </w:pPr>
            <w:r/>
            <w:r>
              <w:rPr>
                <w:b/>
                <w:i w:val="0"/>
                <w:color w:val="FFFFFF"/>
                <w:sz w:val="19"/>
              </w:rPr>
              <w:t>How it is priced</w:t>
            </w:r>
          </w:p>
        </w:tc>
      </w:tr>
      <w:tr>
        <w:tc>
          <w:tcPr>
            <w:tcW w:type="dxa" w:w="3216"/>
          </w:tcPr>
          <w:p>
            <w:pPr>
              <w:spacing w:after="20" w:before="20"/>
            </w:pPr>
            <w:r/>
            <w:r>
              <w:rPr>
                <w:b w:val="0"/>
                <w:i w:val="0"/>
                <w:sz w:val="19"/>
              </w:rPr>
              <w:t>Annual Maintenance Contract (AMC)</w:t>
            </w:r>
          </w:p>
        </w:tc>
        <w:tc>
          <w:tcPr>
            <w:tcW w:type="dxa" w:w="3216"/>
          </w:tcPr>
          <w:p>
            <w:pPr>
              <w:spacing w:after="20" w:before="20"/>
            </w:pPr>
            <w:r/>
            <w:r>
              <w:rPr>
                <w:b w:val="0"/>
                <w:i w:val="0"/>
                <w:sz w:val="19"/>
              </w:rPr>
              <w:t>Predictable ongoing coverage for defect remediation, security patching, dependency updates, and minor adjustments, with an agreed response/resolution SLA.</w:t>
            </w:r>
          </w:p>
        </w:tc>
        <w:tc>
          <w:tcPr>
            <w:tcW w:type="dxa" w:w="3216"/>
          </w:tcPr>
          <w:p>
            <w:pPr>
              <w:spacing w:after="20" w:before="20"/>
            </w:pPr>
            <w:r/>
            <w:r>
              <w:rPr>
                <w:b w:val="0"/>
                <w:i w:val="0"/>
                <w:sz w:val="19"/>
              </w:rPr>
              <w:t>Annual fee, finalised close to deployment once the live scope is fixed. Stated in the Commercial Document.</w:t>
            </w:r>
          </w:p>
        </w:tc>
      </w:tr>
      <w:tr>
        <w:tc>
          <w:tcPr>
            <w:tcW w:type="dxa" w:w="3216"/>
            <w:shd w:val="clear" w:fill="EEF3F8"/>
          </w:tcPr>
          <w:p>
            <w:pPr>
              <w:spacing w:after="20" w:before="20"/>
            </w:pPr>
            <w:r/>
            <w:r>
              <w:rPr>
                <w:b w:val="0"/>
                <w:i w:val="0"/>
                <w:sz w:val="19"/>
              </w:rPr>
              <w:t>Dedicated Resources</w:t>
            </w:r>
          </w:p>
        </w:tc>
        <w:tc>
          <w:tcPr>
            <w:tcW w:type="dxa" w:w="3216"/>
            <w:shd w:val="clear" w:fill="EEF3F8"/>
          </w:tcPr>
          <w:p>
            <w:pPr>
              <w:spacing w:after="20" w:before="20"/>
            </w:pPr>
            <w:r/>
            <w:r>
              <w:rPr>
                <w:b w:val="0"/>
                <w:i w:val="0"/>
                <w:sz w:val="19"/>
              </w:rPr>
              <w:t>The client embeds Softlabs engineers (typically two) into their own team for continuous enhancement and platform knowledge retention, working under the client’s direction.</w:t>
            </w:r>
          </w:p>
        </w:tc>
        <w:tc>
          <w:tcPr>
            <w:tcW w:type="dxa" w:w="3216"/>
            <w:shd w:val="clear" w:fill="EEF3F8"/>
          </w:tcPr>
          <w:p>
            <w:pPr>
              <w:spacing w:after="20" w:before="20"/>
            </w:pPr>
            <w:r/>
            <w:r>
              <w:rPr>
                <w:b w:val="0"/>
                <w:i w:val="0"/>
                <w:sz w:val="19"/>
              </w:rPr>
              <w:t>Based on Softlabs’ standard developer rates, supplied in the Commercial Document.</w:t>
            </w:r>
          </w:p>
        </w:tc>
      </w:tr>
    </w:tbl>
    <w:p>
      <w:pPr>
        <w:spacing w:after="40"/>
      </w:pPr>
    </w:p>
    <w:p>
      <w:pPr>
        <w:spacing w:after="120" w:line="259" w:lineRule="auto"/>
      </w:pPr>
      <w:r>
        <w:rPr>
          <w:b w:val="0"/>
          <w:i w:val="0"/>
        </w:rPr>
        <w:t>The exact AMC scope is confirmed near deployment because it depends on the final delivered footprint, but the commercial basis — rate card and AMC structure — is fixed in the contract so the client can plan with certainty.</w:t>
      </w:r>
    </w:p>
    <w:p>
      <w:pPr>
        <w:pStyle w:val="Heading3"/>
        <w:spacing w:before="160" w:after="60"/>
      </w:pPr>
      <w:r>
        <w:rPr>
          <w:b/>
          <w:color w:val="2E75B6"/>
          <w:sz w:val="23"/>
        </w:rPr>
        <w:t>Red-Card Clauses</w:t>
      </w:r>
    </w:p>
    <w:p>
      <w:pPr>
        <w:spacing w:after="120" w:line="259" w:lineRule="auto"/>
      </w:pPr>
      <w:r>
        <w:rPr>
          <w:b w:val="0"/>
          <w:i w:val="0"/>
        </w:rPr>
        <w:t>Certain integration work is handled as pre-agreed, fixed-scope contract clauses (“red cards”) rather than open-ended phase scope. Each names a specific deliverable with a defined timeline and cost, triggered only on the client’s written request. This protects both parties: the platform is architected to accept the work at any time, the client only pays when they choose to activate it, and there is no renegotiation under time pressure.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Red-Card Item</w:t>
            </w:r>
          </w:p>
        </w:tc>
        <w:tc>
          <w:tcPr>
            <w:tcW w:type="dxa" w:w="3216"/>
            <w:shd w:val="clear" w:fill="1F3864"/>
          </w:tcPr>
          <w:p>
            <w:pPr>
              <w:spacing w:after="20" w:before="20"/>
            </w:pPr>
            <w:r/>
            <w:r>
              <w:rPr>
                <w:b/>
                <w:i w:val="0"/>
                <w:color w:val="FFFFFF"/>
                <w:sz w:val="19"/>
              </w:rPr>
              <w:t>Trigger</w:t>
            </w:r>
          </w:p>
        </w:tc>
        <w:tc>
          <w:tcPr>
            <w:tcW w:type="dxa" w:w="3216"/>
            <w:shd w:val="clear" w:fill="1F3864"/>
          </w:tcPr>
          <w:p>
            <w:pPr>
              <w:spacing w:after="20" w:before="20"/>
            </w:pPr>
            <w:r/>
            <w:r>
              <w:rPr>
                <w:b/>
                <w:i w:val="0"/>
                <w:color w:val="FFFFFF"/>
                <w:sz w:val="19"/>
              </w:rPr>
              <w:t>Basis</w:t>
            </w:r>
          </w:p>
        </w:tc>
      </w:tr>
      <w:tr>
        <w:tc>
          <w:tcPr>
            <w:tcW w:type="dxa" w:w="3216"/>
          </w:tcPr>
          <w:p>
            <w:pPr>
              <w:spacing w:after="20" w:before="20"/>
            </w:pPr>
            <w:r/>
            <w:r>
              <w:rPr>
                <w:b w:val="0"/>
                <w:i w:val="0"/>
                <w:sz w:val="19"/>
              </w:rPr>
              <w:t>External CRM/ERP integration</w:t>
            </w:r>
          </w:p>
        </w:tc>
        <w:tc>
          <w:tcPr>
            <w:tcW w:type="dxa" w:w="3216"/>
          </w:tcPr>
          <w:p>
            <w:pPr>
              <w:spacing w:after="20" w:before="20"/>
            </w:pPr>
            <w:r/>
            <w:r>
              <w:rPr>
                <w:b w:val="0"/>
                <w:i w:val="0"/>
                <w:sz w:val="19"/>
              </w:rPr>
              <w:t>Client selects and requests connection to a specific external CRM (e.g. Salesforce) or ERP (e.g. SAP, Oracle, Dynamics)</w:t>
            </w:r>
          </w:p>
        </w:tc>
        <w:tc>
          <w:tcPr>
            <w:tcW w:type="dxa" w:w="3216"/>
          </w:tcPr>
          <w:p>
            <w:pPr>
              <w:spacing w:after="20" w:before="20"/>
            </w:pPr>
            <w:r/>
            <w:r>
              <w:rPr>
                <w:b w:val="0"/>
                <w:i w:val="0"/>
                <w:sz w:val="19"/>
              </w:rPr>
              <w:t>Fixed timeline and cost per system; adapter built against the existing sync API. Internal CRM and Finance/ERP remain Phase 1 platform features.</w:t>
            </w:r>
          </w:p>
        </w:tc>
      </w:tr>
      <w:tr>
        <w:tc>
          <w:tcPr>
            <w:tcW w:type="dxa" w:w="3216"/>
            <w:shd w:val="clear" w:fill="EEF3F8"/>
          </w:tcPr>
          <w:p>
            <w:pPr>
              <w:spacing w:after="20" w:before="20"/>
            </w:pPr>
            <w:r/>
            <w:r>
              <w:rPr>
                <w:b w:val="0"/>
                <w:i w:val="0"/>
                <w:sz w:val="19"/>
              </w:rPr>
              <w:t>Additional payment gateway</w:t>
            </w:r>
          </w:p>
        </w:tc>
        <w:tc>
          <w:tcPr>
            <w:tcW w:type="dxa" w:w="3216"/>
            <w:shd w:val="clear" w:fill="EEF3F8"/>
          </w:tcPr>
          <w:p>
            <w:pPr>
              <w:spacing w:after="20" w:before="20"/>
            </w:pPr>
            <w:r/>
            <w:r>
              <w:rPr>
                <w:b w:val="0"/>
                <w:i w:val="0"/>
                <w:sz w:val="19"/>
              </w:rPr>
              <w:t>Client requests any gateway beyond the two built in Phase 1 (Stripe and Network International)</w:t>
            </w:r>
          </w:p>
        </w:tc>
        <w:tc>
          <w:tcPr>
            <w:tcW w:type="dxa" w:w="3216"/>
            <w:shd w:val="clear" w:fill="EEF3F8"/>
          </w:tcPr>
          <w:p>
            <w:pPr>
              <w:spacing w:after="20" w:before="20"/>
            </w:pPr>
            <w:r/>
            <w:r>
              <w:rPr>
                <w:b w:val="0"/>
                <w:i w:val="0"/>
                <w:sz w:val="19"/>
              </w:rPr>
              <w:t>Fixed timeline and cost per gateway; new adapter, no core changes.</w:t>
            </w:r>
          </w:p>
        </w:tc>
      </w:tr>
    </w:tbl>
    <w:p>
      <w:pPr>
        <w:spacing w:after="40"/>
      </w:pPr>
    </w:p>
    <w:p>
      <w:pPr>
        <w:pStyle w:val="Heading3"/>
        <w:spacing w:before="160" w:after="60"/>
      </w:pPr>
      <w:r>
        <w:rPr>
          <w:b/>
          <w:color w:val="2E75B6"/>
          <w:sz w:val="23"/>
        </w:rPr>
        <w:t>Functionality Matrix</w:t>
      </w:r>
    </w:p>
    <w:p>
      <w:pPr>
        <w:spacing w:after="120" w:line="259" w:lineRule="auto"/>
      </w:pPr>
      <w:r>
        <w:rPr>
          <w:b w:val="0"/>
          <w:i w:val="0"/>
        </w:rPr>
        <w:t>Ahead of contract signing, the client (Qossai and Allam) and Softlabs jointly produce a per-module feature and use-case matrix targeting approximately 90% coverage of platform functionality. This matrix is attached to the contract and is the authoritative scope reference, ensuring scope is locked and mutually understood before the Discovery Phase begins. Revenue-recognition edge cases — for example treatment of expired-but-unused tickets, advance payments, and F&amp;B inventory costing — are documented during Discovery against this matrix rather than being treated as later change requests.</w:t>
      </w:r>
    </w:p>
    <w:p>
      <w:pPr>
        <w:pStyle w:val="Heading2"/>
        <w:spacing w:before="200" w:after="80"/>
      </w:pPr>
      <w:r>
        <w:rPr>
          <w:b/>
          <w:color w:val="2E75B6"/>
          <w:sz w:val="28"/>
        </w:rPr>
        <w:t>8.6 Timeline Comparison — Client’s Target vs Our Recommendation</w:t>
      </w:r>
    </w:p>
    <w:p>
      <w:pPr>
        <w:spacing w:after="120" w:line="259" w:lineRule="auto"/>
      </w:pPr>
      <w:r>
        <w:rPr>
          <w:b w:val="0"/>
          <w:i w:val="0"/>
        </w:rPr>
        <w:t>The Q&amp;A states: Phase 1 deployment expected within approximately 4–5 months. Full platform expected within approximately 6–9 months. Our recommendation is 7 months for Phase 1 and 13 months for the full platform (15 from contract signing including Discovery). The difference is not the same scope delivered more slowly — it is a different definition of what each phase should deliver.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p>
        </w:tc>
        <w:tc>
          <w:tcPr>
            <w:tcW w:type="dxa" w:w="2412"/>
            <w:shd w:val="clear" w:fill="1F3864"/>
          </w:tcPr>
          <w:p>
            <w:pPr>
              <w:spacing w:after="20" w:before="20"/>
            </w:pPr>
            <w:r/>
            <w:r>
              <w:rPr>
                <w:b/>
                <w:i w:val="0"/>
                <w:color w:val="FFFFFF"/>
                <w:sz w:val="19"/>
              </w:rPr>
              <w:t>Client’s Target</w:t>
            </w:r>
          </w:p>
        </w:tc>
        <w:tc>
          <w:tcPr>
            <w:tcW w:type="dxa" w:w="2412"/>
            <w:shd w:val="clear" w:fill="1F3864"/>
          </w:tcPr>
          <w:p>
            <w:pPr>
              <w:spacing w:after="20" w:before="20"/>
            </w:pPr>
            <w:r/>
            <w:r>
              <w:rPr>
                <w:b/>
                <w:i w:val="0"/>
                <w:color w:val="FFFFFF"/>
                <w:sz w:val="19"/>
              </w:rPr>
              <w:t>Our Recommendation</w:t>
            </w:r>
          </w:p>
        </w:tc>
        <w:tc>
          <w:tcPr>
            <w:tcW w:type="dxa" w:w="2412"/>
            <w:shd w:val="clear" w:fill="1F3864"/>
          </w:tcPr>
          <w:p>
            <w:pPr>
              <w:spacing w:after="20" w:before="20"/>
            </w:pPr>
            <w:r/>
            <w:r>
              <w:rPr>
                <w:b/>
                <w:i w:val="0"/>
                <w:color w:val="FFFFFF"/>
                <w:sz w:val="19"/>
              </w:rPr>
              <w:t>The Difference</w:t>
            </w:r>
          </w:p>
        </w:tc>
      </w:tr>
      <w:tr>
        <w:tc>
          <w:tcPr>
            <w:tcW w:type="dxa" w:w="2412"/>
          </w:tcPr>
          <w:p>
            <w:pPr>
              <w:spacing w:after="20" w:before="20"/>
            </w:pPr>
            <w:r/>
            <w:r>
              <w:rPr>
                <w:b w:val="0"/>
                <w:i w:val="0"/>
                <w:sz w:val="19"/>
              </w:rPr>
              <w:t>Phase 1</w:t>
            </w:r>
          </w:p>
        </w:tc>
        <w:tc>
          <w:tcPr>
            <w:tcW w:type="dxa" w:w="2412"/>
          </w:tcPr>
          <w:p>
            <w:pPr>
              <w:spacing w:after="20" w:before="20"/>
            </w:pPr>
            <w:r/>
            <w:r>
              <w:rPr>
                <w:b w:val="0"/>
                <w:i w:val="0"/>
                <w:sz w:val="19"/>
              </w:rPr>
              <w:t>4–5 months</w:t>
            </w:r>
          </w:p>
        </w:tc>
        <w:tc>
          <w:tcPr>
            <w:tcW w:type="dxa" w:w="2412"/>
          </w:tcPr>
          <w:p>
            <w:pPr>
              <w:spacing w:after="20" w:before="20"/>
            </w:pPr>
            <w:r/>
            <w:r>
              <w:rPr>
                <w:b w:val="0"/>
                <w:i w:val="0"/>
                <w:sz w:val="19"/>
              </w:rPr>
              <w:t>7 months</w:t>
            </w:r>
          </w:p>
        </w:tc>
        <w:tc>
          <w:tcPr>
            <w:tcW w:type="dxa" w:w="2412"/>
          </w:tcPr>
          <w:p>
            <w:pPr>
              <w:spacing w:after="20" w:before="20"/>
            </w:pPr>
            <w:r/>
            <w:r>
              <w:rPr>
                <w:b w:val="0"/>
                <w:i w:val="0"/>
                <w:sz w:val="19"/>
              </w:rPr>
              <w:t>Our Phase 1 is a complete platform. Client’s 4–5 months delivers core ticketing, basic POS, one venue, English only, no marketing module, no operations module, no AI, no Arabic, no security audit.</w:t>
            </w:r>
          </w:p>
        </w:tc>
      </w:tr>
      <w:tr>
        <w:tc>
          <w:tcPr>
            <w:tcW w:type="dxa" w:w="2412"/>
            <w:shd w:val="clear" w:fill="EEF3F8"/>
          </w:tcPr>
          <w:p>
            <w:pPr>
              <w:spacing w:after="20" w:before="20"/>
            </w:pPr>
            <w:r/>
            <w:r>
              <w:rPr>
                <w:b w:val="0"/>
                <w:i w:val="0"/>
                <w:sz w:val="19"/>
              </w:rPr>
              <w:t>Full platform</w:t>
            </w:r>
          </w:p>
        </w:tc>
        <w:tc>
          <w:tcPr>
            <w:tcW w:type="dxa" w:w="2412"/>
            <w:shd w:val="clear" w:fill="EEF3F8"/>
          </w:tcPr>
          <w:p>
            <w:pPr>
              <w:spacing w:after="20" w:before="20"/>
            </w:pPr>
            <w:r/>
            <w:r>
              <w:rPr>
                <w:b w:val="0"/>
                <w:i w:val="0"/>
                <w:sz w:val="19"/>
              </w:rPr>
              <w:t>6–9 months</w:t>
            </w:r>
          </w:p>
        </w:tc>
        <w:tc>
          <w:tcPr>
            <w:tcW w:type="dxa" w:w="2412"/>
            <w:shd w:val="clear" w:fill="EEF3F8"/>
          </w:tcPr>
          <w:p>
            <w:pPr>
              <w:spacing w:after="20" w:before="20"/>
            </w:pPr>
            <w:r/>
            <w:r>
              <w:rPr>
                <w:b w:val="0"/>
                <w:i w:val="0"/>
                <w:sz w:val="19"/>
              </w:rPr>
              <w:t>13 months</w:t>
            </w:r>
          </w:p>
        </w:tc>
        <w:tc>
          <w:tcPr>
            <w:tcW w:type="dxa" w:w="2412"/>
            <w:shd w:val="clear" w:fill="EEF3F8"/>
          </w:tcPr>
          <w:p>
            <w:pPr>
              <w:spacing w:after="20" w:before="20"/>
            </w:pPr>
            <w:r/>
            <w:r>
              <w:rPr>
                <w:b w:val="0"/>
                <w:i w:val="0"/>
                <w:sz w:val="19"/>
              </w:rPr>
              <w:t>Full platform includes 12 domains, multi-venue rollout, enterprise integrations, and structured handover. Cannot be compressed without descoping.</w:t>
            </w:r>
          </w:p>
        </w:tc>
      </w:tr>
      <w:tr>
        <w:tc>
          <w:tcPr>
            <w:tcW w:type="dxa" w:w="2412"/>
          </w:tcPr>
          <w:p>
            <w:pPr>
              <w:spacing w:after="20" w:before="20"/>
            </w:pPr>
            <w:r/>
            <w:r>
              <w:rPr>
                <w:b w:val="0"/>
                <w:i w:val="0"/>
                <w:sz w:val="19"/>
              </w:rPr>
              <w:t>Total from signing</w:t>
            </w:r>
          </w:p>
        </w:tc>
        <w:tc>
          <w:tcPr>
            <w:tcW w:type="dxa" w:w="2412"/>
          </w:tcPr>
          <w:p>
            <w:pPr>
              <w:spacing w:after="20" w:before="20"/>
            </w:pPr>
            <w:r/>
            <w:r>
              <w:rPr>
                <w:b w:val="0"/>
                <w:i w:val="0"/>
                <w:sz w:val="19"/>
              </w:rPr>
              <w:t>~9–10 months</w:t>
            </w:r>
          </w:p>
        </w:tc>
        <w:tc>
          <w:tcPr>
            <w:tcW w:type="dxa" w:w="2412"/>
          </w:tcPr>
          <w:p>
            <w:pPr>
              <w:spacing w:after="20" w:before="20"/>
            </w:pPr>
            <w:r/>
            <w:r>
              <w:rPr>
                <w:b w:val="0"/>
                <w:i w:val="0"/>
                <w:sz w:val="19"/>
              </w:rPr>
              <w:t>17 months</w:t>
            </w:r>
          </w:p>
        </w:tc>
        <w:tc>
          <w:tcPr>
            <w:tcW w:type="dxa" w:w="2412"/>
          </w:tcPr>
          <w:p>
            <w:pPr>
              <w:spacing w:after="20" w:before="20"/>
            </w:pPr>
            <w:r/>
            <w:r>
              <w:rPr>
                <w:b w:val="0"/>
                <w:i w:val="0"/>
                <w:sz w:val="19"/>
              </w:rPr>
              <w:t>Includes Discovery &amp; Definition (Months 0–1) before development begins.</w:t>
            </w:r>
          </w:p>
        </w:tc>
      </w:tr>
    </w:tbl>
    <w:p>
      <w:pPr>
        <w:spacing w:after="40"/>
      </w:pPr>
    </w:p>
    <w:p>
      <w:pPr>
        <w:pStyle w:val="Heading3"/>
        <w:spacing w:before="160" w:after="60"/>
      </w:pPr>
      <w:r>
        <w:rPr>
          <w:b/>
          <w:color w:val="2E75B6"/>
          <w:sz w:val="23"/>
        </w:rPr>
        <w:t>What the Extra 3 Months in Phase 1 Delivers</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Capability</w:t>
            </w:r>
          </w:p>
        </w:tc>
        <w:tc>
          <w:tcPr>
            <w:tcW w:type="dxa" w:w="4824"/>
            <w:shd w:val="clear" w:fill="1F3864"/>
          </w:tcPr>
          <w:p>
            <w:pPr>
              <w:spacing w:after="20" w:before="20"/>
            </w:pPr>
            <w:r/>
            <w:r>
              <w:rPr>
                <w:b/>
                <w:i w:val="0"/>
                <w:color w:val="FFFFFF"/>
                <w:sz w:val="19"/>
              </w:rPr>
              <w:t>Why It Needs the Extra Time</w:t>
            </w:r>
          </w:p>
        </w:tc>
      </w:tr>
      <w:tr>
        <w:tc>
          <w:tcPr>
            <w:tcW w:type="dxa" w:w="4824"/>
          </w:tcPr>
          <w:p>
            <w:pPr>
              <w:spacing w:after="20" w:before="20"/>
            </w:pPr>
            <w:r/>
            <w:r>
              <w:rPr>
                <w:b w:val="0"/>
                <w:i w:val="0"/>
                <w:sz w:val="19"/>
              </w:rPr>
              <w:t>Full Marketing &amp; CRM module</w:t>
            </w:r>
          </w:p>
        </w:tc>
        <w:tc>
          <w:tcPr>
            <w:tcW w:type="dxa" w:w="4824"/>
          </w:tcPr>
          <w:p>
            <w:pPr>
              <w:spacing w:after="20" w:before="20"/>
            </w:pPr>
            <w:r/>
            <w:r>
              <w:rPr>
                <w:b w:val="0"/>
                <w:i w:val="0"/>
                <w:sz w:val="19"/>
              </w:rPr>
              <w:t>Campaign management, automation, gamification, behavioural tracking, chat support, white-label CMS, digital waivers — a complete domain, not a stub</w:t>
            </w:r>
          </w:p>
        </w:tc>
      </w:tr>
      <w:tr>
        <w:tc>
          <w:tcPr>
            <w:tcW w:type="dxa" w:w="4824"/>
            <w:shd w:val="clear" w:fill="EEF3F8"/>
          </w:tcPr>
          <w:p>
            <w:pPr>
              <w:spacing w:after="20" w:before="20"/>
            </w:pPr>
            <w:r/>
            <w:r>
              <w:rPr>
                <w:b w:val="0"/>
                <w:i w:val="0"/>
                <w:sz w:val="19"/>
              </w:rPr>
              <w:t>Full Operations &amp; Logistics module</w:t>
            </w:r>
          </w:p>
        </w:tc>
        <w:tc>
          <w:tcPr>
            <w:tcW w:type="dxa" w:w="4824"/>
            <w:shd w:val="clear" w:fill="EEF3F8"/>
          </w:tcPr>
          <w:p>
            <w:pPr>
              <w:spacing w:after="20" w:before="20"/>
            </w:pPr>
            <w:r/>
            <w:r>
              <w:rPr>
                <w:b w:val="0"/>
                <w:i w:val="0"/>
                <w:sz w:val="19"/>
              </w:rPr>
              <w:t>Inventory with multi-location tracking, procurement, recipe management, KDS, device management, maintenance, rostering, parking, lockers, Operations Command Center</w:t>
            </w:r>
          </w:p>
        </w:tc>
      </w:tr>
      <w:tr>
        <w:tc>
          <w:tcPr>
            <w:tcW w:type="dxa" w:w="4824"/>
          </w:tcPr>
          <w:p>
            <w:pPr>
              <w:spacing w:after="20" w:before="20"/>
            </w:pPr>
            <w:r/>
            <w:r>
              <w:rPr>
                <w:b w:val="0"/>
                <w:i w:val="0"/>
                <w:sz w:val="19"/>
              </w:rPr>
              <w:t>Opera PMS integration</w:t>
            </w:r>
          </w:p>
        </w:tc>
        <w:tc>
          <w:tcPr>
            <w:tcW w:type="dxa" w:w="4824"/>
          </w:tcPr>
          <w:p>
            <w:pPr>
              <w:spacing w:after="20" w:before="20"/>
            </w:pPr>
            <w:r/>
            <w:r>
              <w:rPr>
                <w:b w:val="0"/>
                <w:i w:val="0"/>
                <w:sz w:val="19"/>
              </w:rPr>
              <w:t>API contract definition, testing with real Opera instance, data privacy review for guest profile sync, UAT with hotel operations staff</w:t>
            </w:r>
          </w:p>
        </w:tc>
      </w:tr>
      <w:tr>
        <w:tc>
          <w:tcPr>
            <w:tcW w:type="dxa" w:w="4824"/>
            <w:shd w:val="clear" w:fill="EEF3F8"/>
          </w:tcPr>
          <w:p>
            <w:pPr>
              <w:spacing w:after="20" w:before="20"/>
            </w:pPr>
            <w:r/>
            <w:r>
              <w:rPr>
                <w:b w:val="0"/>
                <w:i w:val="0"/>
                <w:sz w:val="19"/>
              </w:rPr>
              <w:t>Additional access control manufacturers</w:t>
            </w:r>
          </w:p>
        </w:tc>
        <w:tc>
          <w:tcPr>
            <w:tcW w:type="dxa" w:w="4824"/>
            <w:shd w:val="clear" w:fill="EEF3F8"/>
          </w:tcPr>
          <w:p>
            <w:pPr>
              <w:spacing w:after="20" w:before="20"/>
            </w:pPr>
            <w:r/>
            <w:r>
              <w:rPr>
                <w:b w:val="0"/>
                <w:i w:val="0"/>
                <w:sz w:val="19"/>
              </w:rPr>
              <w:t>Each of Axess, Skidata, CAME, KABA, Boon Edam has its own SDK. Physical hardware required for each. Multiple manufacturers cannot be rushed.</w:t>
            </w:r>
          </w:p>
        </w:tc>
      </w:tr>
      <w:tr>
        <w:tc>
          <w:tcPr>
            <w:tcW w:type="dxa" w:w="4824"/>
          </w:tcPr>
          <w:p>
            <w:pPr>
              <w:spacing w:after="20" w:before="20"/>
            </w:pPr>
            <w:r/>
            <w:r>
              <w:rPr>
                <w:b w:val="0"/>
                <w:i w:val="0"/>
                <w:sz w:val="19"/>
              </w:rPr>
              <w:t>AI Phase 1 assistants</w:t>
            </w:r>
          </w:p>
        </w:tc>
        <w:tc>
          <w:tcPr>
            <w:tcW w:type="dxa" w:w="4824"/>
          </w:tcPr>
          <w:p>
            <w:pPr>
              <w:spacing w:after="20" w:before="20"/>
            </w:pPr>
            <w:r/>
            <w:r>
              <w:rPr>
                <w:b w:val="0"/>
                <w:i w:val="0"/>
                <w:sz w:val="19"/>
              </w:rPr>
              <w:t>Configuration Assistant, Reporting Assistant, and BI Dashboards — LLM integration, tool design, testing against real data, security review of data access boundaries</w:t>
            </w:r>
          </w:p>
        </w:tc>
      </w:tr>
      <w:tr>
        <w:tc>
          <w:tcPr>
            <w:tcW w:type="dxa" w:w="4824"/>
            <w:shd w:val="clear" w:fill="EEF3F8"/>
          </w:tcPr>
          <w:p>
            <w:pPr>
              <w:spacing w:after="20" w:before="20"/>
            </w:pPr>
            <w:r/>
            <w:r>
              <w:rPr>
                <w:b w:val="0"/>
                <w:i w:val="0"/>
                <w:sz w:val="19"/>
              </w:rPr>
              <w:t>Full Arabic RTL validation</w:t>
            </w:r>
          </w:p>
        </w:tc>
        <w:tc>
          <w:tcPr>
            <w:tcW w:type="dxa" w:w="4824"/>
            <w:shd w:val="clear" w:fill="EEF3F8"/>
          </w:tcPr>
          <w:p>
            <w:pPr>
              <w:spacing w:after="20" w:before="20"/>
            </w:pPr>
            <w:r/>
            <w:r>
              <w:rPr>
                <w:b w:val="0"/>
                <w:i w:val="0"/>
                <w:sz w:val="19"/>
              </w:rPr>
              <w:t>Every surface, every flow, every edge case — tested by Arabic-speaking users. Not a find-and-replace exercise.</w:t>
            </w:r>
          </w:p>
        </w:tc>
      </w:tr>
      <w:tr>
        <w:tc>
          <w:tcPr>
            <w:tcW w:type="dxa" w:w="4824"/>
          </w:tcPr>
          <w:p>
            <w:pPr>
              <w:spacing w:after="20" w:before="20"/>
            </w:pPr>
            <w:r/>
            <w:r>
              <w:rPr>
                <w:b w:val="0"/>
                <w:i w:val="0"/>
                <w:sz w:val="19"/>
              </w:rPr>
              <w:t>Offline POS under real conditions</w:t>
            </w:r>
          </w:p>
        </w:tc>
        <w:tc>
          <w:tcPr>
            <w:tcW w:type="dxa" w:w="4824"/>
          </w:tcPr>
          <w:p>
            <w:pPr>
              <w:spacing w:after="20" w:before="20"/>
            </w:pPr>
            <w:r/>
            <w:r>
              <w:rPr>
                <w:b w:val="0"/>
                <w:i w:val="0"/>
                <w:sz w:val="19"/>
              </w:rPr>
              <w:t>Testing network dropout during transactions, device restart mid-shift, partial sync recovery across multiple POS hardware models</w:t>
            </w:r>
          </w:p>
        </w:tc>
      </w:tr>
      <w:tr>
        <w:tc>
          <w:tcPr>
            <w:tcW w:type="dxa" w:w="4824"/>
            <w:shd w:val="clear" w:fill="EEF3F8"/>
          </w:tcPr>
          <w:p>
            <w:pPr>
              <w:spacing w:after="20" w:before="20"/>
            </w:pPr>
            <w:r/>
            <w:r>
              <w:rPr>
                <w:b w:val="0"/>
                <w:i w:val="0"/>
                <w:sz w:val="19"/>
              </w:rPr>
              <w:t>Security audit + DESC documentation</w:t>
            </w:r>
          </w:p>
        </w:tc>
        <w:tc>
          <w:tcPr>
            <w:tcW w:type="dxa" w:w="4824"/>
            <w:shd w:val="clear" w:fill="EEF3F8"/>
          </w:tcPr>
          <w:p>
            <w:pPr>
              <w:spacing w:after="20" w:before="20"/>
            </w:pPr>
            <w:r/>
            <w:r>
              <w:rPr>
                <w:b w:val="0"/>
                <w:i w:val="0"/>
                <w:sz w:val="19"/>
              </w:rPr>
              <w:t>A penetration test and DESC package is a 4–6 week engagement minimum. Cannot be compressed into the last sprint.</w:t>
            </w:r>
          </w:p>
        </w:tc>
      </w:tr>
      <w:tr>
        <w:tc>
          <w:tcPr>
            <w:tcW w:type="dxa" w:w="4824"/>
          </w:tcPr>
          <w:p>
            <w:pPr>
              <w:spacing w:after="20" w:before="20"/>
            </w:pPr>
            <w:r/>
            <w:r>
              <w:rPr>
                <w:b w:val="0"/>
                <w:i w:val="0"/>
                <w:sz w:val="19"/>
              </w:rPr>
              <w:t>Multi-venue rollout</w:t>
            </w:r>
          </w:p>
        </w:tc>
        <w:tc>
          <w:tcPr>
            <w:tcW w:type="dxa" w:w="4824"/>
          </w:tcPr>
          <w:p>
            <w:pPr>
              <w:spacing w:after="20" w:before="20"/>
            </w:pPr>
            <w:r/>
            <w:r>
              <w:rPr>
                <w:b w:val="0"/>
                <w:i w:val="0"/>
                <w:sz w:val="19"/>
              </w:rPr>
              <w:t>Pilot + Wave 1 (3–4 venues) + Wave 2 (remaining venues). Each venue needs configuration, training, hardware testing, parallel operation, and formal sign-off.</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Our position — stated plainly</w:t>
            </w:r>
            <w:r>
              <w:rPr>
                <w:b/>
                <w:i w:val="0"/>
                <w:color w:val="FFFFFF"/>
                <w:sz w:val="19"/>
              </w:rPr>
              <w:t xml:space="preserve"> We are not proposing a longer timeline to protect ourselves commercially. We are proposing the timeline that matches the actual work required to deliver what the RFP specifies. If the client requires a faster Phase 1, we will define the reduced scope explicitly, document the deferred capabilities, and be transparent about the risks. What we will not do is sign up for the client’s timeline and quietly deliver less than what the RFP requires.</w:t>
            </w:r>
          </w:p>
        </w:tc>
      </w:tr>
    </w:tbl>
    <w:p>
      <w:pPr>
        <w:spacing w:after="40"/>
      </w:pPr>
    </w:p>
    <w:p>
      <w:pPr>
        <w:pStyle w:val="Heading2"/>
        <w:spacing w:before="200" w:after="80"/>
      </w:pPr>
      <w:r>
        <w:rPr>
          <w:b/>
          <w:color w:val="2E75B6"/>
          <w:sz w:val="28"/>
        </w:rPr>
        <w:t>8.7 Client Dependencies — Critical Path</w:t>
      </w:r>
    </w:p>
    <w:p>
      <w:pPr>
        <w:spacing w:after="120" w:line="259" w:lineRule="auto"/>
      </w:pPr>
      <w:r>
        <w:rPr>
          <w:b w:val="0"/>
          <w:i w:val="0"/>
        </w:rPr>
        <w:t>The following items are on the critical path. Delays in any of these shift the corresponding milestone directly. All dependencies are tracked in the RAID log from Day 1, with weekly status reporting surfacing at-risk items with sufficient lead time for mitigation.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pPr>
              <w:spacing w:after="20" w:before="20"/>
            </w:pPr>
            <w:r/>
            <w:r>
              <w:rPr>
                <w:b/>
                <w:i w:val="0"/>
                <w:color w:val="FFFFFF"/>
                <w:sz w:val="19"/>
              </w:rPr>
              <w:t>Dependency</w:t>
            </w:r>
          </w:p>
        </w:tc>
        <w:tc>
          <w:tcPr>
            <w:tcW w:type="dxa" w:w="3216"/>
            <w:shd w:val="clear" w:fill="1F3864"/>
          </w:tcPr>
          <w:p>
            <w:pPr>
              <w:spacing w:after="20" w:before="20"/>
            </w:pPr>
            <w:r/>
            <w:r>
              <w:rPr>
                <w:b/>
                <w:i w:val="0"/>
                <w:color w:val="FFFFFF"/>
                <w:sz w:val="19"/>
              </w:rPr>
              <w:t>Required By</w:t>
            </w:r>
          </w:p>
        </w:tc>
        <w:tc>
          <w:tcPr>
            <w:tcW w:type="dxa" w:w="3216"/>
            <w:shd w:val="clear" w:fill="1F3864"/>
          </w:tcPr>
          <w:p>
            <w:pPr>
              <w:spacing w:after="20" w:before="20"/>
            </w:pPr>
            <w:r/>
            <w:r>
              <w:rPr>
                <w:b/>
                <w:i w:val="0"/>
                <w:color w:val="FFFFFF"/>
                <w:sz w:val="19"/>
              </w:rPr>
              <w:t>Impact if Delayed</w:t>
            </w:r>
          </w:p>
        </w:tc>
      </w:tr>
      <w:tr>
        <w:tc>
          <w:tcPr>
            <w:tcW w:type="dxa" w:w="3216"/>
          </w:tcPr>
          <w:p>
            <w:pPr>
              <w:spacing w:after="20" w:before="20"/>
            </w:pPr>
            <w:r/>
            <w:r>
              <w:rPr>
                <w:b w:val="0"/>
                <w:i w:val="0"/>
                <w:sz w:val="19"/>
              </w:rPr>
              <w:t>Cloud environment access (dev + pre-prod)</w:t>
            </w:r>
          </w:p>
        </w:tc>
        <w:tc>
          <w:tcPr>
            <w:tcW w:type="dxa" w:w="3216"/>
          </w:tcPr>
          <w:p>
            <w:pPr>
              <w:spacing w:after="20" w:before="20"/>
            </w:pPr>
            <w:r/>
            <w:r>
              <w:rPr>
                <w:b w:val="0"/>
                <w:i w:val="0"/>
                <w:sz w:val="19"/>
              </w:rPr>
              <w:t>Week 1 of kickoff</w:t>
            </w:r>
          </w:p>
        </w:tc>
        <w:tc>
          <w:tcPr>
            <w:tcW w:type="dxa" w:w="3216"/>
          </w:tcPr>
          <w:p>
            <w:pPr>
              <w:spacing w:after="20" w:before="20"/>
            </w:pPr>
            <w:r/>
            <w:r>
              <w:rPr>
                <w:b w:val="0"/>
                <w:i w:val="0"/>
                <w:sz w:val="19"/>
              </w:rPr>
              <w:t>Architecture and CI/CD setup blocked</w:t>
            </w:r>
          </w:p>
        </w:tc>
      </w:tr>
      <w:tr>
        <w:tc>
          <w:tcPr>
            <w:tcW w:type="dxa" w:w="3216"/>
            <w:shd w:val="clear" w:fill="EEF3F8"/>
          </w:tcPr>
          <w:p>
            <w:pPr>
              <w:spacing w:after="20" w:before="20"/>
            </w:pPr>
            <w:r/>
            <w:r>
              <w:rPr>
                <w:b w:val="0"/>
                <w:i w:val="0"/>
                <w:sz w:val="19"/>
              </w:rPr>
              <w:t>Access control hardware model confirmation</w:t>
            </w:r>
          </w:p>
        </w:tc>
        <w:tc>
          <w:tcPr>
            <w:tcW w:type="dxa" w:w="3216"/>
            <w:shd w:val="clear" w:fill="EEF3F8"/>
          </w:tcPr>
          <w:p>
            <w:pPr>
              <w:spacing w:after="20" w:before="20"/>
            </w:pPr>
            <w:r/>
            <w:r>
              <w:rPr>
                <w:b w:val="0"/>
                <w:i w:val="0"/>
                <w:sz w:val="19"/>
              </w:rPr>
              <w:t>End of Month 2</w:t>
            </w:r>
          </w:p>
        </w:tc>
        <w:tc>
          <w:tcPr>
            <w:tcW w:type="dxa" w:w="3216"/>
            <w:shd w:val="clear" w:fill="EEF3F8"/>
          </w:tcPr>
          <w:p>
            <w:pPr>
              <w:spacing w:after="20" w:before="20"/>
            </w:pPr>
            <w:r/>
            <w:r>
              <w:rPr>
                <w:b w:val="0"/>
                <w:i w:val="0"/>
                <w:sz w:val="19"/>
              </w:rPr>
              <w:t>Hardware integration sprint cannot begin without SDK access and physical devices</w:t>
            </w:r>
          </w:p>
        </w:tc>
      </w:tr>
      <w:tr>
        <w:tc>
          <w:tcPr>
            <w:tcW w:type="dxa" w:w="3216"/>
          </w:tcPr>
          <w:p>
            <w:pPr>
              <w:spacing w:after="20" w:before="20"/>
            </w:pPr>
            <w:r/>
            <w:r>
              <w:rPr>
                <w:b w:val="0"/>
                <w:i w:val="0"/>
                <w:sz w:val="19"/>
              </w:rPr>
              <w:t>Communication provider selection</w:t>
            </w:r>
          </w:p>
        </w:tc>
        <w:tc>
          <w:tcPr>
            <w:tcW w:type="dxa" w:w="3216"/>
          </w:tcPr>
          <w:p>
            <w:pPr>
              <w:spacing w:after="20" w:before="20"/>
            </w:pPr>
            <w:r/>
            <w:r>
              <w:rPr>
                <w:b w:val="0"/>
                <w:i w:val="0"/>
                <w:sz w:val="19"/>
              </w:rPr>
              <w:t>End of Month 2</w:t>
            </w:r>
          </w:p>
        </w:tc>
        <w:tc>
          <w:tcPr>
            <w:tcW w:type="dxa" w:w="3216"/>
          </w:tcPr>
          <w:p>
            <w:pPr>
              <w:spacing w:after="20" w:before="20"/>
            </w:pPr>
            <w:r/>
            <w:r>
              <w:rPr>
                <w:b w:val="0"/>
                <w:i w:val="0"/>
                <w:sz w:val="19"/>
              </w:rPr>
              <w:t>Notification layer cannot be configured; SMS/email adapters blocked</w:t>
            </w:r>
          </w:p>
        </w:tc>
      </w:tr>
      <w:tr>
        <w:tc>
          <w:tcPr>
            <w:tcW w:type="dxa" w:w="3216"/>
            <w:shd w:val="clear" w:fill="EEF3F8"/>
          </w:tcPr>
          <w:p>
            <w:pPr>
              <w:spacing w:after="20" w:before="20"/>
            </w:pPr>
            <w:r/>
            <w:r>
              <w:rPr>
                <w:b w:val="0"/>
                <w:i w:val="0"/>
                <w:sz w:val="19"/>
              </w:rPr>
              <w:t>Venue configuration data for pilot (ticket types, pricing, zones)</w:t>
            </w:r>
          </w:p>
        </w:tc>
        <w:tc>
          <w:tcPr>
            <w:tcW w:type="dxa" w:w="3216"/>
            <w:shd w:val="clear" w:fill="EEF3F8"/>
          </w:tcPr>
          <w:p>
            <w:pPr>
              <w:spacing w:after="20" w:before="20"/>
            </w:pPr>
            <w:r/>
            <w:r>
              <w:rPr>
                <w:b w:val="0"/>
                <w:i w:val="0"/>
                <w:sz w:val="19"/>
              </w:rPr>
              <w:t>End of Month 4</w:t>
            </w:r>
          </w:p>
        </w:tc>
        <w:tc>
          <w:tcPr>
            <w:tcW w:type="dxa" w:w="3216"/>
            <w:shd w:val="clear" w:fill="EEF3F8"/>
          </w:tcPr>
          <w:p>
            <w:pPr>
              <w:spacing w:after="20" w:before="20"/>
            </w:pPr>
            <w:r/>
            <w:r>
              <w:rPr>
                <w:b w:val="0"/>
                <w:i w:val="0"/>
                <w:sz w:val="19"/>
              </w:rPr>
              <w:t>Pilot UAT blocked without real venue configuration</w:t>
            </w:r>
          </w:p>
        </w:tc>
      </w:tr>
      <w:tr>
        <w:tc>
          <w:tcPr>
            <w:tcW w:type="dxa" w:w="3216"/>
          </w:tcPr>
          <w:p>
            <w:pPr>
              <w:spacing w:after="20" w:before="20"/>
            </w:pPr>
            <w:r/>
            <w:r>
              <w:rPr>
                <w:b w:val="0"/>
                <w:i w:val="0"/>
                <w:sz w:val="19"/>
              </w:rPr>
              <w:t>UAT team availability (client staff)</w:t>
            </w:r>
          </w:p>
        </w:tc>
        <w:tc>
          <w:tcPr>
            <w:tcW w:type="dxa" w:w="3216"/>
          </w:tcPr>
          <w:p>
            <w:pPr>
              <w:spacing w:after="20" w:before="20"/>
            </w:pPr>
            <w:r/>
            <w:r>
              <w:rPr>
                <w:b w:val="0"/>
                <w:i w:val="0"/>
                <w:sz w:val="19"/>
              </w:rPr>
              <w:t>Month 5–6</w:t>
            </w:r>
          </w:p>
        </w:tc>
        <w:tc>
          <w:tcPr>
            <w:tcW w:type="dxa" w:w="3216"/>
          </w:tcPr>
          <w:p>
            <w:pPr>
              <w:spacing w:after="20" w:before="20"/>
            </w:pPr>
            <w:r/>
            <w:r>
              <w:rPr>
                <w:b w:val="0"/>
                <w:i w:val="0"/>
                <w:sz w:val="19"/>
              </w:rPr>
              <w:t>UAT cannot run without client personnel; go-live blocked</w:t>
            </w:r>
          </w:p>
        </w:tc>
      </w:tr>
      <w:tr>
        <w:tc>
          <w:tcPr>
            <w:tcW w:type="dxa" w:w="3216"/>
            <w:shd w:val="clear" w:fill="EEF3F8"/>
          </w:tcPr>
          <w:p>
            <w:pPr>
              <w:spacing w:after="20" w:before="20"/>
            </w:pPr>
            <w:r/>
            <w:r>
              <w:rPr>
                <w:b w:val="0"/>
                <w:i w:val="0"/>
                <w:sz w:val="19"/>
              </w:rPr>
              <w:t>Legacy system documentation</w:t>
            </w:r>
          </w:p>
        </w:tc>
        <w:tc>
          <w:tcPr>
            <w:tcW w:type="dxa" w:w="3216"/>
            <w:shd w:val="clear" w:fill="EEF3F8"/>
          </w:tcPr>
          <w:p>
            <w:pPr>
              <w:spacing w:after="20" w:before="20"/>
            </w:pPr>
            <w:r/>
            <w:r>
              <w:rPr>
                <w:b w:val="0"/>
                <w:i w:val="0"/>
                <w:sz w:val="19"/>
              </w:rPr>
              <w:t>Month 4</w:t>
            </w:r>
          </w:p>
        </w:tc>
        <w:tc>
          <w:tcPr>
            <w:tcW w:type="dxa" w:w="3216"/>
            <w:shd w:val="clear" w:fill="EEF3F8"/>
          </w:tcPr>
          <w:p>
            <w:pPr>
              <w:spacing w:after="20" w:before="20"/>
            </w:pPr>
            <w:r/>
            <w:r>
              <w:rPr>
                <w:b w:val="0"/>
                <w:i w:val="0"/>
                <w:sz w:val="19"/>
              </w:rPr>
              <w:t>Data migration tooling cannot be built without source system knowledge</w:t>
            </w:r>
          </w:p>
        </w:tc>
      </w:tr>
      <w:tr>
        <w:tc>
          <w:tcPr>
            <w:tcW w:type="dxa" w:w="3216"/>
          </w:tcPr>
          <w:p>
            <w:pPr>
              <w:spacing w:after="20" w:before="20"/>
            </w:pPr>
            <w:r/>
            <w:r>
              <w:rPr>
                <w:b w:val="0"/>
                <w:i w:val="0"/>
                <w:sz w:val="19"/>
              </w:rPr>
              <w:t>Data export from legacy systems</w:t>
            </w:r>
          </w:p>
        </w:tc>
        <w:tc>
          <w:tcPr>
            <w:tcW w:type="dxa" w:w="3216"/>
          </w:tcPr>
          <w:p>
            <w:pPr>
              <w:spacing w:after="20" w:before="20"/>
            </w:pPr>
            <w:r/>
            <w:r>
              <w:rPr>
                <w:b w:val="0"/>
                <w:i w:val="0"/>
                <w:sz w:val="19"/>
              </w:rPr>
              <w:t>Month 5</w:t>
            </w:r>
          </w:p>
        </w:tc>
        <w:tc>
          <w:tcPr>
            <w:tcW w:type="dxa" w:w="3216"/>
          </w:tcPr>
          <w:p>
            <w:pPr>
              <w:spacing w:after="20" w:before="20"/>
            </w:pPr>
            <w:r/>
            <w:r>
              <w:rPr>
                <w:b w:val="0"/>
                <w:i w:val="0"/>
                <w:sz w:val="19"/>
              </w:rPr>
              <w:t>Migration cannot be tested without source data</w:t>
            </w:r>
          </w:p>
        </w:tc>
      </w:tr>
      <w:tr>
        <w:tc>
          <w:tcPr>
            <w:tcW w:type="dxa" w:w="3216"/>
            <w:shd w:val="clear" w:fill="EEF3F8"/>
          </w:tcPr>
          <w:p>
            <w:pPr>
              <w:spacing w:after="20" w:before="20"/>
            </w:pPr>
            <w:r/>
            <w:r>
              <w:rPr>
                <w:b w:val="0"/>
                <w:i w:val="0"/>
                <w:sz w:val="19"/>
              </w:rPr>
              <w:t>App Store developer accounts (Apple + Google)</w:t>
            </w:r>
          </w:p>
        </w:tc>
        <w:tc>
          <w:tcPr>
            <w:tcW w:type="dxa" w:w="3216"/>
            <w:shd w:val="clear" w:fill="EEF3F8"/>
          </w:tcPr>
          <w:p>
            <w:pPr>
              <w:spacing w:after="20" w:before="20"/>
            </w:pPr>
            <w:r/>
            <w:r>
              <w:rPr>
                <w:b w:val="0"/>
                <w:i w:val="0"/>
                <w:sz w:val="19"/>
              </w:rPr>
              <w:t>Month 3</w:t>
            </w:r>
          </w:p>
        </w:tc>
        <w:tc>
          <w:tcPr>
            <w:tcW w:type="dxa" w:w="3216"/>
            <w:shd w:val="clear" w:fill="EEF3F8"/>
          </w:tcPr>
          <w:p>
            <w:pPr>
              <w:spacing w:after="20" w:before="20"/>
            </w:pPr>
            <w:r/>
            <w:r>
              <w:rPr>
                <w:b w:val="0"/>
                <w:i w:val="0"/>
                <w:sz w:val="19"/>
              </w:rPr>
              <w:t>Mobile app submission blocked</w:t>
            </w:r>
          </w:p>
        </w:tc>
      </w:tr>
      <w:tr>
        <w:tc>
          <w:tcPr>
            <w:tcW w:type="dxa" w:w="3216"/>
          </w:tcPr>
          <w:p>
            <w:pPr>
              <w:spacing w:after="20" w:before="20"/>
            </w:pPr>
            <w:r/>
            <w:r>
              <w:rPr>
                <w:b w:val="0"/>
                <w:i w:val="0"/>
                <w:sz w:val="19"/>
              </w:rPr>
              <w:t>Stripe merchant account credentials</w:t>
            </w:r>
          </w:p>
        </w:tc>
        <w:tc>
          <w:tcPr>
            <w:tcW w:type="dxa" w:w="3216"/>
          </w:tcPr>
          <w:p>
            <w:pPr>
              <w:spacing w:after="20" w:before="20"/>
            </w:pPr>
            <w:r/>
            <w:r>
              <w:rPr>
                <w:b w:val="0"/>
                <w:i w:val="0"/>
                <w:sz w:val="19"/>
              </w:rPr>
              <w:t>Month 3</w:t>
            </w:r>
          </w:p>
        </w:tc>
        <w:tc>
          <w:tcPr>
            <w:tcW w:type="dxa" w:w="3216"/>
          </w:tcPr>
          <w:p>
            <w:pPr>
              <w:spacing w:after="20" w:before="20"/>
            </w:pPr>
            <w:r/>
            <w:r>
              <w:rPr>
                <w:b w:val="0"/>
                <w:i w:val="0"/>
                <w:sz w:val="19"/>
              </w:rPr>
              <w:t>Payment integration blocked; POS cannot process card transactions</w:t>
            </w:r>
          </w:p>
        </w:tc>
      </w:tr>
      <w:tr>
        <w:tc>
          <w:tcPr>
            <w:tcW w:type="dxa" w:w="3216"/>
            <w:shd w:val="clear" w:fill="EEF3F8"/>
          </w:tcPr>
          <w:p>
            <w:pPr>
              <w:spacing w:after="20" w:before="20"/>
            </w:pPr>
            <w:r/>
            <w:r>
              <w:rPr>
                <w:b w:val="0"/>
                <w:i w:val="0"/>
                <w:sz w:val="19"/>
              </w:rPr>
              <w:t>LLM deployment option selection</w:t>
            </w:r>
          </w:p>
        </w:tc>
        <w:tc>
          <w:tcPr>
            <w:tcW w:type="dxa" w:w="3216"/>
            <w:shd w:val="clear" w:fill="EEF3F8"/>
          </w:tcPr>
          <w:p>
            <w:pPr>
              <w:spacing w:after="20" w:before="20"/>
            </w:pPr>
            <w:r/>
            <w:r>
              <w:rPr>
                <w:b w:val="0"/>
                <w:i w:val="0"/>
                <w:sz w:val="19"/>
              </w:rPr>
              <w:t>Month 1 kickoff</w:t>
            </w:r>
          </w:p>
        </w:tc>
        <w:tc>
          <w:tcPr>
            <w:tcW w:type="dxa" w:w="3216"/>
            <w:shd w:val="clear" w:fill="EEF3F8"/>
          </w:tcPr>
          <w:p>
            <w:pPr>
              <w:spacing w:after="20" w:before="20"/>
            </w:pPr>
            <w:r/>
            <w:r>
              <w:rPr>
                <w:b w:val="0"/>
                <w:i w:val="0"/>
                <w:sz w:val="19"/>
              </w:rPr>
              <w:t>Determines AI integration architecture for Tier 2 capabilities</w:t>
            </w:r>
          </w:p>
        </w:tc>
      </w:tr>
      <w:tr>
        <w:tc>
          <w:tcPr>
            <w:tcW w:type="dxa" w:w="3216"/>
          </w:tcPr>
          <w:p>
            <w:pPr>
              <w:spacing w:after="20" w:before="20"/>
            </w:pPr>
            <w:r/>
            <w:r>
              <w:rPr>
                <w:b w:val="0"/>
                <w:i w:val="0"/>
                <w:sz w:val="19"/>
              </w:rPr>
              <w:t>Development environment infrastructure</w:t>
            </w:r>
          </w:p>
        </w:tc>
        <w:tc>
          <w:tcPr>
            <w:tcW w:type="dxa" w:w="3216"/>
          </w:tcPr>
          <w:p>
            <w:pPr>
              <w:spacing w:after="20" w:before="20"/>
            </w:pPr>
            <w:r/>
            <w:r>
              <w:rPr>
                <w:b w:val="0"/>
                <w:i w:val="0"/>
                <w:sz w:val="19"/>
              </w:rPr>
              <w:t>Week 1 of kickoff</w:t>
            </w:r>
          </w:p>
        </w:tc>
        <w:tc>
          <w:tcPr>
            <w:tcW w:type="dxa" w:w="3216"/>
          </w:tcPr>
          <w:p>
            <w:pPr>
              <w:spacing w:after="20" w:before="20"/>
            </w:pPr>
            <w:r/>
            <w:r>
              <w:rPr>
                <w:b w:val="0"/>
                <w:i w:val="0"/>
                <w:sz w:val="19"/>
              </w:rPr>
              <w:t>Softlabs Group provisions and manages dev and pre-production environments during the development phase (per Q&amp;A). Production infrastructure is client-owned and operated.</w:t>
            </w:r>
          </w:p>
        </w:tc>
      </w:tr>
    </w:tbl>
    <w:p>
      <w:pPr>
        <w:spacing w:after="40"/>
      </w:pPr>
    </w:p>
    <w:p>
      <w:pPr>
        <w:pStyle w:val="Heading2"/>
        <w:spacing w:before="200" w:after="80"/>
      </w:pPr>
      <w:r>
        <w:rPr>
          <w:b/>
          <w:color w:val="2E75B6"/>
          <w:sz w:val="28"/>
        </w:rPr>
        <w:t>8.8 Rollout Strategy — Phased Venue Onboarding</w:t>
      </w:r>
    </w:p>
    <w:p>
      <w:pPr>
        <w:spacing w:after="120" w:line="259" w:lineRule="auto"/>
      </w:pPr>
      <w:r>
        <w:rPr>
          <w:b w:val="0"/>
          <w:i w:val="0"/>
        </w:rPr>
        <w:t>Per the Q&amp;A, a phased rollout with a pilot programme is the preferred approach. All venues are live by the end of Phase 1 — there is no venue rollout deferred to Phase 2.</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Stage</w:t>
            </w:r>
          </w:p>
        </w:tc>
        <w:tc>
          <w:tcPr>
            <w:tcW w:type="dxa" w:w="2412"/>
            <w:shd w:val="clear" w:fill="1F3864"/>
          </w:tcPr>
          <w:p>
            <w:pPr>
              <w:spacing w:after="20" w:before="20"/>
            </w:pPr>
            <w:r/>
            <w:r>
              <w:rPr>
                <w:b/>
                <w:i w:val="0"/>
                <w:color w:val="FFFFFF"/>
                <w:sz w:val="19"/>
              </w:rPr>
              <w:t>Venues</w:t>
            </w:r>
          </w:p>
        </w:tc>
        <w:tc>
          <w:tcPr>
            <w:tcW w:type="dxa" w:w="2412"/>
            <w:shd w:val="clear" w:fill="1F3864"/>
          </w:tcPr>
          <w:p>
            <w:pPr>
              <w:spacing w:after="20" w:before="20"/>
            </w:pPr>
            <w:r/>
            <w:r>
              <w:rPr>
                <w:b/>
                <w:i w:val="0"/>
                <w:color w:val="FFFFFF"/>
                <w:sz w:val="19"/>
              </w:rPr>
              <w:t>Timing</w:t>
            </w:r>
          </w:p>
        </w:tc>
        <w:tc>
          <w:tcPr>
            <w:tcW w:type="dxa" w:w="2412"/>
            <w:shd w:val="clear" w:fill="1F3864"/>
          </w:tcPr>
          <w:p>
            <w:pPr>
              <w:spacing w:after="20" w:before="20"/>
            </w:pPr>
            <w:r/>
            <w:r>
              <w:rPr>
                <w:b/>
                <w:i w:val="0"/>
                <w:color w:val="FFFFFF"/>
                <w:sz w:val="19"/>
              </w:rPr>
              <w:t>Detail</w:t>
            </w:r>
          </w:p>
        </w:tc>
      </w:tr>
      <w:tr>
        <w:tc>
          <w:tcPr>
            <w:tcW w:type="dxa" w:w="2412"/>
          </w:tcPr>
          <w:p>
            <w:pPr>
              <w:spacing w:after="20" w:before="20"/>
            </w:pPr>
            <w:r/>
            <w:r>
              <w:rPr>
                <w:b w:val="0"/>
                <w:i w:val="0"/>
                <w:sz w:val="19"/>
              </w:rPr>
              <w:t>Pilot</w:t>
            </w:r>
          </w:p>
        </w:tc>
        <w:tc>
          <w:tcPr>
            <w:tcW w:type="dxa" w:w="2412"/>
          </w:tcPr>
          <w:p>
            <w:pPr>
              <w:spacing w:after="20" w:before="20"/>
            </w:pPr>
            <w:r/>
            <w:r>
              <w:rPr>
                <w:b w:val="0"/>
                <w:i w:val="0"/>
                <w:sz w:val="19"/>
              </w:rPr>
              <w:t>1 venue</w:t>
            </w:r>
          </w:p>
        </w:tc>
        <w:tc>
          <w:tcPr>
            <w:tcW w:type="dxa" w:w="2412"/>
          </w:tcPr>
          <w:p>
            <w:pPr>
              <w:spacing w:after="20" w:before="20"/>
            </w:pPr>
            <w:r/>
            <w:r>
              <w:rPr>
                <w:b w:val="0"/>
                <w:i w:val="0"/>
                <w:sz w:val="19"/>
              </w:rPr>
              <w:t>Month 6</w:t>
            </w:r>
          </w:p>
        </w:tc>
        <w:tc>
          <w:tcPr>
            <w:tcW w:type="dxa" w:w="2412"/>
          </w:tcPr>
          <w:p>
            <w:pPr>
              <w:spacing w:after="20" w:before="20"/>
            </w:pPr>
            <w:r/>
            <w:r>
              <w:rPr>
                <w:b w:val="0"/>
                <w:i w:val="0"/>
                <w:sz w:val="19"/>
              </w:rPr>
              <w:t>Full platform validation in production. Issue identification before scale. Client UAT with real operations staff. Go/no-go decision before Wave 1.</w:t>
            </w:r>
          </w:p>
        </w:tc>
      </w:tr>
      <w:tr>
        <w:tc>
          <w:tcPr>
            <w:tcW w:type="dxa" w:w="2412"/>
            <w:shd w:val="clear" w:fill="EEF3F8"/>
          </w:tcPr>
          <w:p>
            <w:pPr>
              <w:spacing w:after="20" w:before="20"/>
            </w:pPr>
            <w:r/>
            <w:r>
              <w:rPr>
                <w:b w:val="0"/>
                <w:i w:val="0"/>
                <w:sz w:val="19"/>
              </w:rPr>
              <w:t>Wave 1</w:t>
            </w:r>
          </w:p>
        </w:tc>
        <w:tc>
          <w:tcPr>
            <w:tcW w:type="dxa" w:w="2412"/>
            <w:shd w:val="clear" w:fill="EEF3F8"/>
          </w:tcPr>
          <w:p>
            <w:pPr>
              <w:spacing w:after="20" w:before="20"/>
            </w:pPr>
            <w:r/>
            <w:r>
              <w:rPr>
                <w:b w:val="0"/>
                <w:i w:val="0"/>
                <w:sz w:val="19"/>
              </w:rPr>
              <w:t>3–4 venues</w:t>
            </w:r>
          </w:p>
        </w:tc>
        <w:tc>
          <w:tcPr>
            <w:tcW w:type="dxa" w:w="2412"/>
            <w:shd w:val="clear" w:fill="EEF3F8"/>
          </w:tcPr>
          <w:p>
            <w:pPr>
              <w:spacing w:after="20" w:before="20"/>
            </w:pPr>
            <w:r/>
            <w:r>
              <w:rPr>
                <w:b w:val="0"/>
                <w:i w:val="0"/>
                <w:sz w:val="19"/>
              </w:rPr>
              <w:t>Month 8</w:t>
            </w:r>
          </w:p>
        </w:tc>
        <w:tc>
          <w:tcPr>
            <w:tcW w:type="dxa" w:w="2412"/>
            <w:shd w:val="clear" w:fill="EEF3F8"/>
          </w:tcPr>
          <w:p>
            <w:pPr>
              <w:spacing w:after="20" w:before="20"/>
            </w:pPr>
            <w:r/>
            <w:r>
              <w:rPr>
                <w:b w:val="0"/>
                <w:i w:val="0"/>
                <w:sz w:val="19"/>
              </w:rPr>
              <w:t>Onboarding with pilot learnings applied. Parallel operation with legacy systems where required. Includes AI Phase 1 assistants.</w:t>
            </w:r>
          </w:p>
        </w:tc>
      </w:tr>
      <w:tr>
        <w:tc>
          <w:tcPr>
            <w:tcW w:type="dxa" w:w="2412"/>
          </w:tcPr>
          <w:p>
            <w:pPr>
              <w:spacing w:after="20" w:before="20"/>
            </w:pPr>
            <w:r/>
            <w:r>
              <w:rPr>
                <w:b w:val="0"/>
                <w:i w:val="0"/>
                <w:sz w:val="19"/>
              </w:rPr>
              <w:t>Wave 2</w:t>
            </w:r>
          </w:p>
        </w:tc>
        <w:tc>
          <w:tcPr>
            <w:tcW w:type="dxa" w:w="2412"/>
          </w:tcPr>
          <w:p>
            <w:pPr>
              <w:spacing w:after="20" w:before="20"/>
            </w:pPr>
            <w:r/>
            <w:r>
              <w:rPr>
                <w:b w:val="0"/>
                <w:i w:val="0"/>
                <w:sz w:val="19"/>
              </w:rPr>
              <w:t>Remaining 3–5 venues</w:t>
            </w:r>
          </w:p>
        </w:tc>
        <w:tc>
          <w:tcPr>
            <w:tcW w:type="dxa" w:w="2412"/>
          </w:tcPr>
          <w:p>
            <w:pPr>
              <w:spacing w:after="20" w:before="20"/>
            </w:pPr>
            <w:r/>
            <w:r>
              <w:rPr>
                <w:b w:val="0"/>
                <w:i w:val="0"/>
                <w:sz w:val="19"/>
              </w:rPr>
              <w:t>Month 8</w:t>
            </w:r>
          </w:p>
        </w:tc>
        <w:tc>
          <w:tcPr>
            <w:tcW w:type="dxa" w:w="2412"/>
          </w:tcPr>
          <w:p>
            <w:pPr>
              <w:spacing w:after="20" w:before="20"/>
            </w:pPr>
            <w:r/>
            <w:r>
              <w:rPr>
                <w:b w:val="0"/>
                <w:i w:val="0"/>
                <w:sz w:val="19"/>
              </w:rPr>
              <w:t>Final venues. Full estate live at Phase 1 gate. Performance test at full scale.</w:t>
            </w:r>
          </w:p>
        </w:tc>
      </w:tr>
    </w:tbl>
    <w:p>
      <w:pPr>
        <w:spacing w:after="40"/>
      </w:pPr>
    </w:p>
    <w:p>
      <w:pPr>
        <w:spacing w:after="80"/>
      </w:pPr>
      <w:r>
        <w:rPr>
          <w:i/>
          <w:color w:val="555555"/>
          <w:sz w:val="18"/>
        </w:rPr>
        <w:t>Figure 8.3 — Milestone Dependency Chain: What Gates What</w:t>
      </w:r>
    </w:p>
    <w:p>
      <w:pPr>
        <w:spacing w:after="120" w:line="259" w:lineRule="auto"/>
      </w:pPr>
      <w:r>
        <w:rPr>
          <w:b w:val="0"/>
          <w:i w:val="0"/>
        </w:rPr>
        <w:t>Each venue onboarding includes: platform configuration, staff training, hardware integration testing, parallel operation period (typically 4–6 weeks per venue), and formal go-live sign-off. Parallel operation with legacy systems is supported for a configurable transition period. Legacy decommission is the client’s decision and timeline.</w:t>
      </w:r>
    </w:p>
    <w:p>
      <w:pPr>
        <w:pStyle w:val="Heading2"/>
        <w:spacing w:before="200" w:after="80"/>
      </w:pPr>
      <w:r>
        <w:rPr>
          <w:b/>
          <w:color w:val="2E75B6"/>
          <w:sz w:val="28"/>
        </w:rPr>
        <w:t>8.9 Acceptance Criteria &amp; Change Management</w:t>
      </w:r>
    </w:p>
    <w:p>
      <w:pPr>
        <w:spacing w:after="120" w:line="259" w:lineRule="auto"/>
      </w:pPr>
      <w:r>
        <w:rPr>
          <w:b w:val="0"/>
          <w:i w:val="0"/>
        </w:rPr>
        <w:t>Per the Q&amp;A, acceptance criteria are agreed in writing at the Discovery &amp; Definition gate and apply at every subsequent phase gate.</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Criterion</w:t>
            </w:r>
          </w:p>
        </w:tc>
        <w:tc>
          <w:tcPr>
            <w:tcW w:type="dxa" w:w="4824"/>
            <w:shd w:val="clear" w:fill="1F3864"/>
          </w:tcPr>
          <w:p>
            <w:pPr>
              <w:spacing w:after="20" w:before="20"/>
            </w:pPr>
            <w:r/>
            <w:r>
              <w:rPr>
                <w:b/>
                <w:i w:val="0"/>
                <w:color w:val="FFFFFF"/>
                <w:sz w:val="19"/>
              </w:rPr>
              <w:t>How We Address It</w:t>
            </w:r>
          </w:p>
        </w:tc>
      </w:tr>
      <w:tr>
        <w:tc>
          <w:tcPr>
            <w:tcW w:type="dxa" w:w="4824"/>
          </w:tcPr>
          <w:p>
            <w:pPr>
              <w:spacing w:after="20" w:before="20"/>
            </w:pPr>
            <w:r/>
            <w:r>
              <w:rPr>
                <w:b w:val="0"/>
                <w:i w:val="0"/>
                <w:sz w:val="19"/>
              </w:rPr>
              <w:t>Functional testing</w:t>
            </w:r>
          </w:p>
        </w:tc>
        <w:tc>
          <w:tcPr>
            <w:tcW w:type="dxa" w:w="4824"/>
          </w:tcPr>
          <w:p>
            <w:pPr>
              <w:spacing w:after="20" w:before="20"/>
            </w:pPr>
            <w:r/>
            <w:r>
              <w:rPr>
                <w:b w:val="0"/>
                <w:i w:val="0"/>
                <w:sz w:val="19"/>
              </w:rPr>
              <w:t>Full test suite per domain delivered with test coverage report. Automated test suite passes before any gate. Defect resolution within agreed SLA.</w:t>
            </w:r>
          </w:p>
        </w:tc>
      </w:tr>
      <w:tr>
        <w:tc>
          <w:tcPr>
            <w:tcW w:type="dxa" w:w="4824"/>
            <w:shd w:val="clear" w:fill="EEF3F8"/>
          </w:tcPr>
          <w:p>
            <w:pPr>
              <w:spacing w:after="20" w:before="20"/>
            </w:pPr>
            <w:r/>
            <w:r>
              <w:rPr>
                <w:b w:val="0"/>
                <w:i w:val="0"/>
                <w:sz w:val="19"/>
              </w:rPr>
              <w:t>Performance testing</w:t>
            </w:r>
          </w:p>
        </w:tc>
        <w:tc>
          <w:tcPr>
            <w:tcW w:type="dxa" w:w="4824"/>
            <w:shd w:val="clear" w:fill="EEF3F8"/>
          </w:tcPr>
          <w:p>
            <w:pPr>
              <w:spacing w:after="20" w:before="20"/>
            </w:pPr>
            <w:r/>
            <w:r>
              <w:rPr>
                <w:b w:val="0"/>
                <w:i w:val="0"/>
                <w:sz w:val="19"/>
              </w:rPr>
              <w:t>Load test at peak scale (15,000 concurrent users, 1,000 API req/sec) in pre-production before Phase 1 gate (Month 8) and Phase 2 gate (Month 14). Ticket validation response time validated at under 500ms (Q&amp;A target) at full gate load.</w:t>
            </w:r>
          </w:p>
        </w:tc>
      </w:tr>
      <w:tr>
        <w:tc>
          <w:tcPr>
            <w:tcW w:type="dxa" w:w="4824"/>
          </w:tcPr>
          <w:p>
            <w:pPr>
              <w:spacing w:after="20" w:before="20"/>
            </w:pPr>
            <w:r/>
            <w:r>
              <w:rPr>
                <w:b w:val="0"/>
                <w:i w:val="0"/>
                <w:sz w:val="19"/>
              </w:rPr>
              <w:t>Security validation</w:t>
            </w:r>
          </w:p>
        </w:tc>
        <w:tc>
          <w:tcPr>
            <w:tcW w:type="dxa" w:w="4824"/>
          </w:tcPr>
          <w:p>
            <w:pPr>
              <w:spacing w:after="20" w:before="20"/>
            </w:pPr>
            <w:r/>
            <w:r>
              <w:rPr>
                <w:b w:val="0"/>
                <w:i w:val="0"/>
                <w:sz w:val="19"/>
              </w:rPr>
              <w:t>Penetration test before Phase 1 gate (Month 8). DESC documentation package at Phase 1 gate. Final delta security review of Phase 2 additions at Month 15–16.</w:t>
            </w:r>
          </w:p>
        </w:tc>
      </w:tr>
      <w:tr>
        <w:tc>
          <w:tcPr>
            <w:tcW w:type="dxa" w:w="4824"/>
            <w:shd w:val="clear" w:fill="EEF3F8"/>
          </w:tcPr>
          <w:p>
            <w:pPr>
              <w:spacing w:after="20" w:before="20"/>
            </w:pPr>
            <w:r/>
            <w:r>
              <w:rPr>
                <w:b w:val="0"/>
                <w:i w:val="0"/>
                <w:sz w:val="19"/>
              </w:rPr>
              <w:t>UAT sign-off</w:t>
            </w:r>
          </w:p>
        </w:tc>
        <w:tc>
          <w:tcPr>
            <w:tcW w:type="dxa" w:w="4824"/>
            <w:shd w:val="clear" w:fill="EEF3F8"/>
          </w:tcPr>
          <w:p>
            <w:pPr>
              <w:spacing w:after="20" w:before="20"/>
            </w:pPr>
            <w:r/>
            <w:r>
              <w:rPr>
                <w:b w:val="0"/>
                <w:i w:val="0"/>
                <w:sz w:val="19"/>
              </w:rPr>
              <w:t>Structured UAT plan per phase with client sign-off. Pilot UAT Month 6. Full estate UAT Month 8. Phase 2 UAT Month 14. No phase gate passes without written client approval.</w:t>
            </w:r>
          </w:p>
        </w:tc>
      </w:tr>
    </w:tbl>
    <w:p>
      <w:pPr>
        <w:spacing w:after="40"/>
      </w:pPr>
    </w:p>
    <w:p>
      <w:pPr>
        <w:pStyle w:val="Heading3"/>
        <w:spacing w:before="160" w:after="60"/>
      </w:pPr>
      <w:r>
        <w:rPr>
          <w:b/>
          <w:color w:val="2E75B6"/>
          <w:sz w:val="23"/>
        </w:rPr>
        <w:t>Change Management Process</w:t>
      </w:r>
    </w:p>
    <w:p>
      <w:pPr>
        <w:spacing w:after="120" w:line="259" w:lineRule="auto"/>
      </w:pPr>
      <w:r>
        <w:rPr>
          <w:b w:val="0"/>
          <w:i w:val="0"/>
        </w:rPr>
        <w:t>All scope changes are managed through a formal written process agreed at Discovery &amp; Definition gate (per Q&amp;A requirement):</w:t>
      </w:r>
    </w:p>
    <w:p>
      <w:pPr>
        <w:pStyle w:val="ListBullet"/>
        <w:spacing w:after="40"/>
      </w:pPr>
      <w:r>
        <w:rPr>
          <w:b w:val="0"/>
          <w:i w:val="0"/>
        </w:rPr>
        <w:t>All change requests submitted in writing with description, justification, and estimated impact</w:t>
      </w:r>
    </w:p>
    <w:p>
      <w:pPr>
        <w:pStyle w:val="ListBullet"/>
        <w:spacing w:after="40"/>
      </w:pPr>
      <w:r>
        <w:rPr>
          <w:b w:val="0"/>
          <w:i w:val="0"/>
        </w:rPr>
        <w:t>Impact assessment completed within 5 business days: scope, timeline, cost implications quantified</w:t>
      </w:r>
    </w:p>
    <w:p>
      <w:pPr>
        <w:pStyle w:val="ListBullet"/>
        <w:spacing w:after="40"/>
      </w:pPr>
      <w:r>
        <w:rPr>
          <w:b w:val="0"/>
          <w:i w:val="0"/>
        </w:rPr>
        <w:t>Change approved or rejected by both parties in writing before any implementation begins</w:t>
      </w:r>
    </w:p>
    <w:p>
      <w:pPr>
        <w:pStyle w:val="ListBullet"/>
        <w:spacing w:after="40"/>
      </w:pPr>
      <w:r>
        <w:rPr>
          <w:b w:val="0"/>
          <w:i w:val="0"/>
        </w:rPr>
        <w:t>Approved changes documented in the project change log and reflected in the updated milestone plan</w:t>
      </w:r>
    </w:p>
    <w:p>
      <w:pPr>
        <w:pStyle w:val="ListBullet"/>
        <w:spacing w:after="40"/>
      </w:pPr>
      <w:r>
        <w:rPr>
          <w:b w:val="0"/>
          <w:i w:val="0"/>
        </w:rPr>
        <w:t>No scope changes implemented without written approval from both parties — protects both sides</w:t>
      </w:r>
    </w:p>
    <w:p>
      <w:pPr>
        <w:spacing w:after="120" w:line="259" w:lineRule="auto"/>
      </w:pPr>
      <w:r>
        <w:rPr>
          <w:b w:val="0"/>
          <w:i/>
        </w:rPr>
        <w:t>Pricing model: Softlabs Group proposes a fixed-price delivery model with milestone-based payment structure. Scope boundaries and milestone definitions are agreed at the Discovery</w:t>
      </w:r>
      <w:r>
        <w:rPr>
          <w:b w:val="0"/>
          <w:i/>
        </w:rPr>
        <w:t xml:space="preserve"> </w:t>
      </w:r>
      <w:r>
        <w:rPr>
          <w:b/>
          <w:i w:val="0"/>
        </w:rPr>
        <w:t>*&amp;</w:t>
      </w:r>
      <w:r>
        <w:rPr>
          <w:b/>
          <w:i w:val="0"/>
        </w:rPr>
        <w:t xml:space="preserve"> </w:t>
      </w:r>
      <w:r>
        <w:rPr>
          <w:b w:val="0"/>
          <w:i w:val="0"/>
        </w:rPr>
        <w:t>Definition gate. Any scope changes are handled through the formal change request process above. Full pricing detail is in the Commercial Document.*</w:t>
      </w:r>
    </w:p>
    <w:p>
      <w:pPr>
        <w:pStyle w:val="Heading2"/>
        <w:spacing w:before="200" w:after="80"/>
      </w:pPr>
      <w:r>
        <w:rPr>
          <w:b/>
          <w:color w:val="2E75B6"/>
          <w:sz w:val="28"/>
        </w:rPr>
        <w:t>8.10 Delivery Team</w:t>
      </w:r>
    </w:p>
    <w:p>
      <w:pPr>
        <w:spacing w:after="120" w:line="259" w:lineRule="auto"/>
      </w:pPr>
      <w:r>
        <w:rPr>
          <w:i/>
          <w:color w:val="555555"/>
        </w:rPr>
        <w:t>The TAIS platform is delivered by a dedicated full-time team of 14–18 people. Every team member is allocated exclusively to TAIS for the duration of the project — no shared resources across other engagements.</w:t>
      </w:r>
    </w:p>
    <w:p>
      <w:pPr>
        <w:spacing w:after="80"/>
      </w:pPr>
      <w:r>
        <w:rPr>
          <w:i/>
          <w:color w:val="555555"/>
          <w:sz w:val="18"/>
        </w:rPr>
        <w:t>Figure 8.2 — Delivery Team: 14–18 Dedicated FTEs Across Onshore and Offshore Roles</w:t>
      </w:r>
    </w:p>
    <w:p>
      <w:pPr>
        <w:pStyle w:val="Heading3"/>
        <w:spacing w:before="160" w:after="60"/>
      </w:pPr>
      <w:r>
        <w:rPr>
          <w:b/>
          <w:color w:val="2E75B6"/>
          <w:sz w:val="23"/>
        </w:rPr>
        <w:t>Onshore Team</w:t>
      </w:r>
    </w:p>
    <w:p>
      <w:pPr>
        <w:spacing w:after="120" w:line="259" w:lineRule="auto"/>
      </w:pPr>
      <w:r>
        <w:rPr>
          <w:b w:val="0"/>
          <w:i w:val="0"/>
        </w:rPr>
        <w:t>The Solution Architect / Forward Deployed Engineer is the most senior technical role on the project and the primary technical interface with the client. As Solution Architect, this person owns the technical architecture across all 12 domains, makes all major technology and design decisions, and is accountable for non-functional requirements: scalability, security, offline reliability, and compliance. As Forward Deployed Engineer, this person works onshore embedded with the client, leads the Discovery &amp; Definition Phase, is on-site at the pilot venue for go-live, and leads knowledge transfer at handover. This is not an architect who draws diagrams and disappears.</w:t>
      </w:r>
    </w:p>
    <w:p>
      <w:pPr>
        <w:spacing w:after="120" w:line="259" w:lineRule="auto"/>
      </w:pPr>
      <w:r>
        <w:rPr>
          <w:b w:val="0"/>
          <w:i w:val="0"/>
        </w:rPr>
        <w:t>The Project Manager owns project governance: sprint cadence, status reporting, RAID log, change request process, and milestone gate sign-offs. The PM coordinates client dependencies, manages scope boundary enforcement, and reports weekly to client stakeholders with no surprises.</w:t>
      </w:r>
    </w:p>
    <w:p>
      <w:pPr>
        <w:pStyle w:val="Heading3"/>
        <w:spacing w:before="160" w:after="60"/>
      </w:pPr>
      <w:r>
        <w:rPr>
          <w:b/>
          <w:color w:val="2E75B6"/>
          <w:sz w:val="23"/>
        </w:rPr>
        <w:t>Offshore Delivery Team</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pPr>
              <w:spacing w:after="20" w:before="20"/>
            </w:pPr>
            <w:r/>
            <w:r>
              <w:rPr>
                <w:b/>
                <w:i w:val="0"/>
                <w:color w:val="FFFFFF"/>
                <w:sz w:val="19"/>
              </w:rPr>
              <w:t>Role</w:t>
            </w:r>
          </w:p>
        </w:tc>
        <w:tc>
          <w:tcPr>
            <w:tcW w:type="dxa" w:w="2412"/>
            <w:shd w:val="clear" w:fill="1F3864"/>
          </w:tcPr>
          <w:p>
            <w:pPr>
              <w:spacing w:after="20" w:before="20"/>
            </w:pPr>
            <w:r/>
            <w:r>
              <w:rPr>
                <w:b/>
                <w:i w:val="0"/>
                <w:color w:val="FFFFFF"/>
                <w:sz w:val="19"/>
              </w:rPr>
              <w:t>Count</w:t>
            </w:r>
          </w:p>
        </w:tc>
        <w:tc>
          <w:tcPr>
            <w:tcW w:type="dxa" w:w="2412"/>
            <w:shd w:val="clear" w:fill="1F3864"/>
          </w:tcPr>
          <w:p>
            <w:pPr>
              <w:spacing w:after="20" w:before="20"/>
            </w:pPr>
            <w:r/>
            <w:r>
              <w:rPr>
                <w:b/>
                <w:i w:val="0"/>
                <w:color w:val="FFFFFF"/>
                <w:sz w:val="19"/>
              </w:rPr>
              <w:t>Tooling</w:t>
            </w:r>
          </w:p>
        </w:tc>
        <w:tc>
          <w:tcPr>
            <w:tcW w:type="dxa" w:w="2412"/>
            <w:shd w:val="clear" w:fill="1F3864"/>
          </w:tcPr>
          <w:p>
            <w:pPr>
              <w:spacing w:after="20" w:before="20"/>
            </w:pPr>
            <w:r/>
            <w:r>
              <w:rPr>
                <w:b/>
                <w:i w:val="0"/>
                <w:color w:val="FFFFFF"/>
                <w:sz w:val="19"/>
              </w:rPr>
              <w:t>Primary Responsibilities</w:t>
            </w:r>
          </w:p>
        </w:tc>
      </w:tr>
      <w:tr>
        <w:tc>
          <w:tcPr>
            <w:tcW w:type="dxa" w:w="2412"/>
          </w:tcPr>
          <w:p>
            <w:pPr>
              <w:spacing w:after="20" w:before="20"/>
            </w:pPr>
            <w:r/>
            <w:r>
              <w:rPr>
                <w:b w:val="0"/>
                <w:i w:val="0"/>
                <w:sz w:val="19"/>
              </w:rPr>
              <w:t>Backend Engineers</w:t>
            </w:r>
          </w:p>
        </w:tc>
        <w:tc>
          <w:tcPr>
            <w:tcW w:type="dxa" w:w="2412"/>
          </w:tcPr>
          <w:p>
            <w:pPr>
              <w:spacing w:after="20" w:before="20"/>
            </w:pPr>
            <w:r/>
            <w:r>
              <w:rPr>
                <w:b w:val="0"/>
                <w:i w:val="0"/>
                <w:sz w:val="19"/>
              </w:rPr>
              <w:t>4–5</w:t>
            </w:r>
          </w:p>
        </w:tc>
        <w:tc>
          <w:tcPr>
            <w:tcW w:type="dxa" w:w="2412"/>
          </w:tcPr>
          <w:p>
            <w:pPr>
              <w:spacing w:after="20" w:before="20"/>
            </w:pPr>
            <w:r/>
            <w:r>
              <w:rPr>
                <w:b w:val="0"/>
                <w:i w:val="0"/>
                <w:sz w:val="19"/>
              </w:rPr>
              <w:t>Node.js (TypeScript) and .NET (C#)</w:t>
            </w:r>
          </w:p>
        </w:tc>
        <w:tc>
          <w:tcPr>
            <w:tcW w:type="dxa" w:w="2412"/>
          </w:tcPr>
          <w:p>
            <w:pPr>
              <w:spacing w:after="20" w:before="20"/>
            </w:pPr>
            <w:r/>
            <w:r>
              <w:rPr>
                <w:b w:val="0"/>
                <w:i w:val="0"/>
                <w:sz w:val="19"/>
              </w:rPr>
              <w:t>API services (identity, ticketing, commerce, marketing, operations), Finance domain (.NET), Kafka pipeline and integrations, offline sync engine</w:t>
            </w:r>
          </w:p>
        </w:tc>
      </w:tr>
      <w:tr>
        <w:tc>
          <w:tcPr>
            <w:tcW w:type="dxa" w:w="2412"/>
            <w:shd w:val="clear" w:fill="EEF3F8"/>
          </w:tcPr>
          <w:p>
            <w:pPr>
              <w:spacing w:after="20" w:before="20"/>
            </w:pPr>
            <w:r/>
            <w:r>
              <w:rPr>
                <w:b w:val="0"/>
                <w:i w:val="0"/>
                <w:sz w:val="19"/>
              </w:rPr>
              <w:t>AI / ML Engineers</w:t>
            </w:r>
          </w:p>
        </w:tc>
        <w:tc>
          <w:tcPr>
            <w:tcW w:type="dxa" w:w="2412"/>
            <w:shd w:val="clear" w:fill="EEF3F8"/>
          </w:tcPr>
          <w:p>
            <w:pPr>
              <w:spacing w:after="20" w:before="20"/>
            </w:pPr>
            <w:r/>
            <w:r>
              <w:rPr>
                <w:b w:val="0"/>
                <w:i w:val="0"/>
                <w:sz w:val="19"/>
              </w:rPr>
              <w:t>2</w:t>
            </w:r>
          </w:p>
        </w:tc>
        <w:tc>
          <w:tcPr>
            <w:tcW w:type="dxa" w:w="2412"/>
            <w:shd w:val="clear" w:fill="EEF3F8"/>
          </w:tcPr>
          <w:p>
            <w:pPr>
              <w:spacing w:after="20" w:before="20"/>
            </w:pPr>
            <w:r/>
            <w:r>
              <w:rPr>
                <w:b w:val="0"/>
                <w:i w:val="0"/>
                <w:sz w:val="19"/>
              </w:rPr>
              <w:t>Python</w:t>
            </w:r>
          </w:p>
        </w:tc>
        <w:tc>
          <w:tcPr>
            <w:tcW w:type="dxa" w:w="2412"/>
            <w:shd w:val="clear" w:fill="EEF3F8"/>
          </w:tcPr>
          <w:p>
            <w:pPr>
              <w:spacing w:after="20" w:before="20"/>
            </w:pPr>
            <w:r/>
            <w:r>
              <w:rPr>
                <w:b w:val="0"/>
                <w:i w:val="0"/>
                <w:sz w:val="19"/>
              </w:rPr>
              <w:t>Engineer 1: LLM integration, Config + Reporting Assistants, RAG pipeline, Qdrant, data pipeline. Engineer 2: ML models (Tier 3), rule-based engines, MLflow tracking.</w:t>
            </w:r>
          </w:p>
        </w:tc>
      </w:tr>
      <w:tr>
        <w:tc>
          <w:tcPr>
            <w:tcW w:type="dxa" w:w="2412"/>
          </w:tcPr>
          <w:p>
            <w:pPr>
              <w:spacing w:after="20" w:before="20"/>
            </w:pPr>
            <w:r/>
            <w:r>
              <w:rPr>
                <w:b w:val="0"/>
                <w:i w:val="0"/>
                <w:sz w:val="19"/>
              </w:rPr>
              <w:t>Frontend Engineers</w:t>
            </w:r>
          </w:p>
        </w:tc>
        <w:tc>
          <w:tcPr>
            <w:tcW w:type="dxa" w:w="2412"/>
          </w:tcPr>
          <w:p>
            <w:pPr>
              <w:spacing w:after="20" w:before="20"/>
            </w:pPr>
            <w:r/>
            <w:r>
              <w:rPr>
                <w:b w:val="0"/>
                <w:i w:val="0"/>
                <w:sz w:val="19"/>
              </w:rPr>
              <w:t>2–3</w:t>
            </w:r>
          </w:p>
        </w:tc>
        <w:tc>
          <w:tcPr>
            <w:tcW w:type="dxa" w:w="2412"/>
          </w:tcPr>
          <w:p>
            <w:pPr>
              <w:spacing w:after="20" w:before="20"/>
            </w:pPr>
            <w:r/>
            <w:r>
              <w:rPr>
                <w:b w:val="0"/>
                <w:i w:val="0"/>
                <w:sz w:val="19"/>
              </w:rPr>
              <w:t>React / Next.js</w:t>
            </w:r>
          </w:p>
        </w:tc>
        <w:tc>
          <w:tcPr>
            <w:tcW w:type="dxa" w:w="2412"/>
          </w:tcPr>
          <w:p>
            <w:pPr>
              <w:spacing w:after="20" w:before="20"/>
            </w:pPr>
            <w:r/>
            <w:r>
              <w:rPr>
                <w:b w:val="0"/>
                <w:i w:val="0"/>
                <w:sz w:val="19"/>
              </w:rPr>
              <w:t>Guest storefront (SSR), Admin back-office, Partner portal, Developer portal, POS terminal interface (Electron), full Arabic RTL</w:t>
            </w:r>
          </w:p>
        </w:tc>
      </w:tr>
      <w:tr>
        <w:tc>
          <w:tcPr>
            <w:tcW w:type="dxa" w:w="2412"/>
            <w:shd w:val="clear" w:fill="EEF3F8"/>
          </w:tcPr>
          <w:p>
            <w:pPr>
              <w:spacing w:after="20" w:before="20"/>
            </w:pPr>
            <w:r/>
            <w:r>
              <w:rPr>
                <w:b w:val="0"/>
                <w:i w:val="0"/>
                <w:sz w:val="19"/>
              </w:rPr>
              <w:t>Mobile Engineers</w:t>
            </w:r>
          </w:p>
        </w:tc>
        <w:tc>
          <w:tcPr>
            <w:tcW w:type="dxa" w:w="2412"/>
            <w:shd w:val="clear" w:fill="EEF3F8"/>
          </w:tcPr>
          <w:p>
            <w:pPr>
              <w:spacing w:after="20" w:before="20"/>
            </w:pPr>
            <w:r/>
            <w:r>
              <w:rPr>
                <w:b w:val="0"/>
                <w:i w:val="0"/>
                <w:sz w:val="19"/>
              </w:rPr>
              <w:t>2–3</w:t>
            </w:r>
          </w:p>
        </w:tc>
        <w:tc>
          <w:tcPr>
            <w:tcW w:type="dxa" w:w="2412"/>
            <w:shd w:val="clear" w:fill="EEF3F8"/>
          </w:tcPr>
          <w:p>
            <w:pPr>
              <w:spacing w:after="20" w:before="20"/>
            </w:pPr>
            <w:r/>
            <w:r>
              <w:rPr>
                <w:b w:val="0"/>
                <w:i w:val="0"/>
                <w:sz w:val="19"/>
              </w:rPr>
              <w:t>React Native</w:t>
            </w:r>
          </w:p>
        </w:tc>
        <w:tc>
          <w:tcPr>
            <w:tcW w:type="dxa" w:w="2412"/>
            <w:shd w:val="clear" w:fill="EEF3F8"/>
          </w:tcPr>
          <w:p>
            <w:pPr>
              <w:spacing w:after="20" w:before="20"/>
            </w:pPr>
            <w:r/>
            <w:r>
              <w:rPr>
                <w:b w:val="0"/>
                <w:i w:val="0"/>
                <w:sz w:val="19"/>
              </w:rPr>
              <w:t>Guest App (iOS + Android), Staff Operations App (Android first), shared offline engine, shared crypto validation library</w:t>
            </w:r>
          </w:p>
        </w:tc>
      </w:tr>
      <w:tr>
        <w:tc>
          <w:tcPr>
            <w:tcW w:type="dxa" w:w="2412"/>
          </w:tcPr>
          <w:p>
            <w:pPr>
              <w:spacing w:after="20" w:before="20"/>
            </w:pPr>
            <w:r/>
            <w:r>
              <w:rPr>
                <w:b w:val="0"/>
                <w:i w:val="0"/>
                <w:sz w:val="19"/>
              </w:rPr>
              <w:t>DevOps / Cloud Engineer</w:t>
            </w:r>
          </w:p>
        </w:tc>
        <w:tc>
          <w:tcPr>
            <w:tcW w:type="dxa" w:w="2412"/>
          </w:tcPr>
          <w:p>
            <w:pPr>
              <w:spacing w:after="20" w:before="20"/>
            </w:pPr>
            <w:r/>
            <w:r>
              <w:rPr>
                <w:b w:val="0"/>
                <w:i w:val="0"/>
                <w:sz w:val="19"/>
              </w:rPr>
              <w:t>1</w:t>
            </w:r>
          </w:p>
        </w:tc>
        <w:tc>
          <w:tcPr>
            <w:tcW w:type="dxa" w:w="2412"/>
          </w:tcPr>
          <w:p>
            <w:pPr>
              <w:spacing w:after="20" w:before="20"/>
            </w:pPr>
            <w:r/>
            <w:r>
              <w:rPr>
                <w:b w:val="0"/>
                <w:i w:val="0"/>
                <w:sz w:val="19"/>
              </w:rPr>
              <w:t>Terraform / Kubernetes</w:t>
            </w:r>
          </w:p>
        </w:tc>
        <w:tc>
          <w:tcPr>
            <w:tcW w:type="dxa" w:w="2412"/>
          </w:tcPr>
          <w:p>
            <w:pPr>
              <w:spacing w:after="20" w:before="20"/>
            </w:pPr>
            <w:r/>
            <w:r>
              <w:rPr>
                <w:b w:val="0"/>
                <w:i w:val="0"/>
                <w:sz w:val="19"/>
              </w:rPr>
              <w:t>IaC all cloud targets, CI/CD pipelines, Helm charts, observability stack, secrets management, HA configuration, DR runbooks</w:t>
            </w:r>
          </w:p>
        </w:tc>
      </w:tr>
      <w:tr>
        <w:tc>
          <w:tcPr>
            <w:tcW w:type="dxa" w:w="2412"/>
            <w:shd w:val="clear" w:fill="EEF3F8"/>
          </w:tcPr>
          <w:p>
            <w:pPr>
              <w:spacing w:after="20" w:before="20"/>
            </w:pPr>
            <w:r/>
            <w:r>
              <w:rPr>
                <w:b w:val="0"/>
                <w:i w:val="0"/>
                <w:sz w:val="19"/>
              </w:rPr>
              <w:t>QA Engineers</w:t>
            </w:r>
          </w:p>
        </w:tc>
        <w:tc>
          <w:tcPr>
            <w:tcW w:type="dxa" w:w="2412"/>
            <w:shd w:val="clear" w:fill="EEF3F8"/>
          </w:tcPr>
          <w:p>
            <w:pPr>
              <w:spacing w:after="20" w:before="20"/>
            </w:pPr>
            <w:r/>
            <w:r>
              <w:rPr>
                <w:b w:val="0"/>
                <w:i w:val="0"/>
                <w:sz w:val="19"/>
              </w:rPr>
              <w:t>1–2</w:t>
            </w:r>
          </w:p>
        </w:tc>
        <w:tc>
          <w:tcPr>
            <w:tcW w:type="dxa" w:w="2412"/>
            <w:shd w:val="clear" w:fill="EEF3F8"/>
          </w:tcPr>
          <w:p>
            <w:pPr>
              <w:spacing w:after="20" w:before="20"/>
            </w:pPr>
            <w:r/>
            <w:r>
              <w:rPr>
                <w:b w:val="0"/>
                <w:i w:val="0"/>
                <w:sz w:val="19"/>
              </w:rPr>
              <w:t>Playwright / Detox / k6</w:t>
            </w:r>
          </w:p>
        </w:tc>
        <w:tc>
          <w:tcPr>
            <w:tcW w:type="dxa" w:w="2412"/>
            <w:shd w:val="clear" w:fill="EEF3F8"/>
          </w:tcPr>
          <w:p>
            <w:pPr>
              <w:spacing w:after="20" w:before="20"/>
            </w:pPr>
            <w:r/>
            <w:r>
              <w:rPr>
                <w:b w:val="0"/>
                <w:i w:val="0"/>
                <w:sz w:val="19"/>
              </w:rPr>
              <w:t>End-to-end automation, API contract testing (Pact), performance testing, Arabic RTL validation, hardware integration testing</w:t>
            </w:r>
          </w:p>
        </w:tc>
      </w:tr>
    </w:tbl>
    <w:p>
      <w:pPr>
        <w:spacing w:after="40"/>
      </w:pPr>
    </w:p>
    <w:p>
      <w:pPr>
        <w:pStyle w:val="Heading3"/>
        <w:spacing w:before="160" w:after="60"/>
      </w:pPr>
      <w:r>
        <w:rPr>
          <w:b/>
          <w:color w:val="2E75B6"/>
          <w:sz w:val="23"/>
        </w:rPr>
        <w:t>How the Team Works</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Practice</w:t>
            </w:r>
          </w:p>
        </w:tc>
        <w:tc>
          <w:tcPr>
            <w:tcW w:type="dxa" w:w="4824"/>
            <w:shd w:val="clear" w:fill="1F3864"/>
          </w:tcPr>
          <w:p>
            <w:pPr>
              <w:spacing w:after="20" w:before="20"/>
            </w:pPr>
            <w:r/>
            <w:r>
              <w:rPr>
                <w:b/>
                <w:i w:val="0"/>
                <w:color w:val="FFFFFF"/>
                <w:sz w:val="19"/>
              </w:rPr>
              <w:t>Detail</w:t>
            </w:r>
          </w:p>
        </w:tc>
      </w:tr>
      <w:tr>
        <w:tc>
          <w:tcPr>
            <w:tcW w:type="dxa" w:w="4824"/>
          </w:tcPr>
          <w:p>
            <w:pPr>
              <w:spacing w:after="20" w:before="20"/>
            </w:pPr>
            <w:r/>
            <w:r>
              <w:rPr>
                <w:b w:val="0"/>
                <w:i w:val="0"/>
                <w:sz w:val="19"/>
              </w:rPr>
              <w:t>Daily standups</w:t>
            </w:r>
          </w:p>
        </w:tc>
        <w:tc>
          <w:tcPr>
            <w:tcW w:type="dxa" w:w="4824"/>
          </w:tcPr>
          <w:p>
            <w:pPr>
              <w:spacing w:after="20" w:before="20"/>
            </w:pPr>
            <w:r/>
            <w:r>
              <w:rPr>
                <w:b w:val="0"/>
                <w:i w:val="0"/>
                <w:sz w:val="19"/>
              </w:rPr>
              <w:t>Async per squad (written) in project management tool — no meetings unless needed</w:t>
            </w:r>
          </w:p>
        </w:tc>
      </w:tr>
      <w:tr>
        <w:tc>
          <w:tcPr>
            <w:tcW w:type="dxa" w:w="4824"/>
            <w:shd w:val="clear" w:fill="EEF3F8"/>
          </w:tcPr>
          <w:p>
            <w:pPr>
              <w:spacing w:after="20" w:before="20"/>
            </w:pPr>
            <w:r/>
            <w:r>
              <w:rPr>
                <w:b w:val="0"/>
                <w:i w:val="0"/>
                <w:sz w:val="19"/>
              </w:rPr>
              <w:t>Weekly full-team sync</w:t>
            </w:r>
          </w:p>
        </w:tc>
        <w:tc>
          <w:tcPr>
            <w:tcW w:type="dxa" w:w="4824"/>
            <w:shd w:val="clear" w:fill="EEF3F8"/>
          </w:tcPr>
          <w:p>
            <w:pPr>
              <w:spacing w:after="20" w:before="20"/>
            </w:pPr>
            <w:r/>
            <w:r>
              <w:rPr>
                <w:b w:val="0"/>
                <w:i w:val="0"/>
                <w:sz w:val="19"/>
              </w:rPr>
              <w:t>SA/FDE + PM + all offshore leads — 60 minutes</w:t>
            </w:r>
          </w:p>
        </w:tc>
      </w:tr>
      <w:tr>
        <w:tc>
          <w:tcPr>
            <w:tcW w:type="dxa" w:w="4824"/>
          </w:tcPr>
          <w:p>
            <w:pPr>
              <w:spacing w:after="20" w:before="20"/>
            </w:pPr>
            <w:r/>
            <w:r>
              <w:rPr>
                <w:b w:val="0"/>
                <w:i w:val="0"/>
                <w:sz w:val="19"/>
              </w:rPr>
              <w:t>Weekly client status call</w:t>
            </w:r>
          </w:p>
        </w:tc>
        <w:tc>
          <w:tcPr>
            <w:tcW w:type="dxa" w:w="4824"/>
          </w:tcPr>
          <w:p>
            <w:pPr>
              <w:spacing w:after="20" w:before="20"/>
            </w:pPr>
            <w:r/>
            <w:r>
              <w:rPr>
                <w:b w:val="0"/>
                <w:i w:val="0"/>
                <w:sz w:val="19"/>
              </w:rPr>
              <w:t>PM + SA/FDE + client stakeholders — 30–45 minutes; structured report, no surprises</w:t>
            </w:r>
          </w:p>
        </w:tc>
      </w:tr>
      <w:tr>
        <w:tc>
          <w:tcPr>
            <w:tcW w:type="dxa" w:w="4824"/>
            <w:shd w:val="clear" w:fill="EEF3F8"/>
          </w:tcPr>
          <w:p>
            <w:pPr>
              <w:spacing w:after="20" w:before="20"/>
            </w:pPr>
            <w:r/>
            <w:r>
              <w:rPr>
                <w:b w:val="0"/>
                <w:i w:val="0"/>
                <w:sz w:val="19"/>
              </w:rPr>
              <w:t>Architecture review</w:t>
            </w:r>
          </w:p>
        </w:tc>
        <w:tc>
          <w:tcPr>
            <w:tcW w:type="dxa" w:w="4824"/>
            <w:shd w:val="clear" w:fill="EEF3F8"/>
          </w:tcPr>
          <w:p>
            <w:pPr>
              <w:spacing w:after="20" w:before="20"/>
            </w:pPr>
            <w:r/>
            <w:r>
              <w:rPr>
                <w:b w:val="0"/>
                <w:i w:val="0"/>
                <w:sz w:val="19"/>
              </w:rPr>
              <w:t>SA/FDE chairs bi-weekly; all engineers attend — 60 minutes</w:t>
            </w:r>
          </w:p>
        </w:tc>
      </w:tr>
      <w:tr>
        <w:tc>
          <w:tcPr>
            <w:tcW w:type="dxa" w:w="4824"/>
          </w:tcPr>
          <w:p>
            <w:pPr>
              <w:spacing w:after="20" w:before="20"/>
            </w:pPr>
            <w:r/>
            <w:r>
              <w:rPr>
                <w:b w:val="0"/>
                <w:i w:val="0"/>
                <w:sz w:val="19"/>
              </w:rPr>
              <w:t>Escalation path</w:t>
            </w:r>
          </w:p>
        </w:tc>
        <w:tc>
          <w:tcPr>
            <w:tcW w:type="dxa" w:w="4824"/>
          </w:tcPr>
          <w:p>
            <w:pPr>
              <w:spacing w:after="20" w:before="20"/>
            </w:pPr>
            <w:r/>
            <w:r>
              <w:rPr>
                <w:b w:val="0"/>
                <w:i w:val="0"/>
                <w:sz w:val="19"/>
              </w:rPr>
              <w:t>Engineer → offshore lead → SA/FDE → PM → client</w:t>
            </w:r>
          </w:p>
        </w:tc>
      </w:tr>
      <w:tr>
        <w:tc>
          <w:tcPr>
            <w:tcW w:type="dxa" w:w="4824"/>
            <w:shd w:val="clear" w:fill="EEF3F8"/>
          </w:tcPr>
          <w:p>
            <w:pPr>
              <w:spacing w:after="20" w:before="20"/>
            </w:pPr>
            <w:r/>
            <w:r>
              <w:rPr>
                <w:b w:val="0"/>
                <w:i w:val="0"/>
                <w:sz w:val="19"/>
              </w:rPr>
              <w:t>Repository</w:t>
            </w:r>
          </w:p>
        </w:tc>
        <w:tc>
          <w:tcPr>
            <w:tcW w:type="dxa" w:w="4824"/>
            <w:shd w:val="clear" w:fill="EEF3F8"/>
          </w:tcPr>
          <w:p>
            <w:pPr>
              <w:spacing w:after="20" w:before="20"/>
            </w:pPr>
            <w:r/>
            <w:r>
              <w:rPr>
                <w:b w:val="0"/>
                <w:i w:val="0"/>
                <w:sz w:val="19"/>
              </w:rPr>
              <w:t>Client-owned GitHub / GitLab / Azure DevOps from Day 1 (per Q&amp;A)</w:t>
            </w:r>
          </w:p>
        </w:tc>
      </w:tr>
      <w:tr>
        <w:tc>
          <w:tcPr>
            <w:tcW w:type="dxa" w:w="4824"/>
          </w:tcPr>
          <w:p>
            <w:pPr>
              <w:spacing w:after="20" w:before="20"/>
            </w:pPr>
            <w:r/>
            <w:r>
              <w:rPr>
                <w:b w:val="0"/>
                <w:i w:val="0"/>
                <w:sz w:val="19"/>
              </w:rPr>
              <w:t>Project tooling</w:t>
            </w:r>
          </w:p>
        </w:tc>
        <w:tc>
          <w:tcPr>
            <w:tcW w:type="dxa" w:w="4824"/>
          </w:tcPr>
          <w:p>
            <w:pPr>
              <w:spacing w:after="20" w:before="20"/>
            </w:pPr>
            <w:r/>
            <w:r>
              <w:rPr>
                <w:b w:val="0"/>
                <w:i w:val="0"/>
                <w:sz w:val="19"/>
              </w:rPr>
              <w:t>Jira or Linear (backlog); Confluence or Notion (docs); Slack (comms); Figma (wireframes)</w:t>
            </w:r>
          </w:p>
        </w:tc>
      </w:tr>
      <w:tr>
        <w:tc>
          <w:tcPr>
            <w:tcW w:type="dxa" w:w="4824"/>
            <w:shd w:val="clear" w:fill="EEF3F8"/>
          </w:tcPr>
          <w:p>
            <w:pPr>
              <w:spacing w:after="20" w:before="20"/>
            </w:pPr>
            <w:r/>
            <w:r>
              <w:rPr>
                <w:b w:val="0"/>
                <w:i w:val="0"/>
                <w:sz w:val="19"/>
              </w:rPr>
              <w:t>Code quality gates</w:t>
            </w:r>
          </w:p>
        </w:tc>
        <w:tc>
          <w:tcPr>
            <w:tcW w:type="dxa" w:w="4824"/>
            <w:shd w:val="clear" w:fill="EEF3F8"/>
          </w:tcPr>
          <w:p>
            <w:pPr>
              <w:spacing w:after="20" w:before="20"/>
            </w:pPr>
            <w:r/>
            <w:r>
              <w:rPr>
                <w:b w:val="0"/>
                <w:i w:val="0"/>
                <w:sz w:val="19"/>
              </w:rPr>
              <w:t>Peer review required on every merge; no feature to pre-prod without passing automated test suite; SA/FDE sign-off on all milestone deliverables</w:t>
            </w:r>
          </w:p>
        </w:tc>
      </w:tr>
    </w:tbl>
    <w:p>
      <w:pPr>
        <w:spacing w:after="40"/>
      </w:pPr>
    </w:p>
    <w:p>
      <w:pPr>
        <w:pStyle w:val="Heading2"/>
        <w:spacing w:before="200" w:after="80"/>
      </w:pPr>
      <w:r>
        <w:rPr>
          <w:b/>
          <w:color w:val="2E75B6"/>
          <w:sz w:val="28"/>
        </w:rPr>
        <w:t>8.11 AI-Assisted Development Methodology</w:t>
      </w:r>
    </w:p>
    <w:p>
      <w:pPr>
        <w:spacing w:after="120" w:line="259" w:lineRule="auto"/>
      </w:pPr>
      <w:r>
        <w:rPr>
          <w:b w:val="0"/>
          <w:i w:val="0"/>
        </w:rPr>
        <w:t>Softlabs Group builds production platforms using a structured AI-assisted development methodology. This is our standard operating model, not an experiment. AI tools accelerate implementation velocity, reduce repetitive engineering effort, and surface quality issues earlier. Engineering judgement, architectural decisions, business logic, and quality accountability remain with our human engineers throughout.</w:t>
      </w:r>
    </w:p>
    <w:p>
      <w:pPr>
        <w:pStyle w:val="Heading3"/>
        <w:spacing w:before="160" w:after="60"/>
      </w:pPr>
      <w:r>
        <w:rPr>
          <w:b/>
          <w:color w:val="2E75B6"/>
          <w:sz w:val="23"/>
        </w:rPr>
        <w:t>Toolchain</w:t>
      </w:r>
    </w:p>
    <w:p>
      <w:pPr>
        <w:spacing w:after="120" w:line="259" w:lineRule="auto"/>
      </w:pPr>
      <w:r>
        <w:rPr>
          <w:b w:val="0"/>
          <w:i w:val="0"/>
        </w:rPr>
        <w:t>Two primary AI tools are used: Claude (Anthropic) and Antigravity. Neither is used exclusively — the right tool is selected per task.</w:t>
      </w:r>
    </w:p>
    <w:p>
      <w:pPr>
        <w:spacing w:after="120" w:line="259" w:lineRule="auto"/>
      </w:pPr>
      <w:r>
        <w:rPr>
          <w:b w:val="0"/>
          <w:i w:val="0"/>
        </w:rPr>
        <w:t>Claude is used across the full development lifecycle: architecture reasoning, code generation, code review, test execution, documentation generation, and debugging. Claude is particularly effective for tasks requiring extended reasoning across multiple files or domains simultaneously — well-suited to the TAIS multi-service architecture where changes in one service have implications across others.</w:t>
      </w:r>
    </w:p>
    <w:p>
      <w:pPr>
        <w:spacing w:after="120" w:line="259" w:lineRule="auto"/>
      </w:pPr>
      <w:r>
        <w:rPr>
          <w:b w:val="0"/>
          <w:i w:val="0"/>
        </w:rPr>
        <w:t>Antigravity is used for rapid implementation of well-specified components, iterating quickly on implementation details within bounded scope, and generating boilerplate and structural code at speed. In practice, both tools are used together within the same development workflow — Antigravity for initial generation, Claude for review and test execution.</w:t>
      </w:r>
    </w:p>
    <w:p>
      <w:pPr>
        <w:pStyle w:val="Heading3"/>
        <w:spacing w:before="160" w:after="60"/>
      </w:pPr>
      <w:r>
        <w:rPr>
          <w:b/>
          <w:color w:val="2E75B6"/>
          <w:sz w:val="23"/>
        </w:rPr>
        <w:t>Knowledge Management — Obsidian</w:t>
      </w:r>
    </w:p>
    <w:p>
      <w:pPr>
        <w:spacing w:after="120" w:line="259" w:lineRule="auto"/>
      </w:pPr>
      <w:r>
        <w:rPr>
          <w:b w:val="0"/>
          <w:i w:val="0"/>
        </w:rPr>
        <w:t>All project knowledge — architecture decisions, domain specifications, API contracts, data schemas, and integration notes — is maintained in Obsidian as structured Markdown files organised by domain and module. When a developer begins a task, they pull the relevant Obsidian documents into their AI session as context. This ensures the AI tool operates within the full context of the platform’s design decisions, not just the immediate file being edited. Session summaries are written back to Obsidian after each significant session, keeping the knowledge base current throughout the project.</w:t>
      </w:r>
    </w:p>
    <w:p>
      <w:pPr>
        <w:pStyle w:val="Heading3"/>
        <w:spacing w:before="160" w:after="60"/>
      </w:pPr>
      <w:r>
        <w:rPr>
          <w:b/>
          <w:color w:val="2E75B6"/>
          <w:sz w:val="23"/>
        </w:rPr>
        <w:t>What AI Assists With / What Humans Own</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Category</w:t>
            </w:r>
          </w:p>
        </w:tc>
        <w:tc>
          <w:tcPr>
            <w:tcW w:type="dxa" w:w="4824"/>
            <w:shd w:val="clear" w:fill="1F3864"/>
          </w:tcPr>
          <w:p>
            <w:pPr>
              <w:spacing w:after="20" w:before="20"/>
            </w:pPr>
            <w:r/>
            <w:r>
              <w:rPr>
                <w:b/>
                <w:i w:val="0"/>
                <w:color w:val="FFFFFF"/>
                <w:sz w:val="19"/>
              </w:rPr>
              <w:t>What Falls Here</w:t>
            </w:r>
          </w:p>
        </w:tc>
      </w:tr>
      <w:tr>
        <w:tc>
          <w:tcPr>
            <w:tcW w:type="dxa" w:w="4824"/>
          </w:tcPr>
          <w:p>
            <w:pPr>
              <w:spacing w:after="20" w:before="20"/>
            </w:pPr>
            <w:r/>
            <w:r>
              <w:rPr>
                <w:b w:val="0"/>
                <w:i w:val="0"/>
                <w:sz w:val="19"/>
              </w:rPr>
              <w:t>AI-assisted (with human review)</w:t>
            </w:r>
          </w:p>
        </w:tc>
        <w:tc>
          <w:tcPr>
            <w:tcW w:type="dxa" w:w="4824"/>
          </w:tcPr>
          <w:p>
            <w:pPr>
              <w:spacing w:after="20" w:before="20"/>
            </w:pPr>
            <w:r/>
            <w:r>
              <w:rPr>
                <w:b w:val="0"/>
                <w:i w:val="0"/>
                <w:sz w:val="19"/>
              </w:rPr>
              <w:t>Standard CRUD service implementation, boilerplate code generation, test suite generation from specifications, documentation from implementation, refactoring for consistency, SQL query optimisation, API handler scaffolding</w:t>
            </w:r>
          </w:p>
        </w:tc>
      </w:tr>
      <w:tr>
        <w:tc>
          <w:tcPr>
            <w:tcW w:type="dxa" w:w="4824"/>
            <w:shd w:val="clear" w:fill="EEF3F8"/>
          </w:tcPr>
          <w:p>
            <w:pPr>
              <w:spacing w:after="20" w:before="20"/>
            </w:pPr>
            <w:r/>
            <w:r>
              <w:rPr>
                <w:b w:val="0"/>
                <w:i w:val="0"/>
                <w:sz w:val="19"/>
              </w:rPr>
              <w:t>Human-led (AI assists, humans decide)</w:t>
            </w:r>
          </w:p>
        </w:tc>
        <w:tc>
          <w:tcPr>
            <w:tcW w:type="dxa" w:w="4824"/>
            <w:shd w:val="clear" w:fill="EEF3F8"/>
          </w:tcPr>
          <w:p>
            <w:pPr>
              <w:spacing w:after="20" w:before="20"/>
            </w:pPr>
            <w:r/>
            <w:r>
              <w:rPr>
                <w:b w:val="0"/>
                <w:i w:val="0"/>
                <w:sz w:val="19"/>
              </w:rPr>
              <w:t>Financial calculation logic (.NET Finance Service), cryptographic implementations (ticket signing), security controls implementation, RBAC enforcement logic, PII masking and data protection controls, all integration-layer business logic</w:t>
            </w:r>
          </w:p>
        </w:tc>
      </w:tr>
      <w:tr>
        <w:tc>
          <w:tcPr>
            <w:tcW w:type="dxa" w:w="4824"/>
          </w:tcPr>
          <w:p>
            <w:pPr>
              <w:spacing w:after="20" w:before="20"/>
            </w:pPr>
            <w:r/>
            <w:r>
              <w:rPr>
                <w:b w:val="0"/>
                <w:i w:val="0"/>
                <w:sz w:val="19"/>
              </w:rPr>
              <w:t>Human-only</w:t>
            </w:r>
          </w:p>
        </w:tc>
        <w:tc>
          <w:tcPr>
            <w:tcW w:type="dxa" w:w="4824"/>
          </w:tcPr>
          <w:p>
            <w:pPr>
              <w:spacing w:after="20" w:before="20"/>
            </w:pPr>
            <w:r/>
            <w:r>
              <w:rPr>
                <w:b w:val="0"/>
                <w:i w:val="0"/>
                <w:sz w:val="19"/>
              </w:rPr>
              <w:t>Architecture decisions, security design, performance design choices, database schema design for financial entities, code review approval, milestone sign-off</w:t>
            </w:r>
          </w:p>
        </w:tc>
      </w:tr>
    </w:tbl>
    <w:p>
      <w:pPr>
        <w:spacing w:after="40"/>
      </w:pP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pPr>
              <w:spacing w:after="20" w:before="20"/>
            </w:pPr>
            <w:r/>
            <w:r>
              <w:rPr>
                <w:b/>
                <w:i w:val="0"/>
                <w:color w:val="FFFFFF"/>
                <w:sz w:val="19"/>
              </w:rPr>
              <w:t>Quality Control</w:t>
            </w:r>
          </w:p>
        </w:tc>
        <w:tc>
          <w:tcPr>
            <w:tcW w:type="dxa" w:w="4824"/>
            <w:shd w:val="clear" w:fill="1F3864"/>
          </w:tcPr>
          <w:p>
            <w:pPr>
              <w:spacing w:after="20" w:before="20"/>
            </w:pPr>
            <w:r/>
            <w:r>
              <w:rPr>
                <w:b/>
                <w:i w:val="0"/>
                <w:color w:val="FFFFFF"/>
                <w:sz w:val="19"/>
              </w:rPr>
              <w:t>Standard</w:t>
            </w:r>
          </w:p>
        </w:tc>
      </w:tr>
      <w:tr>
        <w:tc>
          <w:tcPr>
            <w:tcW w:type="dxa" w:w="4824"/>
          </w:tcPr>
          <w:p>
            <w:pPr>
              <w:spacing w:after="20" w:before="20"/>
            </w:pPr>
            <w:r/>
            <w:r>
              <w:rPr>
                <w:b w:val="0"/>
                <w:i w:val="0"/>
                <w:sz w:val="19"/>
              </w:rPr>
              <w:t>Financial and security code</w:t>
            </w:r>
          </w:p>
        </w:tc>
        <w:tc>
          <w:tcPr>
            <w:tcW w:type="dxa" w:w="4824"/>
          </w:tcPr>
          <w:p>
            <w:pPr>
              <w:spacing w:after="20" w:before="20"/>
            </w:pPr>
            <w:r/>
            <w:r>
              <w:rPr>
                <w:b w:val="0"/>
                <w:i w:val="0"/>
                <w:sz w:val="19"/>
              </w:rPr>
              <w:t>90% coverage minimum (enforced in CI/CD)</w:t>
            </w:r>
          </w:p>
        </w:tc>
      </w:tr>
      <w:tr>
        <w:tc>
          <w:tcPr>
            <w:tcW w:type="dxa" w:w="4824"/>
            <w:shd w:val="clear" w:fill="EEF3F8"/>
          </w:tcPr>
          <w:p>
            <w:pPr>
              <w:spacing w:after="20" w:before="20"/>
            </w:pPr>
            <w:r/>
            <w:r>
              <w:rPr>
                <w:b w:val="0"/>
                <w:i w:val="0"/>
                <w:sz w:val="19"/>
              </w:rPr>
              <w:t>All other service code</w:t>
            </w:r>
          </w:p>
        </w:tc>
        <w:tc>
          <w:tcPr>
            <w:tcW w:type="dxa" w:w="4824"/>
            <w:shd w:val="clear" w:fill="EEF3F8"/>
          </w:tcPr>
          <w:p>
            <w:pPr>
              <w:spacing w:after="20" w:before="20"/>
            </w:pPr>
            <w:r/>
            <w:r>
              <w:rPr>
                <w:b w:val="0"/>
                <w:i w:val="0"/>
                <w:sz w:val="19"/>
              </w:rPr>
              <w:t>80% coverage minimum (enforced in CI/CD)</w:t>
            </w:r>
          </w:p>
        </w:tc>
      </w:tr>
      <w:tr>
        <w:tc>
          <w:tcPr>
            <w:tcW w:type="dxa" w:w="4824"/>
          </w:tcPr>
          <w:p>
            <w:pPr>
              <w:spacing w:after="20" w:before="20"/>
            </w:pPr>
            <w:r/>
            <w:r>
              <w:rPr>
                <w:b w:val="0"/>
                <w:i w:val="0"/>
                <w:sz w:val="19"/>
              </w:rPr>
              <w:t>AI-generated code declaration</w:t>
            </w:r>
          </w:p>
        </w:tc>
        <w:tc>
          <w:tcPr>
            <w:tcW w:type="dxa" w:w="4824"/>
          </w:tcPr>
          <w:p>
            <w:pPr>
              <w:spacing w:after="20" w:before="20"/>
            </w:pPr>
            <w:r/>
            <w:r>
              <w:rPr>
                <w:b w:val="0"/>
                <w:i w:val="0"/>
                <w:sz w:val="19"/>
              </w:rPr>
              <w:t>All pull requests include a declaration of AI tool usage — which code was AI-generated, reviewed, and tested</w:t>
            </w:r>
          </w:p>
        </w:tc>
      </w:tr>
      <w:tr>
        <w:tc>
          <w:tcPr>
            <w:tcW w:type="dxa" w:w="4824"/>
            <w:shd w:val="clear" w:fill="EEF3F8"/>
          </w:tcPr>
          <w:p>
            <w:pPr>
              <w:spacing w:after="20" w:before="20"/>
            </w:pPr>
            <w:r/>
            <w:r>
              <w:rPr>
                <w:b w:val="0"/>
                <w:i w:val="0"/>
                <w:sz w:val="19"/>
              </w:rPr>
              <w:t>SBOM per release</w:t>
            </w:r>
          </w:p>
        </w:tc>
        <w:tc>
          <w:tcPr>
            <w:tcW w:type="dxa" w:w="4824"/>
            <w:shd w:val="clear" w:fill="EEF3F8"/>
          </w:tcPr>
          <w:p>
            <w:pPr>
              <w:spacing w:after="20" w:before="20"/>
            </w:pPr>
            <w:r/>
            <w:r>
              <w:rPr>
                <w:b w:val="0"/>
                <w:i w:val="0"/>
                <w:sz w:val="19"/>
              </w:rPr>
              <w:t>Software Bill of Materials generated per release; open-source licensing report at handover</w:t>
            </w:r>
          </w:p>
        </w:tc>
      </w:tr>
    </w:tbl>
    <w:p>
      <w:pPr>
        <w:spacing w:after="40"/>
      </w:pPr>
    </w:p>
    <w:tbl>
      <w:tblPr>
        <w:tblStyle w:val="TableGrid"/>
        <w:tblW w:type="auto" w:w="0"/>
        <w:jc w:val="center"/>
        <w:tblLook w:firstColumn="1" w:firstRow="1" w:lastColumn="0" w:lastRow="0" w:noHBand="0" w:noVBand="1" w:val="04A0"/>
      </w:tblPr>
      <w:tblGrid>
        <w:gridCol w:w="9648"/>
      </w:tblGrid>
      <w:tr>
        <w:tc>
          <w:tcPr>
            <w:tcW w:type="dxa" w:w="9648"/>
            <w:shd w:val="clear" w:fill="1F3864"/>
          </w:tcPr>
          <w:p>
            <w:pPr>
              <w:spacing w:after="20" w:before="20"/>
            </w:pPr>
            <w:r/>
            <w:r>
              <w:rPr>
                <w:b/>
                <w:i w:val="0"/>
                <w:color w:val="FFFFFF"/>
                <w:sz w:val="19"/>
              </w:rPr>
              <w:t>The client benefits directly from AI-assisted development</w:t>
            </w:r>
            <w:r>
              <w:rPr>
                <w:b/>
                <w:i w:val="0"/>
                <w:color w:val="FFFFFF"/>
                <w:sz w:val="19"/>
              </w:rPr>
              <w:t xml:space="preserve"> Faster delivery cycles, higher code consistency across a large multi-domain codebase, and a team applying modern engineering practices. The AI-assisted methodology does not reduce quality — it raises the floor for consistency and the ceiling for delivery speed. Every line of AI-generated code is reviewed, tested, and owned by a named engineer before it reaches main branch.</w:t>
            </w:r>
          </w:p>
        </w:tc>
      </w:tr>
    </w:tbl>
    <w:p>
      <w:pPr>
        <w:spacing w:after="40"/>
      </w:pPr>
    </w:p>
    <w:p>
      <w:pPr>
        <w:spacing w:after="120" w:line="259" w:lineRule="auto"/>
      </w:pPr>
      <w:r>
        <w:rPr>
          <w:b w:val="0"/>
          <w:i w:val="0"/>
        </w:rPr>
        <w:t>Miracle Star Trading L.L.C. | Confidential | Page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