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Cs/>
          <w:b/>
        </w:rPr>
        <w:t xml:space="preserve">Dev02 Repository, Solution Structure &amp; Contract Pipeline</w:t>
      </w:r>
    </w:p>
    <w:p>
      <w:pPr>
        <w:pStyle w:val="BodyText"/>
      </w:pPr>
      <w:r>
        <w:rPr>
          <w:iCs/>
          <w:i/>
        </w:rPr>
        <w:t xml:space="preserve">Figure 2.1 — Contract Pipeline: OpenAPI as the Integration Seam Between Three Repositories</w:t>
      </w:r>
    </w:p>
    <w:p>
      <w:pPr>
        <w:pStyle w:val="SourceCode"/>
      </w:pPr>
      <w:r>
        <w:rPr>
          <w:rStyle w:val="VerbatimChar"/>
        </w:rPr>
        <w:t xml:space="preserve">graph LR</w:t>
      </w:r>
      <w:r>
        <w:br/>
      </w:r>
      <w:r>
        <w:rPr>
          <w:rStyle w:val="VerbatimChar"/>
        </w:rPr>
        <w:t xml:space="preserve">    subgraph BE["tais-backend"]</w:t>
      </w:r>
      <w:r>
        <w:br/>
      </w:r>
      <w:r>
        <w:rPr>
          <w:rStyle w:val="VerbatimChar"/>
        </w:rPr>
        <w:t xml:space="preserve">        SPEC[contracts/openapi/*.yaml]</w:t>
      </w:r>
      <w:r>
        <w:br/>
      </w:r>
      <w:r>
        <w:rPr>
          <w:rStyle w:val="VerbatimChar"/>
        </w:rPr>
        <w:t xml:space="preserve">        IMPL[Service implementation]</w:t>
      </w:r>
      <w:r>
        <w:br/>
      </w:r>
      <w:r>
        <w:rPr>
          <w:rStyle w:val="VerbatimChar"/>
        </w:rPr>
        <w:t xml:space="preserve">        CTEST[Contract tests]</w:t>
      </w:r>
      <w:r>
        <w:br/>
      </w:r>
      <w:r>
        <w:rPr>
          <w:rStyle w:val="VerbatimChar"/>
        </w:rPr>
        <w:t xml:space="preserve">    end</w:t>
      </w:r>
      <w:r>
        <w:br/>
      </w:r>
      <w:r>
        <w:rPr>
          <w:rStyle w:val="VerbatimChar"/>
        </w:rPr>
        <w:t xml:space="preserve">    subgraph CI["Backend CI"]</w:t>
      </w:r>
      <w:r>
        <w:br/>
      </w:r>
      <w:r>
        <w:rPr>
          <w:rStyle w:val="VerbatimChar"/>
        </w:rPr>
        <w:t xml:space="preserve">        LINT[Spec lint + breaking-change check]</w:t>
      </w:r>
      <w:r>
        <w:br/>
      </w:r>
      <w:r>
        <w:rPr>
          <w:rStyle w:val="VerbatimChar"/>
        </w:rPr>
        <w:t xml:space="preserve">        GEN[TypeScript client generation]</w:t>
      </w:r>
      <w:r>
        <w:br/>
      </w:r>
      <w:r>
        <w:rPr>
          <w:rStyle w:val="VerbatimChar"/>
        </w:rPr>
        <w:t xml:space="preserve">        PUB[Publish versioned package]</w:t>
      </w:r>
      <w:r>
        <w:br/>
      </w:r>
      <w:r>
        <w:rPr>
          <w:rStyle w:val="VerbatimChar"/>
        </w:rPr>
        <w:t xml:space="preserve">    end</w:t>
      </w:r>
      <w:r>
        <w:br/>
      </w:r>
      <w:r>
        <w:rPr>
          <w:rStyle w:val="VerbatimChar"/>
        </w:rPr>
        <w:t xml:space="preserve">    subgraph CONSUMERS["Consumers"]</w:t>
      </w:r>
      <w:r>
        <w:br/>
      </w:r>
      <w:r>
        <w:rPr>
          <w:rStyle w:val="VerbatimChar"/>
        </w:rPr>
        <w:t xml:space="preserve">        WEB[tais-web]</w:t>
      </w:r>
      <w:r>
        <w:br/>
      </w:r>
      <w:r>
        <w:rPr>
          <w:rStyle w:val="VerbatimChar"/>
        </w:rPr>
        <w:t xml:space="preserve">        EDGE[tais-edge]</w:t>
      </w:r>
      <w:r>
        <w:br/>
      </w:r>
      <w:r>
        <w:rPr>
          <w:rStyle w:val="VerbatimChar"/>
        </w:rPr>
        <w:t xml:space="preserve">    end</w:t>
      </w:r>
      <w:r>
        <w:br/>
      </w:r>
      <w:r>
        <w:rPr>
          <w:rStyle w:val="VerbatimChar"/>
        </w:rPr>
        <w:t xml:space="preserve">    SPEC --&gt; LINT --&gt; GEN --&gt; PUB</w:t>
      </w:r>
      <w:r>
        <w:br/>
      </w:r>
      <w:r>
        <w:rPr>
          <w:rStyle w:val="VerbatimChar"/>
        </w:rPr>
        <w:t xml:space="preserve">    SPEC -.governs.-&gt; IMPL</w:t>
      </w:r>
      <w:r>
        <w:br/>
      </w:r>
      <w:r>
        <w:rPr>
          <w:rStyle w:val="VerbatimChar"/>
        </w:rPr>
        <w:t xml:space="preserve">    CTEST -.verifies.-&gt; IMPL</w:t>
      </w:r>
      <w:r>
        <w:br/>
      </w:r>
      <w:r>
        <w:rPr>
          <w:rStyle w:val="VerbatimChar"/>
        </w:rPr>
        <w:t xml:space="preserve">    PUB --&gt; WEB</w:t>
      </w:r>
      <w:r>
        <w:br/>
      </w:r>
      <w:r>
        <w:rPr>
          <w:rStyle w:val="VerbatimChar"/>
        </w:rPr>
        <w:t xml:space="preserve">    PUB --&gt; EDGE</w:t>
      </w:r>
    </w:p>
    <w:bookmarkStart w:id="33" w:name="repository-and-solution-structure"/>
    <w:p>
      <w:pPr>
        <w:pStyle w:val="Heading1"/>
      </w:pPr>
      <w:r>
        <w:t xml:space="preserve">2. Repository and Solution Structure</w:t>
      </w:r>
    </w:p>
    <w:bookmarkStart w:id="20" w:name="overview"/>
    <w:p>
      <w:pPr>
        <w:pStyle w:val="Heading2"/>
      </w:pPr>
      <w:r>
        <w:t xml:space="preserve">2.1 Overview</w:t>
      </w:r>
    </w:p>
    <w:p>
      <w:pPr>
        <w:pStyle w:val="FirstParagraph"/>
      </w:pPr>
      <w:r>
        <w:t xml:space="preserve">TAIS is delivered from three repositories, aligned to the three engineering disciplines on the team. This document defines what lives where, how each repository is organised internally, and — most importantly — how the three stay synchronised without a monorepo.</w:t>
      </w:r>
    </w:p>
    <w:p>
      <w:pPr>
        <w:pStyle w:val="BodyText"/>
      </w:pPr>
      <w:r>
        <w:t xml:space="preserve">The last of those is the critical section. Three repositories plus three discipline teams is a structure that drifts silently unless the integration seam is mechanical. Section 2.6 defines that mechanism, and it is not optional.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Repository</w:t>
            </w:r>
          </w:p>
        </w:tc>
        <w:tc>
          <w:tcPr/>
          <w:p>
            <w:pPr>
              <w:pStyle w:val="Compact"/>
              <w:jc w:val="left"/>
            </w:pPr>
            <w:r>
              <w:t xml:space="preserve">Contents</w:t>
            </w:r>
          </w:p>
        </w:tc>
        <w:tc>
          <w:tcPr/>
          <w:p>
            <w:pPr>
              <w:pStyle w:val="Compact"/>
              <w:jc w:val="left"/>
            </w:pPr>
            <w:r>
              <w:t xml:space="preserve">Primary team</w:t>
            </w:r>
          </w:p>
        </w:tc>
      </w:tr>
      <w:tr>
        <w:tc>
          <w:tcPr/>
          <w:p>
            <w:pPr>
              <w:pStyle w:val="Compact"/>
              <w:jc w:val="left"/>
            </w:pPr>
            <w:r>
              <w:rPr>
                <w:rStyle w:val="VerbatimChar"/>
              </w:rPr>
              <w:t xml:space="preserve">tais-backend</w:t>
            </w:r>
          </w:p>
        </w:tc>
        <w:tc>
          <w:tcPr/>
          <w:p>
            <w:pPr>
              <w:pStyle w:val="Compact"/>
              <w:jc w:val="left"/>
            </w:pPr>
            <w:r>
              <w:t xml:space="preserve">.NET and Python services, API contracts, event schemas, infrastructure code, CI templates</w:t>
            </w:r>
          </w:p>
        </w:tc>
        <w:tc>
          <w:tcPr/>
          <w:p>
            <w:pPr>
              <w:pStyle w:val="Compact"/>
              <w:jc w:val="left"/>
            </w:pPr>
            <w:r>
              <w:t xml:space="preserve">BE1–BE4</w:t>
            </w:r>
          </w:p>
        </w:tc>
      </w:tr>
      <w:tr>
        <w:tc>
          <w:tcPr/>
          <w:p>
            <w:pPr>
              <w:pStyle w:val="Compact"/>
              <w:jc w:val="left"/>
            </w:pPr>
            <w:r>
              <w:rPr>
                <w:rStyle w:val="VerbatimChar"/>
              </w:rPr>
              <w:t xml:space="preserve">tais-web</w:t>
            </w:r>
          </w:p>
        </w:tc>
        <w:tc>
          <w:tcPr/>
          <w:p>
            <w:pPr>
              <w:pStyle w:val="Compact"/>
              <w:jc w:val="left"/>
            </w:pPr>
            <w:r>
              <w:t xml:space="preserve">React admin back-office, guest storefront, Operations Command Center, design system</w:t>
            </w:r>
          </w:p>
        </w:tc>
        <w:tc>
          <w:tcPr/>
          <w:p>
            <w:pPr>
              <w:pStyle w:val="Compact"/>
              <w:jc w:val="left"/>
            </w:pPr>
            <w:r>
              <w:t xml:space="preserve">FE</w:t>
            </w:r>
          </w:p>
        </w:tc>
      </w:tr>
      <w:tr>
        <w:tc>
          <w:tcPr/>
          <w:p>
            <w:pPr>
              <w:pStyle w:val="Compact"/>
              <w:jc w:val="left"/>
            </w:pPr>
            <w:r>
              <w:rPr>
                <w:rStyle w:val="VerbatimChar"/>
              </w:rPr>
              <w:t xml:space="preserve">tais-edge</w:t>
            </w:r>
          </w:p>
        </w:tc>
        <w:tc>
          <w:tcPr/>
          <w:p>
            <w:pPr>
              <w:pStyle w:val="Compact"/>
              <w:jc w:val="left"/>
            </w:pPr>
            <w:r>
              <w:t xml:space="preserve">POS thick clients, kiosk, staff and guest applications, offline engine, hardware layer</w:t>
            </w:r>
          </w:p>
        </w:tc>
        <w:tc>
          <w:tcPr/>
          <w:p>
            <w:pPr>
              <w:pStyle w:val="Compact"/>
              <w:jc w:val="left"/>
            </w:pPr>
            <w:r>
              <w:t xml:space="preserve">EDGE</w:t>
            </w:r>
          </w:p>
        </w:tc>
      </w:tr>
    </w:tbl>
    <w:p>
      <w:pPr>
        <w:pStyle w:val="BodyText"/>
      </w:pPr>
      <w:r>
        <w:t xml:space="preserve">Two structural decisions warrant explanation, because both are departures from the obvious arrangement.</w:t>
      </w:r>
    </w:p>
    <w:p>
      <w:pPr>
        <w:pStyle w:val="BodyText"/>
      </w:pPr>
      <w:r>
        <w:rPr>
          <w:bCs/>
          <w:b/>
        </w:rPr>
        <w:t xml:space="preserve">The edge repository is not named</w:t>
      </w:r>
      <w:r>
        <w:rPr>
          <w:bCs/>
          <w:b/>
        </w:rPr>
        <w:t xml:space="preserve"> </w:t>
      </w:r>
      <w:r>
        <w:rPr>
          <w:rStyle w:val="VerbatimChar"/>
          <w:bCs/>
          <w:b/>
        </w:rPr>
        <w:t xml:space="preserve">tais-mobile</w:t>
      </w:r>
      <w:r>
        <w:rPr>
          <w:bCs/>
          <w:b/>
        </w:rPr>
        <w:t xml:space="preserve">.</w:t>
      </w:r>
      <w:r>
        <w:t xml:space="preserve"> </w:t>
      </w:r>
      <w:r>
        <w:t xml:space="preserve">It contains an Electron desktop application for Windows POS hardware and kiosk builds alongside the React Native applications. Naming it</w:t>
      </w:r>
      <w:r>
        <w:t xml:space="preserve"> </w:t>
      </w:r>
      <w:r>
        <w:rPr>
          <w:rStyle w:val="VerbatimChar"/>
        </w:rPr>
        <w:t xml:space="preserve">mobile</w:t>
      </w:r>
      <w:r>
        <w:t xml:space="preserve"> </w:t>
      </w:r>
      <w:r>
        <w:t xml:space="preserve">would cause Windows POS work to be filed against the wrong repository within months. The name follows the platform’s own framing: cloud services, venue edge.</w:t>
      </w:r>
    </w:p>
    <w:p>
      <w:pPr>
        <w:pStyle w:val="BodyText"/>
      </w:pPr>
      <w:r>
        <w:rPr>
          <w:bCs/>
          <w:b/>
        </w:rPr>
        <w:t xml:space="preserve">Contracts and infrastructure live inside</w:t>
      </w:r>
      <w:r>
        <w:rPr>
          <w:bCs/>
          <w:b/>
        </w:rPr>
        <w:t xml:space="preserve"> </w:t>
      </w:r>
      <w:r>
        <w:rPr>
          <w:rStyle w:val="VerbatimChar"/>
          <w:bCs/>
          <w:b/>
        </w:rPr>
        <w:t xml:space="preserve">tais-backend</w:t>
      </w:r>
      <w:r>
        <w:rPr>
          <w:bCs/>
          <w:b/>
        </w:rPr>
        <w:t xml:space="preserve">, not in a fourth repository.</w:t>
      </w:r>
      <w:r>
        <w:t xml:space="preserve"> </w:t>
      </w:r>
      <w:r>
        <w:t xml:space="preserve">With three repositories and a team of ten, a dedicated contracts repository adds cross-repository review ceremony without adding isolation — the same isolation is achieved by publishing versioned packages. Placing infrastructure code beside the services it provisions also makes the backend team accountable for it by default, which matters while platform operations has no dedicated owner.</w:t>
      </w:r>
    </w:p>
    <w:bookmarkEnd w:id="20"/>
    <w:bookmarkStart w:id="21" w:name="tais-backend"/>
    <w:p>
      <w:pPr>
        <w:pStyle w:val="Heading2"/>
      </w:pPr>
      <w:r>
        <w:t xml:space="preserve">2.2 tais-backend</w:t>
      </w:r>
    </w:p>
    <w:p>
      <w:pPr>
        <w:pStyle w:val="SourceCode"/>
      </w:pPr>
      <w:r>
        <w:rPr>
          <w:rStyle w:val="VerbatimChar"/>
        </w:rPr>
        <w:t xml:space="preserve">tais-backend/</w:t>
      </w:r>
      <w:r>
        <w:br/>
      </w:r>
      <w:r>
        <w:rPr>
          <w:rStyle w:val="VerbatimChar"/>
        </w:rPr>
        <w:t xml:space="preserve">├── services/                    # .NET 8 service groups</w:t>
      </w:r>
      <w:r>
        <w:br/>
      </w:r>
      <w:r>
        <w:rPr>
          <w:rStyle w:val="VerbatimChar"/>
        </w:rPr>
        <w:t xml:space="preserve">│   ├── Tais.Identity/</w:t>
      </w:r>
      <w:r>
        <w:br/>
      </w:r>
      <w:r>
        <w:rPr>
          <w:rStyle w:val="VerbatimChar"/>
        </w:rPr>
        <w:t xml:space="preserve">│   ├── Tais.Tenant/</w:t>
      </w:r>
      <w:r>
        <w:br/>
      </w:r>
      <w:r>
        <w:rPr>
          <w:rStyle w:val="VerbatimChar"/>
        </w:rPr>
        <w:t xml:space="preserve">│   ├── Tais.Ticketing/</w:t>
      </w:r>
      <w:r>
        <w:br/>
      </w:r>
      <w:r>
        <w:rPr>
          <w:rStyle w:val="VerbatimChar"/>
        </w:rPr>
        <w:t xml:space="preserve">│   ├── Tais.Commerce/</w:t>
      </w:r>
      <w:r>
        <w:br/>
      </w:r>
      <w:r>
        <w:rPr>
          <w:rStyle w:val="VerbatimChar"/>
        </w:rPr>
        <w:t xml:space="preserve">│   ├── Tais.Events/</w:t>
      </w:r>
      <w:r>
        <w:br/>
      </w:r>
      <w:r>
        <w:rPr>
          <w:rStyle w:val="VerbatimChar"/>
        </w:rPr>
        <w:t xml:space="preserve">│   ├── Tais.Finance/</w:t>
      </w:r>
      <w:r>
        <w:br/>
      </w:r>
      <w:r>
        <w:rPr>
          <w:rStyle w:val="VerbatimChar"/>
        </w:rPr>
        <w:t xml:space="preserve">│   ├── Tais.Pos/</w:t>
      </w:r>
      <w:r>
        <w:br/>
      </w:r>
      <w:r>
        <w:rPr>
          <w:rStyle w:val="VerbatimChar"/>
        </w:rPr>
        <w:t xml:space="preserve">│   ├── Tais.Marketing/</w:t>
      </w:r>
      <w:r>
        <w:br/>
      </w:r>
      <w:r>
        <w:rPr>
          <w:rStyle w:val="VerbatimChar"/>
        </w:rPr>
        <w:t xml:space="preserve">│   ├── Tais.Notification/</w:t>
      </w:r>
      <w:r>
        <w:br/>
      </w:r>
      <w:r>
        <w:rPr>
          <w:rStyle w:val="VerbatimChar"/>
        </w:rPr>
        <w:t xml:space="preserve">│   └── Tais.Integration/</w:t>
      </w:r>
      <w:r>
        <w:br/>
      </w:r>
      <w:r>
        <w:rPr>
          <w:rStyle w:val="VerbatimChar"/>
        </w:rPr>
        <w:t xml:space="preserve">├── services-py/                 # Python / FastAPI services</w:t>
      </w:r>
      <w:r>
        <w:br/>
      </w:r>
      <w:r>
        <w:rPr>
          <w:rStyle w:val="VerbatimChar"/>
        </w:rPr>
        <w:t xml:space="preserve">│   ├── tais_ai/</w:t>
      </w:r>
      <w:r>
        <w:br/>
      </w:r>
      <w:r>
        <w:rPr>
          <w:rStyle w:val="VerbatimChar"/>
        </w:rPr>
        <w:t xml:space="preserve">│   └── tais_operations/</w:t>
      </w:r>
      <w:r>
        <w:br/>
      </w:r>
      <w:r>
        <w:rPr>
          <w:rStyle w:val="VerbatimChar"/>
        </w:rPr>
        <w:t xml:space="preserve">├── shared/</w:t>
      </w:r>
      <w:r>
        <w:br/>
      </w:r>
      <w:r>
        <w:rPr>
          <w:rStyle w:val="VerbatimChar"/>
        </w:rPr>
        <w:t xml:space="preserve">│   ├── Tais.Shared.Tenancy/     # Tenant context, RLS session management</w:t>
      </w:r>
      <w:r>
        <w:br/>
      </w:r>
      <w:r>
        <w:rPr>
          <w:rStyle w:val="VerbatimChar"/>
        </w:rPr>
        <w:t xml:space="preserve">│   ├── Tais.Shared.Messaging/   # Kafka envelope, producer/consumer base</w:t>
      </w:r>
      <w:r>
        <w:br/>
      </w:r>
      <w:r>
        <w:rPr>
          <w:rStyle w:val="VerbatimChar"/>
        </w:rPr>
        <w:t xml:space="preserve">│   ├── Tais.Shared.Http/        # Error contract, pagination, correlation</w:t>
      </w:r>
      <w:r>
        <w:br/>
      </w:r>
      <w:r>
        <w:rPr>
          <w:rStyle w:val="VerbatimChar"/>
        </w:rPr>
        <w:t xml:space="preserve">│   └── tais_shared_py/</w:t>
      </w:r>
      <w:r>
        <w:br/>
      </w:r>
      <w:r>
        <w:rPr>
          <w:rStyle w:val="VerbatimChar"/>
        </w:rPr>
        <w:t xml:space="preserve">├── contracts/</w:t>
      </w:r>
      <w:r>
        <w:br/>
      </w:r>
      <w:r>
        <w:rPr>
          <w:rStyle w:val="VerbatimChar"/>
        </w:rPr>
        <w:t xml:space="preserve">│   ├── openapi/                 # One specification per service — the gate artefact</w:t>
      </w:r>
      <w:r>
        <w:br/>
      </w:r>
      <w:r>
        <w:rPr>
          <w:rStyle w:val="VerbatimChar"/>
        </w:rPr>
        <w:t xml:space="preserve">│   ├── events/                  # Kafka topic and payload schemas</w:t>
      </w:r>
      <w:r>
        <w:br/>
      </w:r>
      <w:r>
        <w:rPr>
          <w:rStyle w:val="VerbatimChar"/>
        </w:rPr>
        <w:t xml:space="preserve">│   └── traceability.csv         # Requirement reference to module mapping</w:t>
      </w:r>
      <w:r>
        <w:br/>
      </w:r>
      <w:r>
        <w:rPr>
          <w:rStyle w:val="VerbatimChar"/>
        </w:rPr>
        <w:t xml:space="preserve">├── infra/</w:t>
      </w:r>
      <w:r>
        <w:br/>
      </w:r>
      <w:r>
        <w:rPr>
          <w:rStyle w:val="VerbatimChar"/>
        </w:rPr>
        <w:t xml:space="preserve">│   ├── terraform/               # Three-environment provisioning</w:t>
      </w:r>
      <w:r>
        <w:br/>
      </w:r>
      <w:r>
        <w:rPr>
          <w:rStyle w:val="VerbatimChar"/>
        </w:rPr>
        <w:t xml:space="preserve">│   ├── k8s/                     # Helm charts</w:t>
      </w:r>
      <w:r>
        <w:br/>
      </w:r>
      <w:r>
        <w:rPr>
          <w:rStyle w:val="VerbatimChar"/>
        </w:rPr>
        <w:t xml:space="preserve">│   └── compose/                 # Local development stack</w:t>
      </w:r>
      <w:r>
        <w:br/>
      </w:r>
      <w:r>
        <w:rPr>
          <w:rStyle w:val="VerbatimChar"/>
        </w:rPr>
        <w:t xml:space="preserve">├── build/                       # Shared CI pipeline templates</w:t>
      </w:r>
      <w:r>
        <w:br/>
      </w:r>
      <w:r>
        <w:rPr>
          <w:rStyle w:val="VerbatimChar"/>
        </w:rPr>
        <w:t xml:space="preserve">├── tests/</w:t>
      </w:r>
      <w:r>
        <w:br/>
      </w:r>
      <w:r>
        <w:rPr>
          <w:rStyle w:val="VerbatimChar"/>
        </w:rPr>
        <w:t xml:space="preserve">│   ├── contract/                # Specification conformance</w:t>
      </w:r>
      <w:r>
        <w:br/>
      </w:r>
      <w:r>
        <w:rPr>
          <w:rStyle w:val="VerbatimChar"/>
        </w:rPr>
        <w:t xml:space="preserve">│   └── integration/</w:t>
      </w:r>
      <w:r>
        <w:br/>
      </w:r>
      <w:r>
        <w:rPr>
          <w:rStyle w:val="VerbatimChar"/>
        </w:rPr>
        <w:t xml:space="preserve">└── Tais.sln</w:t>
      </w:r>
    </w:p>
    <w:p>
      <w:pPr>
        <w:pStyle w:val="FirstParagraph"/>
      </w:pPr>
      <w:r>
        <w:t xml:space="preserve">Each service group is a self-contained .NET solution folder with four projects:</w:t>
      </w:r>
      <w:r>
        <w:t xml:space="preserve"> </w:t>
      </w:r>
      <w:r>
        <w:rPr>
          <w:rStyle w:val="VerbatimChar"/>
        </w:rPr>
        <w:t xml:space="preserve">Api</w:t>
      </w:r>
      <w:r>
        <w:t xml:space="preserve">,</w:t>
      </w:r>
      <w:r>
        <w:t xml:space="preserve"> </w:t>
      </w:r>
      <w:r>
        <w:rPr>
          <w:rStyle w:val="VerbatimChar"/>
        </w:rPr>
        <w:t xml:space="preserve">Application</w:t>
      </w:r>
      <w:r>
        <w:t xml:space="preserve">,</w:t>
      </w:r>
      <w:r>
        <w:t xml:space="preserve"> </w:t>
      </w:r>
      <w:r>
        <w:rPr>
          <w:rStyle w:val="VerbatimChar"/>
        </w:rPr>
        <w:t xml:space="preserve">Domain</w:t>
      </w:r>
      <w:r>
        <w:t xml:space="preserve">, and</w:t>
      </w:r>
      <w:r>
        <w:t xml:space="preserve"> </w:t>
      </w:r>
      <w:r>
        <w:rPr>
          <w:rStyle w:val="VerbatimChar"/>
        </w:rPr>
        <w:t xml:space="preserve">Infrastructure</w:t>
      </w:r>
      <w:r>
        <w:t xml:space="preserve">. Namespaces follow the folder path exactly —</w:t>
      </w:r>
      <w:r>
        <w:t xml:space="preserve"> </w:t>
      </w:r>
      <w:r>
        <w:rPr>
          <w:rStyle w:val="VerbatimChar"/>
        </w:rPr>
        <w:t xml:space="preserve">Tais.Ticketing.Application.Commands</w:t>
      </w:r>
      <w:r>
        <w:t xml:space="preserve">. Python services follow the equivalent structure with</w:t>
      </w:r>
      <w:r>
        <w:t xml:space="preserve"> </w:t>
      </w:r>
      <w:r>
        <w:rPr>
          <w:rStyle w:val="VerbatimChar"/>
        </w:rPr>
        <w:t xml:space="preserve">api</w:t>
      </w:r>
      <w:r>
        <w:t xml:space="preserve">,</w:t>
      </w:r>
      <w:r>
        <w:t xml:space="preserve"> </w:t>
      </w:r>
      <w:r>
        <w:rPr>
          <w:rStyle w:val="VerbatimChar"/>
        </w:rPr>
        <w:t xml:space="preserve">application</w:t>
      </w:r>
      <w:r>
        <w:t xml:space="preserve">,</w:t>
      </w:r>
      <w:r>
        <w:t xml:space="preserve"> </w:t>
      </w:r>
      <w:r>
        <w:rPr>
          <w:rStyle w:val="VerbatimChar"/>
        </w:rPr>
        <w:t xml:space="preserve">domain</w:t>
      </w:r>
      <w:r>
        <w:t xml:space="preserve">, and</w:t>
      </w:r>
      <w:r>
        <w:t xml:space="preserve"> </w:t>
      </w:r>
      <w:r>
        <w:rPr>
          <w:rStyle w:val="VerbatimChar"/>
        </w:rPr>
        <w:t xml:space="preserve">infrastructure</w:t>
      </w:r>
      <w:r>
        <w:t xml:space="preserve"> </w:t>
      </w:r>
      <w:r>
        <w:t xml:space="preserve">packages.</w:t>
      </w:r>
    </w:p>
    <w:p>
      <w:pPr>
        <w:pStyle w:val="BodyText"/>
      </w:pPr>
      <w:r>
        <w:rPr>
          <w:bCs/>
          <w:b/>
        </w:rPr>
        <w:t xml:space="preserve">No service references another service’s projects.</w:t>
      </w:r>
      <w:r>
        <w:t xml:space="preserve"> </w:t>
      </w:r>
      <w:r>
        <w:t xml:space="preserve">Cross-service communication is over HTTP against the published contract or over Kafka against the published event schema. A project reference across service boundaries is a build failure, enforced by an architecture test in</w:t>
      </w:r>
      <w:r>
        <w:t xml:space="preserve"> </w:t>
      </w:r>
      <w:r>
        <w:rPr>
          <w:rStyle w:val="VerbatimChar"/>
        </w:rPr>
        <w:t xml:space="preserve">tests/</w:t>
      </w:r>
      <w:r>
        <w:t xml:space="preserve">.</w:t>
      </w:r>
    </w:p>
    <w:bookmarkEnd w:id="21"/>
    <w:bookmarkStart w:id="22" w:name="tais-web"/>
    <w:p>
      <w:pPr>
        <w:pStyle w:val="Heading2"/>
      </w:pPr>
      <w:r>
        <w:t xml:space="preserve">2.3 tais-web</w:t>
      </w:r>
    </w:p>
    <w:p>
      <w:pPr>
        <w:pStyle w:val="SourceCode"/>
      </w:pPr>
      <w:r>
        <w:rPr>
          <w:rStyle w:val="VerbatimChar"/>
        </w:rPr>
        <w:t xml:space="preserve">tais-web/</w:t>
      </w:r>
      <w:r>
        <w:br/>
      </w:r>
      <w:r>
        <w:rPr>
          <w:rStyle w:val="VerbatimChar"/>
        </w:rPr>
        <w:t xml:space="preserve">├── apps/</w:t>
      </w:r>
      <w:r>
        <w:br/>
      </w:r>
      <w:r>
        <w:rPr>
          <w:rStyle w:val="VerbatimChar"/>
        </w:rPr>
        <w:t xml:space="preserve">│   ├── admin/                   # Back-office across all twelve domains</w:t>
      </w:r>
      <w:r>
        <w:br/>
      </w:r>
      <w:r>
        <w:rPr>
          <w:rStyle w:val="VerbatimChar"/>
        </w:rPr>
        <w:t xml:space="preserve">│   ├── storefront/              # Guest web commerce</w:t>
      </w:r>
      <w:r>
        <w:br/>
      </w:r>
      <w:r>
        <w:rPr>
          <w:rStyle w:val="VerbatimChar"/>
        </w:rPr>
        <w:t xml:space="preserve">│   └── command-center/          # Operations dashboards</w:t>
      </w:r>
      <w:r>
        <w:br/>
      </w:r>
      <w:r>
        <w:rPr>
          <w:rStyle w:val="VerbatimChar"/>
        </w:rPr>
        <w:t xml:space="preserve">├── packages/</w:t>
      </w:r>
      <w:r>
        <w:br/>
      </w:r>
      <w:r>
        <w:rPr>
          <w:rStyle w:val="VerbatimChar"/>
        </w:rPr>
        <w:t xml:space="preserve">│   ├── ui/                      # Design system — the only source of components</w:t>
      </w:r>
      <w:r>
        <w:br/>
      </w:r>
      <w:r>
        <w:rPr>
          <w:rStyle w:val="VerbatimChar"/>
        </w:rPr>
        <w:t xml:space="preserve">│   ├── api-client/              # Generated; never hand-edited</w:t>
      </w:r>
      <w:r>
        <w:br/>
      </w:r>
      <w:r>
        <w:rPr>
          <w:rStyle w:val="VerbatimChar"/>
        </w:rPr>
        <w:t xml:space="preserve">│   ├── auth/                    # Token handling, tenant context, route guards</w:t>
      </w:r>
      <w:r>
        <w:br/>
      </w:r>
      <w:r>
        <w:rPr>
          <w:rStyle w:val="VerbatimChar"/>
        </w:rPr>
        <w:t xml:space="preserve">│   └── config/                  # Shared lint, TypeScript and build configuration</w:t>
      </w:r>
      <w:r>
        <w:br/>
      </w:r>
      <w:r>
        <w:rPr>
          <w:rStyle w:val="VerbatimChar"/>
        </w:rPr>
        <w:t xml:space="preserve">└── package.json</w:t>
      </w:r>
    </w:p>
    <w:p>
      <w:pPr>
        <w:pStyle w:val="FirstParagraph"/>
      </w:pPr>
      <w:r>
        <w:t xml:space="preserve">The three applications share the design system and the generated client. They do not import from one another. A component needed by two applications is promoted into</w:t>
      </w:r>
      <w:r>
        <w:t xml:space="preserve"> </w:t>
      </w:r>
      <w:r>
        <w:rPr>
          <w:rStyle w:val="VerbatimChar"/>
        </w:rPr>
        <w:t xml:space="preserve">packages/ui</w:t>
      </w:r>
      <w:r>
        <w:t xml:space="preserve"> </w:t>
      </w:r>
      <w:r>
        <w:t xml:space="preserve">rather than copied.</w:t>
      </w:r>
    </w:p>
    <w:p>
      <w:pPr>
        <w:pStyle w:val="BodyText"/>
      </w:pPr>
      <w:r>
        <w:t xml:space="preserve">The Operations Command Center is a separate application rather than a route within admin, because its runtime profile differs sharply: it is a long-lived dashboard consuming live data streams, typically displayed unattended on venue screens, and its bundle and reconnection behaviour should not be constrained by the back-office application.</w:t>
      </w:r>
    </w:p>
    <w:bookmarkEnd w:id="22"/>
    <w:bookmarkStart w:id="23" w:name="tais-edge"/>
    <w:p>
      <w:pPr>
        <w:pStyle w:val="Heading2"/>
      </w:pPr>
      <w:r>
        <w:t xml:space="preserve">2.4 tais-edge</w:t>
      </w:r>
    </w:p>
    <w:p>
      <w:pPr>
        <w:pStyle w:val="SourceCode"/>
      </w:pPr>
      <w:r>
        <w:rPr>
          <w:rStyle w:val="VerbatimChar"/>
        </w:rPr>
        <w:t xml:space="preserve">tais-edge/</w:t>
      </w:r>
      <w:r>
        <w:br/>
      </w:r>
      <w:r>
        <w:rPr>
          <w:rStyle w:val="VerbatimChar"/>
        </w:rPr>
        <w:t xml:space="preserve">├── apps/</w:t>
      </w:r>
      <w:r>
        <w:br/>
      </w:r>
      <w:r>
        <w:rPr>
          <w:rStyle w:val="VerbatimChar"/>
        </w:rPr>
        <w:t xml:space="preserve">│   ├── pos-android/             # React Native shell</w:t>
      </w:r>
      <w:r>
        <w:br/>
      </w:r>
      <w:r>
        <w:rPr>
          <w:rStyle w:val="VerbatimChar"/>
        </w:rPr>
        <w:t xml:space="preserve">│   ├── pos-windows/             # Electron shell</w:t>
      </w:r>
      <w:r>
        <w:br/>
      </w:r>
      <w:r>
        <w:rPr>
          <w:rStyle w:val="VerbatimChar"/>
        </w:rPr>
        <w:t xml:space="preserve">│   ├── kiosk/                   # React Native, lockdown configuration</w:t>
      </w:r>
      <w:r>
        <w:br/>
      </w:r>
      <w:r>
        <w:rPr>
          <w:rStyle w:val="VerbatimChar"/>
        </w:rPr>
        <w:t xml:space="preserve">│   ├── staff/                   # React Native, Android first</w:t>
      </w:r>
      <w:r>
        <w:br/>
      </w:r>
      <w:r>
        <w:rPr>
          <w:rStyle w:val="VerbatimChar"/>
        </w:rPr>
        <w:t xml:space="preserve">│   └── guest/                   # React Native, iOS and Android</w:t>
      </w:r>
      <w:r>
        <w:br/>
      </w:r>
      <w:r>
        <w:rPr>
          <w:rStyle w:val="VerbatimChar"/>
        </w:rPr>
        <w:t xml:space="preserve">├── packages/</w:t>
      </w:r>
      <w:r>
        <w:br/>
      </w:r>
      <w:r>
        <w:rPr>
          <w:rStyle w:val="VerbatimChar"/>
        </w:rPr>
        <w:t xml:space="preserve">│   ├── pos-core/                # Business logic shared by both POS builds</w:t>
      </w:r>
      <w:r>
        <w:br/>
      </w:r>
      <w:r>
        <w:rPr>
          <w:rStyle w:val="VerbatimChar"/>
        </w:rPr>
        <w:t xml:space="preserve">│   ├── offline-engine/          # Event log, local store, sync sequencing, conflict resolution</w:t>
      </w:r>
      <w:r>
        <w:br/>
      </w:r>
      <w:r>
        <w:rPr>
          <w:rStyle w:val="VerbatimChar"/>
        </w:rPr>
        <w:t xml:space="preserve">│   ├── ticket-crypto/           # Signature verification, key rotation, used-ticket cache</w:t>
      </w:r>
      <w:r>
        <w:br/>
      </w:r>
      <w:r>
        <w:rPr>
          <w:rStyle w:val="VerbatimChar"/>
        </w:rPr>
        <w:t xml:space="preserve">│   ├── hardware/                # Device adapters and simulator harness</w:t>
      </w:r>
      <w:r>
        <w:br/>
      </w:r>
      <w:r>
        <w:rPr>
          <w:rStyle w:val="VerbatimChar"/>
        </w:rPr>
        <w:t xml:space="preserve">│   ├── ui/                      # Edge design system — large touch targets, high contrast</w:t>
      </w:r>
      <w:r>
        <w:br/>
      </w:r>
      <w:r>
        <w:rPr>
          <w:rStyle w:val="VerbatimChar"/>
        </w:rPr>
        <w:t xml:space="preserve">│   └── api-client/              # Generated; never hand-edited</w:t>
      </w:r>
      <w:r>
        <w:br/>
      </w:r>
      <w:r>
        <w:rPr>
          <w:rStyle w:val="VerbatimChar"/>
        </w:rPr>
        <w:t xml:space="preserve">└── package.json</w:t>
      </w:r>
    </w:p>
    <w:p>
      <w:pPr>
        <w:pStyle w:val="FirstParagraph"/>
      </w:pPr>
      <w:r>
        <w:rPr>
          <w:bCs/>
          <w:b/>
        </w:rPr>
        <w:t xml:space="preserve">The two POS applications are shells, not implementations.</w:t>
      </w:r>
      <w:r>
        <w:t xml:space="preserve"> </w:t>
      </w:r>
      <w:r>
        <w:rPr>
          <w:rStyle w:val="VerbatimChar"/>
        </w:rPr>
        <w:t xml:space="preserve">pos-android</w:t>
      </w:r>
      <w:r>
        <w:t xml:space="preserve"> </w:t>
      </w:r>
      <w:r>
        <w:t xml:space="preserve">and</w:t>
      </w:r>
      <w:r>
        <w:t xml:space="preserve"> </w:t>
      </w:r>
      <w:r>
        <w:rPr>
          <w:rStyle w:val="VerbatimChar"/>
        </w:rPr>
        <w:t xml:space="preserve">pos-windows</w:t>
      </w:r>
      <w:r>
        <w:t xml:space="preserve"> </w:t>
      </w:r>
      <w:r>
        <w:t xml:space="preserve">contain platform bootstrapping, native module registration, and packaging configuration. Every rule about pricing, discounting, cash handling, shift management, and synchronisation lives in</w:t>
      </w:r>
      <w:r>
        <w:t xml:space="preserve"> </w:t>
      </w:r>
      <w:r>
        <w:rPr>
          <w:rStyle w:val="VerbatimChar"/>
        </w:rPr>
        <w:t xml:space="preserve">pos-core</w:t>
      </w:r>
      <w:r>
        <w:t xml:space="preserve"> </w:t>
      </w:r>
      <w:r>
        <w:t xml:space="preserve">and</w:t>
      </w:r>
      <w:r>
        <w:t xml:space="preserve"> </w:t>
      </w:r>
      <w:r>
        <w:rPr>
          <w:rStyle w:val="VerbatimChar"/>
        </w:rPr>
        <w:t xml:space="preserve">offline-engine</w:t>
      </w:r>
      <w:r>
        <w:t xml:space="preserve">, which are platform-neutral TypeScript.</w:t>
      </w:r>
    </w:p>
    <w:p>
      <w:pPr>
        <w:pStyle w:val="BodyText"/>
      </w:pPr>
      <w:r>
        <w:t xml:space="preserve">This constraint is the difference between maintaining one POS product and two. It is not a style preference. A pull request that places business logic in either shell is rejected at review, regardless of how small the logic is.</w:t>
      </w:r>
    </w:p>
    <w:p>
      <w:pPr>
        <w:pStyle w:val="BodyText"/>
      </w:pPr>
      <w:r>
        <w:t xml:space="preserve">The</w:t>
      </w:r>
      <w:r>
        <w:t xml:space="preserve"> </w:t>
      </w:r>
      <w:r>
        <w:rPr>
          <w:rStyle w:val="VerbatimChar"/>
        </w:rPr>
        <w:t xml:space="preserve">hardware</w:t>
      </w:r>
      <w:r>
        <w:t xml:space="preserve"> </w:t>
      </w:r>
      <w:r>
        <w:t xml:space="preserve">package is equally significant. The delivery baseline includes sixteen hardware integration types — printers, scanners, RFID and NFC readers, turnstiles, cash drawers, customer displays, kitchen displays, biometric and facial readers. No engineer will have sixteen device types on their desk. Every device is therefore reached through an adapter interface with a corresponding simulator implementation, allowing the full POS flow to run and be tested with no physical hardware attached. Dev13b specifies the adapter contract and the consent controls required for biometric devices.</w:t>
      </w:r>
    </w:p>
    <w:bookmarkEnd w:id="23"/>
    <w:bookmarkStart w:id="24" w:name="naming-conventions"/>
    <w:p>
      <w:pPr>
        <w:pStyle w:val="Heading2"/>
      </w:pPr>
      <w:r>
        <w:t xml:space="preserve">2.5 Naming Conventions</w:t>
      </w:r>
    </w:p>
    <w:p>
      <w:pPr>
        <w:pStyle w:val="FirstParagraph"/>
      </w:pPr>
      <w:r>
        <w:t xml:space="preserve">Consistency here is what makes a codebase navigable by someone who did not write it — which, by Month 16, is the client’s internal team.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Artefact</w:t>
            </w:r>
          </w:p>
        </w:tc>
        <w:tc>
          <w:tcPr/>
          <w:p>
            <w:pPr>
              <w:pStyle w:val="Compact"/>
              <w:jc w:val="left"/>
            </w:pPr>
            <w:r>
              <w:t xml:space="preserve">Convention</w:t>
            </w:r>
          </w:p>
        </w:tc>
        <w:tc>
          <w:tcPr/>
          <w:p>
            <w:pPr>
              <w:pStyle w:val="Compact"/>
              <w:jc w:val="left"/>
            </w:pPr>
            <w:r>
              <w:t xml:space="preserve">Example</w:t>
            </w:r>
          </w:p>
        </w:tc>
      </w:tr>
      <w:tr>
        <w:tc>
          <w:tcPr/>
          <w:p>
            <w:pPr>
              <w:pStyle w:val="Compact"/>
              <w:jc w:val="left"/>
            </w:pPr>
            <w:r>
              <w:t xml:space="preserve">.NET project</w:t>
            </w:r>
          </w:p>
        </w:tc>
        <w:tc>
          <w:tcPr/>
          <w:p>
            <w:pPr>
              <w:pStyle w:val="Compact"/>
              <w:jc w:val="left"/>
            </w:pPr>
            <w:r>
              <w:rPr>
                <w:rStyle w:val="VerbatimChar"/>
              </w:rPr>
              <w:t xml:space="preserve">Tais.&lt;ServiceGroup&gt;.&lt;Layer&gt;</w:t>
            </w:r>
          </w:p>
        </w:tc>
        <w:tc>
          <w:tcPr/>
          <w:p>
            <w:pPr>
              <w:pStyle w:val="Compact"/>
              <w:jc w:val="left"/>
            </w:pPr>
            <w:r>
              <w:rPr>
                <w:rStyle w:val="VerbatimChar"/>
              </w:rPr>
              <w:t xml:space="preserve">Tais.Ticketing.Application</w:t>
            </w:r>
          </w:p>
        </w:tc>
      </w:tr>
      <w:tr>
        <w:tc>
          <w:tcPr/>
          <w:p>
            <w:pPr>
              <w:pStyle w:val="Compact"/>
              <w:jc w:val="left"/>
            </w:pPr>
            <w:r>
              <w:t xml:space="preserve">Python package</w:t>
            </w:r>
          </w:p>
        </w:tc>
        <w:tc>
          <w:tcPr/>
          <w:p>
            <w:pPr>
              <w:pStyle w:val="Compact"/>
              <w:jc w:val="left"/>
            </w:pPr>
            <w:r>
              <w:rPr>
                <w:rStyle w:val="VerbatimChar"/>
              </w:rPr>
              <w:t xml:space="preserve">tais_&lt;service_group&gt;</w:t>
            </w:r>
          </w:p>
        </w:tc>
        <w:tc>
          <w:tcPr/>
          <w:p>
            <w:pPr>
              <w:pStyle w:val="Compact"/>
              <w:jc w:val="left"/>
            </w:pPr>
            <w:r>
              <w:rPr>
                <w:rStyle w:val="VerbatimChar"/>
              </w:rPr>
              <w:t xml:space="preserve">tais_ai</w:t>
            </w:r>
          </w:p>
        </w:tc>
      </w:tr>
      <w:tr>
        <w:tc>
          <w:tcPr/>
          <w:p>
            <w:pPr>
              <w:pStyle w:val="Compact"/>
              <w:jc w:val="left"/>
            </w:pPr>
            <w:r>
              <w:t xml:space="preserve">Database schema</w:t>
            </w:r>
          </w:p>
        </w:tc>
        <w:tc>
          <w:tcPr/>
          <w:p>
            <w:pPr>
              <w:pStyle w:val="Compact"/>
              <w:jc w:val="left"/>
            </w:pPr>
            <w:r>
              <w:rPr>
                <w:rStyle w:val="VerbatimChar"/>
              </w:rPr>
              <w:t xml:space="preserve">&lt;service_group&gt;</w:t>
            </w:r>
            <w:r>
              <w:t xml:space="preserve"> </w:t>
            </w:r>
            <w:r>
              <w:t xml:space="preserve">lower snake case</w:t>
            </w:r>
          </w:p>
        </w:tc>
        <w:tc>
          <w:tcPr/>
          <w:p>
            <w:pPr>
              <w:pStyle w:val="Compact"/>
              <w:jc w:val="left"/>
            </w:pPr>
            <w:r>
              <w:rPr>
                <w:rStyle w:val="VerbatimChar"/>
              </w:rPr>
              <w:t xml:space="preserve">ticketing</w:t>
            </w:r>
          </w:p>
        </w:tc>
      </w:tr>
      <w:tr>
        <w:tc>
          <w:tcPr/>
          <w:p>
            <w:pPr>
              <w:pStyle w:val="Compact"/>
              <w:jc w:val="left"/>
            </w:pPr>
            <w:r>
              <w:t xml:space="preserve">Table</w:t>
            </w:r>
          </w:p>
        </w:tc>
        <w:tc>
          <w:tcPr/>
          <w:p>
            <w:pPr>
              <w:pStyle w:val="Compact"/>
              <w:jc w:val="left"/>
            </w:pPr>
            <w:r>
              <w:t xml:space="preserve">Plural, lower snake case</w:t>
            </w:r>
          </w:p>
        </w:tc>
        <w:tc>
          <w:tcPr/>
          <w:p>
            <w:pPr>
              <w:pStyle w:val="Compact"/>
              <w:jc w:val="left"/>
            </w:pPr>
            <w:r>
              <w:rPr>
                <w:rStyle w:val="VerbatimChar"/>
              </w:rPr>
              <w:t xml:space="preserve">ticket_types</w:t>
            </w:r>
          </w:p>
        </w:tc>
      </w:tr>
      <w:tr>
        <w:tc>
          <w:tcPr/>
          <w:p>
            <w:pPr>
              <w:pStyle w:val="Compact"/>
              <w:jc w:val="left"/>
            </w:pPr>
            <w:r>
              <w:t xml:space="preserve">Kafka topic</w:t>
            </w:r>
          </w:p>
        </w:tc>
        <w:tc>
          <w:tcPr/>
          <w:p>
            <w:pPr>
              <w:pStyle w:val="Compact"/>
              <w:jc w:val="left"/>
            </w:pPr>
            <w:r>
              <w:rPr>
                <w:rStyle w:val="VerbatimChar"/>
              </w:rPr>
              <w:t xml:space="preserve">tais.&lt;domain&gt;.&lt;entity&gt;.&lt;event&gt;.v&lt;n&gt;</w:t>
            </w:r>
          </w:p>
        </w:tc>
        <w:tc>
          <w:tcPr/>
          <w:p>
            <w:pPr>
              <w:pStyle w:val="Compact"/>
              <w:jc w:val="left"/>
            </w:pPr>
            <w:r>
              <w:rPr>
                <w:rStyle w:val="VerbatimChar"/>
              </w:rPr>
              <w:t xml:space="preserve">tais.commerce.order.placed.v1</w:t>
            </w:r>
          </w:p>
        </w:tc>
      </w:tr>
      <w:tr>
        <w:tc>
          <w:tcPr/>
          <w:p>
            <w:pPr>
              <w:pStyle w:val="Compact"/>
              <w:jc w:val="left"/>
            </w:pPr>
            <w:r>
              <w:t xml:space="preserve">OpenAPI file</w:t>
            </w:r>
          </w:p>
        </w:tc>
        <w:tc>
          <w:tcPr/>
          <w:p>
            <w:pPr>
              <w:pStyle w:val="Compact"/>
              <w:jc w:val="left"/>
            </w:pPr>
            <w:r>
              <w:rPr>
                <w:rStyle w:val="VerbatimChar"/>
              </w:rPr>
              <w:t xml:space="preserve">&lt;service-group&gt;.v&lt;major&gt;.yaml</w:t>
            </w:r>
          </w:p>
        </w:tc>
        <w:tc>
          <w:tcPr/>
          <w:p>
            <w:pPr>
              <w:pStyle w:val="Compact"/>
              <w:jc w:val="left"/>
            </w:pPr>
            <w:r>
              <w:rPr>
                <w:rStyle w:val="VerbatimChar"/>
              </w:rPr>
              <w:t xml:space="preserve">ticketing.v1.yaml</w:t>
            </w:r>
          </w:p>
        </w:tc>
      </w:tr>
      <w:tr>
        <w:tc>
          <w:tcPr/>
          <w:p>
            <w:pPr>
              <w:pStyle w:val="Compact"/>
              <w:jc w:val="left"/>
            </w:pPr>
            <w:r>
              <w:t xml:space="preserve">Generated package</w:t>
            </w:r>
          </w:p>
        </w:tc>
        <w:tc>
          <w:tcPr/>
          <w:p>
            <w:pPr>
              <w:pStyle w:val="Compact"/>
              <w:jc w:val="left"/>
            </w:pPr>
            <w:r>
              <w:rPr>
                <w:rStyle w:val="VerbatimChar"/>
              </w:rPr>
              <w:t xml:space="preserve">@tais/client-&lt;service-group&gt;</w:t>
            </w:r>
          </w:p>
        </w:tc>
        <w:tc>
          <w:tcPr/>
          <w:p>
            <w:pPr>
              <w:pStyle w:val="Compact"/>
              <w:jc w:val="left"/>
            </w:pPr>
            <w:r>
              <w:rPr>
                <w:rStyle w:val="VerbatimChar"/>
              </w:rPr>
              <w:t xml:space="preserve">@tais/client-ticketing</w:t>
            </w:r>
          </w:p>
        </w:tc>
      </w:tr>
      <w:tr>
        <w:tc>
          <w:tcPr/>
          <w:p>
            <w:pPr>
              <w:pStyle w:val="Compact"/>
              <w:jc w:val="left"/>
            </w:pPr>
            <w:r>
              <w:t xml:space="preserve">TypeScript package</w:t>
            </w:r>
          </w:p>
        </w:tc>
        <w:tc>
          <w:tcPr/>
          <w:p>
            <w:pPr>
              <w:pStyle w:val="Compact"/>
              <w:jc w:val="left"/>
            </w:pPr>
            <w:r>
              <w:rPr>
                <w:rStyle w:val="VerbatimChar"/>
              </w:rPr>
              <w:t xml:space="preserve">@tais/&lt;name&gt;</w:t>
            </w:r>
          </w:p>
        </w:tc>
        <w:tc>
          <w:tcPr/>
          <w:p>
            <w:pPr>
              <w:pStyle w:val="Compact"/>
              <w:jc w:val="left"/>
            </w:pPr>
            <w:r>
              <w:rPr>
                <w:rStyle w:val="VerbatimChar"/>
              </w:rPr>
              <w:t xml:space="preserve">@tais/offline-engine</w:t>
            </w:r>
          </w:p>
        </w:tc>
      </w:tr>
      <w:tr>
        <w:tc>
          <w:tcPr/>
          <w:p>
            <w:pPr>
              <w:pStyle w:val="Compact"/>
              <w:jc w:val="left"/>
            </w:pPr>
            <w:r>
              <w:t xml:space="preserve">Branch</w:t>
            </w:r>
          </w:p>
        </w:tc>
        <w:tc>
          <w:tcPr/>
          <w:p>
            <w:pPr>
              <w:pStyle w:val="Compact"/>
              <w:jc w:val="left"/>
            </w:pPr>
            <w:r>
              <w:rPr>
                <w:rStyle w:val="VerbatimChar"/>
              </w:rPr>
              <w:t xml:space="preserve">&lt;type&gt;/&lt;requirement-ref&gt;-&lt;slug&gt;</w:t>
            </w:r>
          </w:p>
        </w:tc>
        <w:tc>
          <w:tcPr/>
          <w:p>
            <w:pPr>
              <w:pStyle w:val="Compact"/>
              <w:jc w:val="left"/>
            </w:pPr>
            <w:r>
              <w:rPr>
                <w:rStyle w:val="VerbatimChar"/>
              </w:rPr>
              <w:t xml:space="preserve">feat/F-1.1.4-open-dated-tickets</w:t>
            </w:r>
          </w:p>
        </w:tc>
      </w:tr>
    </w:tbl>
    <w:p>
      <w:pPr>
        <w:pStyle w:val="BodyText"/>
      </w:pPr>
      <w:r>
        <w:t xml:space="preserve">Requirement references come from the Delivery Baseline &amp; Traceability Register. Functional requirements carry the</w:t>
      </w:r>
      <w:r>
        <w:t xml:space="preserve"> </w:t>
      </w:r>
      <w:r>
        <w:rPr>
          <w:rStyle w:val="VerbatimChar"/>
        </w:rPr>
        <w:t xml:space="preserve">F-</w:t>
      </w:r>
      <w:r>
        <w:t xml:space="preserve"> </w:t>
      </w:r>
      <w:r>
        <w:t xml:space="preserve">prefix, disaster recovery</w:t>
      </w:r>
      <w:r>
        <w:t xml:space="preserve"> </w:t>
      </w:r>
      <w:r>
        <w:rPr>
          <w:rStyle w:val="VerbatimChar"/>
        </w:rPr>
        <w:t xml:space="preserve">DR-</w:t>
      </w:r>
      <w:r>
        <w:t xml:space="preserve">, compliance and security</w:t>
      </w:r>
      <w:r>
        <w:t xml:space="preserve"> </w:t>
      </w:r>
      <w:r>
        <w:rPr>
          <w:rStyle w:val="VerbatimChar"/>
        </w:rPr>
        <w:t xml:space="preserve">CS-</w:t>
      </w:r>
      <w:r>
        <w:t xml:space="preserve">, training</w:t>
      </w:r>
      <w:r>
        <w:t xml:space="preserve"> </w:t>
      </w:r>
      <w:r>
        <w:rPr>
          <w:rStyle w:val="VerbatimChar"/>
        </w:rPr>
        <w:t xml:space="preserve">T-</w:t>
      </w:r>
      <w:r>
        <w:t xml:space="preserve">, and integrations</w:t>
      </w:r>
      <w:r>
        <w:t xml:space="preserve"> </w:t>
      </w:r>
      <w:r>
        <w:rPr>
          <w:rStyle w:val="VerbatimChar"/>
        </w:rPr>
        <w:t xml:space="preserve">INT-</w:t>
      </w:r>
      <w:r>
        <w:t xml:space="preserve">.</w:t>
      </w:r>
    </w:p>
    <w:bookmarkEnd w:id="24"/>
    <w:bookmarkStart w:id="30" w:name="the-contract-pipeline"/>
    <w:p>
      <w:pPr>
        <w:pStyle w:val="Heading2"/>
      </w:pPr>
      <w:r>
        <w:t xml:space="preserve">2.6 The Contract Pipeline</w:t>
      </w:r>
    </w:p>
    <w:p>
      <w:pPr>
        <w:pStyle w:val="FirstParagraph"/>
      </w:pPr>
      <w:r>
        <w:t xml:space="preserve">This is the mechanism that holds three repositories together, and it is the highest-value process in the engineering setup. Read this section carefully.</w:t>
      </w:r>
    </w:p>
    <w:bookmarkStart w:id="25" w:name="the-rule"/>
    <w:p>
      <w:pPr>
        <w:pStyle w:val="Heading3"/>
      </w:pPr>
      <w:r>
        <w:t xml:space="preserve">2.6.1 The Rule</w:t>
      </w:r>
    </w:p>
    <w:p>
      <w:pPr>
        <w:pStyle w:val="FirstParagraph"/>
      </w:pPr>
      <w:r>
        <w:t xml:space="preserve">The OpenAPI specification is merged before the implementation begins and before any consumer starts work. The specification is the agreement; the implementation is a consequence of it. Consumers never read backend source code to understand an interface, and never write their own client.</w:t>
      </w:r>
    </w:p>
    <w:bookmarkEnd w:id="25"/>
    <w:bookmarkStart w:id="26" w:name="the-sequence"/>
    <w:p>
      <w:pPr>
        <w:pStyle w:val="Heading3"/>
      </w:pPr>
      <w:r>
        <w:t xml:space="preserve">2.6.2 The Sequence</w:t>
      </w:r>
    </w:p>
    <w:p>
      <w:pPr>
        <w:numPr>
          <w:ilvl w:val="0"/>
          <w:numId w:val="1001"/>
        </w:numPr>
        <w:pStyle w:val="Compact"/>
      </w:pPr>
      <w:r>
        <w:t xml:space="preserve">The owning backend engineer authors or amends the specification in</w:t>
      </w:r>
      <w:r>
        <w:t xml:space="preserve"> </w:t>
      </w:r>
      <w:r>
        <w:rPr>
          <w:rStyle w:val="VerbatimChar"/>
        </w:rPr>
        <w:t xml:space="preserve">contracts/openapi/&lt;service-group&gt;.v1.yaml</w:t>
      </w:r>
      <w:r>
        <w:t xml:space="preserve"> </w:t>
      </w:r>
      <w:r>
        <w:t xml:space="preserve">and opens a pull request containing only the contract change.</w:t>
      </w:r>
    </w:p>
    <w:p>
      <w:pPr>
        <w:numPr>
          <w:ilvl w:val="0"/>
          <w:numId w:val="1001"/>
        </w:numPr>
        <w:pStyle w:val="Compact"/>
      </w:pPr>
      <w:r>
        <w:t xml:space="preserve">CI lints the specification, validates it against the platform API standard defined in Dev07, and runs a breaking-change comparison against the previously published version.</w:t>
      </w:r>
    </w:p>
    <w:p>
      <w:pPr>
        <w:numPr>
          <w:ilvl w:val="0"/>
          <w:numId w:val="1001"/>
        </w:numPr>
        <w:pStyle w:val="Compact"/>
      </w:pPr>
      <w:r>
        <w:t xml:space="preserve">The Solution Architect and at least one consuming-team engineer review and approve. Consumer review at this stage is what prevents contracts that are technically valid but unusable.</w:t>
      </w:r>
    </w:p>
    <w:p>
      <w:pPr>
        <w:numPr>
          <w:ilvl w:val="0"/>
          <w:numId w:val="1001"/>
        </w:numPr>
        <w:pStyle w:val="Compact"/>
      </w:pPr>
      <w:r>
        <w:t xml:space="preserve">On merge, CI generates a typed TypeScript client and publishes it to the private package registry as</w:t>
      </w:r>
      <w:r>
        <w:t xml:space="preserve"> </w:t>
      </w:r>
      <w:r>
        <w:rPr>
          <w:rStyle w:val="VerbatimChar"/>
        </w:rPr>
        <w:t xml:space="preserve">@tais/client-&lt;service-group&gt;</w:t>
      </w:r>
      <w:r>
        <w:t xml:space="preserve"> </w:t>
      </w:r>
      <w:r>
        <w:t xml:space="preserve">at the next version.</w:t>
      </w:r>
    </w:p>
    <w:p>
      <w:pPr>
        <w:numPr>
          <w:ilvl w:val="0"/>
          <w:numId w:val="1001"/>
        </w:numPr>
        <w:pStyle w:val="Compact"/>
      </w:pPr>
      <w:r>
        <w:t xml:space="preserve">Consuming teams update their dependency and begin work against a client that compiles.</w:t>
      </w:r>
    </w:p>
    <w:p>
      <w:pPr>
        <w:numPr>
          <w:ilvl w:val="0"/>
          <w:numId w:val="1001"/>
        </w:numPr>
        <w:pStyle w:val="Compact"/>
      </w:pPr>
      <w:r>
        <w:t xml:space="preserve">The backend team implements. Contract tests in</w:t>
      </w:r>
      <w:r>
        <w:t xml:space="preserve"> </w:t>
      </w:r>
      <w:r>
        <w:rPr>
          <w:rStyle w:val="VerbatimChar"/>
        </w:rPr>
        <w:t xml:space="preserve">tests/contract/</w:t>
      </w:r>
      <w:r>
        <w:t xml:space="preserve"> </w:t>
      </w:r>
      <w:r>
        <w:t xml:space="preserve">verify that the running service conforms to the published specification; a divergence fails the build.</w:t>
      </w:r>
    </w:p>
    <w:bookmarkEnd w:id="26"/>
    <w:bookmarkStart w:id="27" w:name="versioning-and-breaking-changes"/>
    <w:p>
      <w:pPr>
        <w:pStyle w:val="Heading3"/>
      </w:pPr>
      <w:r>
        <w:t xml:space="preserve">2.6.3 Versioning and Breaking Changes</w:t>
      </w:r>
    </w:p>
    <w:p>
      <w:pPr>
        <w:pStyle w:val="FirstParagraph"/>
      </w:pPr>
      <w:r>
        <w:t xml:space="preserve">Generated packages follow semantic versioning derived from the specification comparison, not from a human judgement call.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Change</w:t>
            </w:r>
          </w:p>
        </w:tc>
        <w:tc>
          <w:tcPr/>
          <w:p>
            <w:pPr>
              <w:pStyle w:val="Compact"/>
              <w:jc w:val="left"/>
            </w:pPr>
            <w:r>
              <w:t xml:space="preserve">Version increment</w:t>
            </w:r>
          </w:p>
        </w:tc>
        <w:tc>
          <w:tcPr/>
          <w:p>
            <w:pPr>
              <w:pStyle w:val="Compact"/>
              <w:jc w:val="left"/>
            </w:pPr>
            <w:r>
              <w:t xml:space="preserve">Consumer impact</w:t>
            </w:r>
          </w:p>
        </w:tc>
      </w:tr>
      <w:tr>
        <w:tc>
          <w:tcPr/>
          <w:p>
            <w:pPr>
              <w:pStyle w:val="Compact"/>
              <w:jc w:val="left"/>
            </w:pPr>
            <w:r>
              <w:t xml:space="preserve">New optional field, new endpoint, new enum value in a response</w:t>
            </w:r>
          </w:p>
        </w:tc>
        <w:tc>
          <w:tcPr/>
          <w:p>
            <w:pPr>
              <w:pStyle w:val="Compact"/>
              <w:jc w:val="left"/>
            </w:pPr>
            <w:r>
              <w:t xml:space="preserve">Minor</w:t>
            </w:r>
          </w:p>
        </w:tc>
        <w:tc>
          <w:tcPr/>
          <w:p>
            <w:pPr>
              <w:pStyle w:val="Compact"/>
              <w:jc w:val="left"/>
            </w:pPr>
            <w:r>
              <w:t xml:space="preserve">None; adopt at leisure</w:t>
            </w:r>
          </w:p>
        </w:tc>
      </w:tr>
      <w:tr>
        <w:tc>
          <w:tcPr/>
          <w:p>
            <w:pPr>
              <w:pStyle w:val="Compact"/>
              <w:jc w:val="left"/>
            </w:pPr>
            <w:r>
              <w:t xml:space="preserve">Documentation, examples, description text</w:t>
            </w:r>
          </w:p>
        </w:tc>
        <w:tc>
          <w:tcPr/>
          <w:p>
            <w:pPr>
              <w:pStyle w:val="Compact"/>
              <w:jc w:val="left"/>
            </w:pPr>
            <w:r>
              <w:t xml:space="preserve">Patch</w:t>
            </w:r>
          </w:p>
        </w:tc>
        <w:tc>
          <w:tcPr/>
          <w:p>
            <w:pPr>
              <w:pStyle w:val="Compact"/>
              <w:jc w:val="left"/>
            </w:pPr>
            <w:r>
              <w:t xml:space="preserve">None</w:t>
            </w:r>
          </w:p>
        </w:tc>
      </w:tr>
      <w:tr>
        <w:tc>
          <w:tcPr/>
          <w:p>
            <w:pPr>
              <w:pStyle w:val="Compact"/>
              <w:jc w:val="left"/>
            </w:pPr>
            <w:r>
              <w:t xml:space="preserve">Removed or renamed field, new required request field, changed type, removed endpoint</w:t>
            </w:r>
          </w:p>
        </w:tc>
        <w:tc>
          <w:tcPr/>
          <w:p>
            <w:pPr>
              <w:pStyle w:val="Compact"/>
              <w:jc w:val="left"/>
            </w:pPr>
            <w:r>
              <w:rPr>
                <w:bCs/>
                <w:b/>
              </w:rPr>
              <w:t xml:space="preserve">Blocked</w:t>
            </w:r>
          </w:p>
        </w:tc>
        <w:tc>
          <w:tcPr/>
          <w:p>
            <w:pPr>
              <w:pStyle w:val="Compact"/>
              <w:jc w:val="left"/>
            </w:pPr>
            <w:r>
              <w:t xml:space="preserve">See below</w:t>
            </w:r>
          </w:p>
        </w:tc>
      </w:tr>
    </w:tbl>
    <w:p>
      <w:pPr>
        <w:pStyle w:val="BodyText"/>
      </w:pPr>
      <w:r>
        <w:t xml:space="preserve">A breaking change is not published as a major version of an existing contract. It is introduced as a new versioned specification —</w:t>
      </w:r>
      <w:r>
        <w:t xml:space="preserve"> </w:t>
      </w:r>
      <w:r>
        <w:rPr>
          <w:rStyle w:val="VerbatimChar"/>
        </w:rPr>
        <w:t xml:space="preserve">ticketing.v2.yaml</w:t>
      </w:r>
      <w:r>
        <w:t xml:space="preserve"> </w:t>
      </w:r>
      <w:r>
        <w:t xml:space="preserve">— served at a distinct route, with both versions running concurrently until every consumer has migrated. The deprecation of the previous version is scheduled and recorded, never assumed. This is the same discipline the platform must offer external integration partners through the developer portal, so it is applied internally from the first sprint rather than retrofitted.</w:t>
      </w:r>
    </w:p>
    <w:bookmarkEnd w:id="27"/>
    <w:bookmarkStart w:id="28" w:name="cadence"/>
    <w:p>
      <w:pPr>
        <w:pStyle w:val="Heading3"/>
      </w:pPr>
      <w:r>
        <w:t xml:space="preserve">2.6.4 Cadence</w:t>
      </w:r>
    </w:p>
    <w:p>
      <w:pPr>
        <w:pStyle w:val="FirstParagraph"/>
      </w:pPr>
      <w:r>
        <w:t xml:space="preserve">The backend team publishes a domain’s contract approximately one sprint ahead of the consumers who need it. Discipline-aligned teams in separate repositories only parallelise if the interface arrives before the work that depends on it. Where a consumer must begin sooner, the contract is published first and the service returns generated mock responses behind a feature flag — the contract still comes first.</w:t>
      </w:r>
    </w:p>
    <w:bookmarkEnd w:id="28"/>
    <w:bookmarkStart w:id="29" w:name="event-schemas"/>
    <w:p>
      <w:pPr>
        <w:pStyle w:val="Heading3"/>
      </w:pPr>
      <w:r>
        <w:t xml:space="preserve">2.6.5 Event Schemas</w:t>
      </w:r>
    </w:p>
    <w:p>
      <w:pPr>
        <w:pStyle w:val="FirstParagraph"/>
      </w:pPr>
      <w:r>
        <w:t xml:space="preserve">Kafka event schemas in</w:t>
      </w:r>
      <w:r>
        <w:t xml:space="preserve"> </w:t>
      </w:r>
      <w:r>
        <w:rPr>
          <w:rStyle w:val="VerbatimChar"/>
        </w:rPr>
        <w:t xml:space="preserve">contracts/events/</w:t>
      </w:r>
      <w:r>
        <w:t xml:space="preserve"> </w:t>
      </w:r>
      <w:r>
        <w:t xml:space="preserve">follow the same gate. A producer does not emit an event whose schema is unmerged, and a consumer does not subscribe to an unpublished topic. The event envelope, including the mandatory tenant identifier and correlation identifier, is defined in Dev08 and is not extended locally.</w:t>
      </w:r>
    </w:p>
    <w:bookmarkEnd w:id="29"/>
    <w:bookmarkEnd w:id="30"/>
    <w:bookmarkStart w:id="31" w:name="cross-repository-dependencies"/>
    <w:p>
      <w:pPr>
        <w:pStyle w:val="Heading2"/>
      </w:pPr>
      <w:r>
        <w:t xml:space="preserve">2.7 Cross-Repository Dependencies</w:t>
      </w:r>
    </w:p>
    <w:p>
      <w:pPr>
        <w:pStyle w:val="FirstParagraph"/>
      </w:pPr>
      <w:r>
        <w:t xml:space="preserve">Only two dependency directions exist, and both are one-way.</w:t>
      </w:r>
    </w:p>
    <w:p>
      <w:pPr>
        <w:pStyle w:val="BodyText"/>
      </w:pPr>
      <w:r>
        <w:t xml:space="preserve">Backend publishes generated clients and shared schemas; web and edge consume them. Web and edge never publish anything the backend consumes. Web and edge do not depend on each other at all — code needed by both, if it ever arises, is promoted into a separately published package rather than cross-imported.</w:t>
      </w:r>
    </w:p>
    <w:p>
      <w:pPr>
        <w:pStyle w:val="BodyText"/>
      </w:pPr>
      <w:r>
        <w:t xml:space="preserve">Each consuming repository pins the client package version explicitly in</w:t>
      </w:r>
      <w:r>
        <w:t xml:space="preserve"> </w:t>
      </w:r>
      <w:r>
        <w:rPr>
          <w:rStyle w:val="VerbatimChar"/>
        </w:rPr>
        <w:t xml:space="preserve">package.json</w:t>
      </w:r>
      <w:r>
        <w:t xml:space="preserve">. Version ranges are not used, because a client that updates silently converts a contract change into a runtime surprise. Upgrades are deliberate, reviewed, and carry the requirement reference of whatever motivated them.</w:t>
      </w:r>
    </w:p>
    <w:bookmarkEnd w:id="31"/>
    <w:bookmarkStart w:id="32" w:name="limitations"/>
    <w:p>
      <w:pPr>
        <w:pStyle w:val="Heading2"/>
      </w:pPr>
      <w:r>
        <w:t xml:space="preserve">2.8 Limitations</w:t>
      </w:r>
    </w:p>
    <w:p>
      <w:pPr>
        <w:pStyle w:val="FirstParagraph"/>
      </w:pPr>
      <w:r>
        <w:t xml:space="preserve">Two known costs of this structure are accepted rather than solved.</w:t>
      </w:r>
    </w:p>
    <w:p>
      <w:pPr>
        <w:pStyle w:val="BodyText"/>
      </w:pPr>
      <w:r>
        <w:t xml:space="preserve">A change that spans a contract and both consumers requires three pull requests across three repositories, and they cannot be merged atomically. The mitigation is sequencing — contract first, consumers after — and additive-only changes wherever possible, so consumers are never broken between merges.</w:t>
      </w:r>
    </w:p>
    <w:p>
      <w:pPr>
        <w:pStyle w:val="BodyText"/>
      </w:pPr>
      <w:r>
        <w:t xml:space="preserve">Local development against an unpublished contract requires either linking the generated package locally or running the backend stack. Dev03 documents both paths. Neither is as convenient as a monorepo would be; this is the price paid for repository-level ownership boundaries that match the team structure.</w:t>
      </w:r>
    </w:p>
    <w:bookmarkEnd w:id="32"/>
    <w:bookmarkEnd w:id="33"/>
    <w:sectPr>
      <w:headerReference r:id="rId9" w:type="default"/>
      <w:footerReference r:id="rId1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olor w:val="595959"/>
        <w:sz w:val="16"/>
      </w:rPr>
      <w:t>Miracle Star Trading L.L.C. | Confidential</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olor w:val="595959"/>
        <w:sz w:val="16"/>
      </w:rPr>
      <w:t>TAIS Platform — Developer Documentation | Softlabs Group | Confidential</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80" w:before="180"/>
      <w:ind w:firstLine="0"/>
    </w:pPr>
    <w:rPr>
      <w:rFonts w:ascii="Calibri" w:hAnsi="Calibri"/>
      <w:sz w:val="24"/>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Cambria" w:asciiTheme="majorHAnsi" w:cstheme="majorBidi" w:eastAsiaTheme="majorEastAsia" w:hAnsi="Cambria" w:hAnsiTheme="majorHAnsi"/>
      <w:b/>
      <w:bCs/>
      <w:color w:val="345A8A"/>
      <w:sz w:val="36"/>
      <w:szCs w:val="36"/>
    </w:rPr>
  </w:style>
  <w:style w:styleId="Subtitle" w:type="paragraph">
    <w:name w:val="Subtitle"/>
    <w:basedOn w:val="Title"/>
    <w:next w:val="BodyText"/>
    <w:qFormat/>
    <w:pPr>
      <w:keepNext/>
      <w:keepLines/>
      <w:spacing w:after="240" w:before="240"/>
      <w:jc w:val="center"/>
    </w:pPr>
    <w:rPr>
      <w:rFonts w:ascii="Cambria" w:hAnsi="Cambria"/>
      <w:b/>
      <w:color w:val="345A8A"/>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pPr>
      <w:keepNext/>
      <w:spacing w:after="120"/>
    </w:pPr>
    <w:rPr>
      <w:rFonts w:ascii="Calibri" w:hAnsi="Calibri"/>
      <w:i/>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2026-07-23T12:00:39Z</dcterms:created>
  <dcterms:modified xsi:type="dcterms:W3CDTF">2026-07-23T12:00:39Z</dcterms:modified>
</cp:coreProperties>
</file>

<file path=docProps/custom.xml><?xml version="1.0" encoding="utf-8"?>
<Properties xmlns="http://schemas.openxmlformats.org/officeDocument/2006/custom-properties" xmlns:vt="http://schemas.openxmlformats.org/officeDocument/2006/docPropsVTypes"/>
</file>