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2234DA6" wp14:textId="77777777">
      <w:pPr>
        <w:spacing w:after="120" w:line="259" w:lineRule="auto"/>
      </w:pPr>
      <w:r>
        <w:rPr>
          <w:b/>
          <w:i w:val="0"/>
        </w:rPr>
        <w:t>TAIS PLATFORM</w:t>
      </w:r>
    </w:p>
    <w:p xmlns:wp14="http://schemas.microsoft.com/office/word/2010/wordml" w14:paraId="70FE08BF" wp14:textId="77777777">
      <w:pPr>
        <w:spacing w:after="120" w:line="259" w:lineRule="auto"/>
      </w:pPr>
      <w:r>
        <w:rPr>
          <w:b w:val="0"/>
          <w:i w:val="0"/>
        </w:rPr>
        <w:t>Technical Proposal</w:t>
      </w:r>
    </w:p>
    <w:p xmlns:wp14="http://schemas.microsoft.com/office/word/2010/wordml" w14:paraId="02A1B903" wp14:textId="77777777">
      <w:pPr>
        <w:spacing w:after="120" w:line="259" w:lineRule="auto"/>
      </w:pPr>
      <w:r>
        <w:rPr>
          <w:b w:val="0"/>
          <w:i w:val="0"/>
        </w:rPr>
        <w:t>Tourism &amp; Attraction Intelligence System</w:t>
      </w:r>
    </w:p>
    <w:p xmlns:wp14="http://schemas.microsoft.com/office/word/2010/wordml" w14:paraId="5E648341" wp14:textId="77777777">
      <w:pPr>
        <w:spacing w:after="120" w:line="259" w:lineRule="auto"/>
      </w:pPr>
      <w:r>
        <w:rPr>
          <w:b w:val="0"/>
          <w:i w:val="0"/>
        </w:rPr>
        <w:t>Submitted to</w:t>
      </w:r>
    </w:p>
    <w:p xmlns:wp14="http://schemas.microsoft.com/office/word/2010/wordml" w14:paraId="67D7FEB0" wp14:textId="77777777">
      <w:pPr>
        <w:spacing w:after="120" w:line="259" w:lineRule="auto"/>
      </w:pPr>
      <w:r>
        <w:rPr>
          <w:b/>
          <w:i w:val="0"/>
        </w:rPr>
        <w:t>Miracle Star Trading L.L.C.</w:t>
      </w:r>
    </w:p>
    <w:p xmlns:wp14="http://schemas.microsoft.com/office/word/2010/wordml" w14:paraId="3069651A" wp14:textId="77777777">
      <w:pPr>
        <w:spacing w:after="120" w:line="259" w:lineRule="auto"/>
      </w:pPr>
      <w:r>
        <w:rPr>
          <w:b w:val="0"/>
          <w:i w:val="0"/>
        </w:rPr>
        <w:t>Dubai, United Arab Emirates</w:t>
      </w:r>
    </w:p>
    <w:p xmlns:wp14="http://schemas.microsoft.com/office/word/2010/wordml" w14:paraId="7BCD1DFD" wp14:textId="77777777">
      <w:pPr>
        <w:spacing w:after="120" w:line="259" w:lineRule="auto"/>
      </w:pPr>
      <w:r>
        <w:rPr>
          <w:b w:val="0"/>
          <w:i w:val="0"/>
        </w:rPr>
        <w:t>Submitted by</w:t>
      </w:r>
    </w:p>
    <w:p xmlns:wp14="http://schemas.microsoft.com/office/word/2010/wordml" w14:paraId="7C990BD2" wp14:textId="77777777">
      <w:pPr>
        <w:spacing w:after="120" w:line="259" w:lineRule="auto"/>
      </w:pPr>
      <w:r>
        <w:rPr>
          <w:b/>
          <w:i w:val="0"/>
        </w:rPr>
        <w:t>Softlabs Group</w:t>
      </w:r>
    </w:p>
    <w:p xmlns:wp14="http://schemas.microsoft.com/office/word/2010/wordml" w14:paraId="43CDCF42" wp14:textId="77777777">
      <w:pPr>
        <w:spacing w:after="120" w:line="259" w:lineRule="auto"/>
      </w:pPr>
      <w:r>
        <w:rPr>
          <w:b w:val="0"/>
          <w:i w:val="0"/>
        </w:rPr>
        <w:t>Softlabs Technologies And Development Pvt. Ltd.</w:t>
      </w:r>
    </w:p>
    <w:p xmlns:wp14="http://schemas.microsoft.com/office/word/2010/wordml" w14:paraId="2C772733" wp14:textId="77777777">
      <w:pPr>
        <w:spacing w:after="120" w:line="259" w:lineRule="auto"/>
      </w:pPr>
      <w:r>
        <w:rPr>
          <w:b w:val="0"/>
          <w:i w:val="0"/>
        </w:rPr>
        <w:t>Mumbai, India</w:t>
      </w:r>
    </w:p>
    <w:p xmlns:wp14="http://schemas.microsoft.com/office/word/2010/wordml" w14:paraId="7010432C" wp14:textId="77777777">
      <w:pPr>
        <w:spacing w:after="120" w:line="259" w:lineRule="auto"/>
      </w:pPr>
      <w:r>
        <w:rPr>
          <w:b w:val="0"/>
          <w:i w:val="0"/>
        </w:rPr>
        <w:t>April 2026 — Version 1.0 — Technical Proposal</w:t>
      </w:r>
    </w:p>
    <w:p xmlns:wp14="http://schemas.microsoft.com/office/word/2010/wordml" w14:paraId="4C5238D9" wp14:textId="77777777">
      <w:pPr>
        <w:spacing w:after="120" w:line="259" w:lineRule="auto"/>
      </w:pPr>
      <w:r>
        <w:rPr>
          <w:b/>
          <w:i w:val="0"/>
        </w:rPr>
        <w:t>CONFIDENTIAL</w:t>
      </w:r>
    </w:p>
    <w:tbl>
      <w:tblPr>
        <w:tblStyle w:val="TableGrid"/>
        <w:tblW w:w="0" w:type="auto"/>
        <w:jc w:val="center"/>
        <w:tblLook w:val="04A0" w:firstRow="1" w:lastRow="0" w:firstColumn="1" w:lastColumn="0" w:noHBand="0" w:noVBand="1"/>
      </w:tblPr>
      <w:tblGrid>
        <w:gridCol w:w="9648"/>
      </w:tblGrid>
      <w:tr xmlns:wp14="http://schemas.microsoft.com/office/word/2010/wordml" w14:paraId="696617BE" wp14:textId="77777777">
        <w:tc>
          <w:tcPr>
            <w:tcW w:w="9648" w:type="dxa"/>
            <w:shd w:val="clear" w:fill="1F3864"/>
          </w:tcPr>
          <w:p w14:paraId="5D5F58DA" wp14:textId="77777777">
            <w:pPr>
              <w:spacing w:before="20" w:after="20"/>
            </w:pPr>
            <w:r/>
            <w:r>
              <w:rPr>
                <w:b/>
                <w:i w:val="0"/>
                <w:color w:val="FFFFFF"/>
                <w:sz w:val="19"/>
              </w:rPr>
              <w:t xml:space="preserve">Chapter 1 Executive Overview </w:t>
            </w:r>
            <w:r>
              <w:rPr>
                <w:b/>
                <w:i w:val="0"/>
                <w:color w:val="FFFFFF"/>
                <w:sz w:val="19"/>
              </w:rPr>
              <w:t>&amp;</w:t>
            </w:r>
            <w:r>
              <w:rPr>
                <w:b/>
                <w:i w:val="0"/>
                <w:color w:val="FFFFFF"/>
                <w:sz w:val="19"/>
              </w:rPr>
              <w:t xml:space="preserve"> Scope</w:t>
            </w:r>
          </w:p>
        </w:tc>
      </w:tr>
    </w:tbl>
    <w:p xmlns:wp14="http://schemas.microsoft.com/office/word/2010/wordml" w14:paraId="672A6659" wp14:textId="77777777">
      <w:pPr>
        <w:spacing w:after="40"/>
      </w:pPr>
    </w:p>
    <w:p xmlns:wp14="http://schemas.microsoft.com/office/word/2010/wordml" w14:paraId="773085E3" wp14:textId="77777777">
      <w:pPr>
        <w:spacing w:after="80"/>
      </w:pPr>
      <w:r>
        <w:rPr>
          <w:i/>
          <w:color w:val="555555"/>
          <w:sz w:val="18"/>
        </w:rPr>
        <w:t>Figure 1.1 — TAIS Platform Overview: Guest-Facing, Operational, Intelligence and Infrastructure Layers</w:t>
      </w:r>
    </w:p>
    <w:p xmlns:wp14="http://schemas.microsoft.com/office/word/2010/wordml" w14:paraId="65E797B5" wp14:textId="77777777">
      <w:pPr>
        <w:pStyle w:val="Heading1"/>
        <w:spacing w:before="280" w:after="120"/>
      </w:pPr>
      <w:r>
        <w:rPr>
          <w:b/>
          <w:color w:val="1F3864"/>
          <w:sz w:val="36"/>
        </w:rPr>
        <w:t>1. Project Understanding &amp; Scope</w:t>
      </w:r>
    </w:p>
    <w:p xmlns:wp14="http://schemas.microsoft.com/office/word/2010/wordml" w14:paraId="687143E3" wp14:textId="77777777">
      <w:pPr>
        <w:pStyle w:val="Heading2"/>
        <w:spacing w:before="200" w:after="80"/>
      </w:pPr>
      <w:r>
        <w:rPr>
          <w:b/>
          <w:color w:val="2E75B6"/>
          <w:sz w:val="28"/>
        </w:rPr>
        <w:t>1.1 A Venue Operating System — Not a Ticketing Platform</w:t>
      </w:r>
    </w:p>
    <w:p xmlns:wp14="http://schemas.microsoft.com/office/word/2010/wordml" w14:paraId="2377FA43" wp14:textId="77777777">
      <w:pPr>
        <w:spacing w:after="120" w:line="259" w:lineRule="auto"/>
      </w:pPr>
      <w:r>
        <w:rPr>
          <w:i/>
          <w:color w:val="555555"/>
        </w:rPr>
        <w:t>The TAIS platform is not a ticketing system. It is the complete digital operating system for large-scale entertainment venues.</w:t>
      </w:r>
    </w:p>
    <w:p xmlns:wp14="http://schemas.microsoft.com/office/word/2010/wordml" w14:paraId="30C436C5" wp14:textId="2ECBA8AE">
      <w:pPr>
        <w:spacing w:after="120" w:line="259" w:lineRule="auto"/>
      </w:pPr>
      <w:r w:rsidRPr="58A51180" w:rsidR="58A51180">
        <w:rPr>
          <w:b w:val="0"/>
          <w:bCs w:val="0"/>
          <w:i w:val="0"/>
          <w:iCs w:val="0"/>
        </w:rPr>
        <w:t xml:space="preserve">The distinction is fundamental. A ticketing system handles the front door. A venue operating system handles everything — from the moment a guest decides to visit, through ticket purchase on any channel, physical access validation at the gate, every retail and F&amp;B transaction inside, staff operations across every shift, financial reconciliation at day end, and the AI-driven intelligence that optimizes pricing, predicts demand, and </w:t>
      </w:r>
      <w:r w:rsidRPr="58A51180" w:rsidR="58A51180">
        <w:rPr>
          <w:b w:val="0"/>
          <w:bCs w:val="0"/>
          <w:i w:val="0"/>
          <w:iCs w:val="0"/>
        </w:rPr>
        <w:t>personalizes</w:t>
      </w:r>
      <w:r w:rsidRPr="58A51180" w:rsidR="58A51180">
        <w:rPr>
          <w:b w:val="0"/>
          <w:bCs w:val="0"/>
          <w:i w:val="0"/>
          <w:iCs w:val="0"/>
        </w:rPr>
        <w:t xml:space="preserve"> every return visit.</w:t>
      </w:r>
    </w:p>
    <w:p xmlns:wp14="http://schemas.microsoft.com/office/word/2010/wordml" w14:paraId="06786056" wp14:textId="77777777">
      <w:pPr>
        <w:spacing w:after="120" w:line="259" w:lineRule="auto"/>
      </w:pPr>
      <w:r>
        <w:rPr>
          <w:b w:val="0"/>
          <w:i w:val="0"/>
        </w:rPr>
        <w:t>The scope of this RFP reflects exactly that ambition. Twelve functional domains. Seven to ten venues. Thirty thousand ticket transactions per venue per day. Fifteen thousand concurrent guests. Offline-first thick client applications that keep gates opening and tills ringing even when the network goes down. Dual-language operation — English and Arabic — on every guest-facing surface. Payment processing in compliance with PCI-DSS Level 1. Security architecture meeting the cybersecurity standards of the Dubai Electronic Security Center. All of this on infrastructure that the client’s own internal team can operate independently after handover.</w:t>
      </w:r>
    </w:p>
    <w:p xmlns:wp14="http://schemas.microsoft.com/office/word/2010/wordml" w14:paraId="1797CA6B" wp14:textId="77777777">
      <w:pPr>
        <w:spacing w:after="120" w:line="259" w:lineRule="auto"/>
      </w:pPr>
      <w:r>
        <w:rPr>
          <w:b w:val="0"/>
          <w:i w:val="0"/>
        </w:rPr>
        <w:t>Softlabs Group has read the RFP, the clarification questions, and the Q&amp;A responses in full. We understand precisely what is being asked. This proposal is our response to that complete scope — not a simplified interpretation of it, not a version that defers the hard parts to future phases, and not a generic platform dressed up with TAIS branding. Every domain, every capability, every requirement addressed.</w:t>
      </w:r>
    </w:p>
    <w:tbl>
      <w:tblPr>
        <w:tblStyle w:val="TableGrid"/>
        <w:tblW w:w="0" w:type="auto"/>
        <w:jc w:val="center"/>
        <w:tblLook w:val="04A0" w:firstRow="1" w:lastRow="0" w:firstColumn="1" w:lastColumn="0" w:noHBand="0" w:noVBand="1"/>
      </w:tblPr>
      <w:tblGrid>
        <w:gridCol w:w="9648"/>
      </w:tblGrid>
      <w:tr xmlns:wp14="http://schemas.microsoft.com/office/word/2010/wordml" w14:paraId="770FC04D" wp14:textId="77777777">
        <w:tc>
          <w:tcPr>
            <w:tcW w:w="9648" w:type="dxa"/>
            <w:shd w:val="clear" w:fill="1F3864"/>
          </w:tcPr>
          <w:p w14:paraId="1C8E21F5" wp14:textId="77777777">
            <w:pPr>
              <w:spacing w:before="20" w:after="20"/>
            </w:pPr>
            <w:r/>
            <w:r>
              <w:rPr>
                <w:b/>
                <w:i w:val="0"/>
                <w:color w:val="FFFFFF"/>
                <w:sz w:val="19"/>
              </w:rPr>
              <w:t>Our commitment to completeness</w:t>
            </w:r>
            <w:r>
              <w:rPr>
                <w:b/>
                <w:i w:val="0"/>
                <w:color w:val="FFFFFF"/>
                <w:sz w:val="19"/>
              </w:rPr>
              <w:t xml:space="preserve"> This proposal covers all 12 functional domains without omission. Where a capability is complex — offline POS synchronisation, Finance domain accounting depth, multi-manufacturer access control integration — we have addressed it in dedicated chapters with technical detail sufficient to evaluate the approach, not just acknowledge the requirement. Version 1.4 incorporates the scope agreed on the 21 May review: multi-currency display, a high-demand virtual waiting room, a six-level tenant hierarchy with cross-park combo products, a configurable refund/cancellation/reschedule engine, POS payment links and Emirates ID capture, native real-time analytics dashboards, and the UAE government and tourism integrations (DTCM, DCT, UAE Pass, SIEM, Azure AD) — all in Phase 1. External CRM/ERP integration and payment gateways beyond the two built in Phase 1 are handled as pre-priced red-card clauses.</w:t>
            </w:r>
          </w:p>
        </w:tc>
      </w:tr>
    </w:tbl>
    <w:p xmlns:wp14="http://schemas.microsoft.com/office/word/2010/wordml" w14:paraId="0A37501D" wp14:textId="77777777">
      <w:pPr>
        <w:spacing w:after="40"/>
      </w:pPr>
    </w:p>
    <w:p xmlns:wp14="http://schemas.microsoft.com/office/word/2010/wordml" w14:paraId="25EC7A36" wp14:textId="77777777">
      <w:pPr>
        <w:pStyle w:val="Heading2"/>
        <w:spacing w:before="200" w:after="80"/>
      </w:pPr>
      <w:r>
        <w:rPr>
          <w:b/>
          <w:color w:val="2E75B6"/>
          <w:sz w:val="28"/>
        </w:rPr>
        <w:t>1.2 Who Softlabs Group Is Proposing to Be</w:t>
      </w:r>
    </w:p>
    <w:p xmlns:wp14="http://schemas.microsoft.com/office/word/2010/wordml" w14:paraId="084D9035" wp14:textId="77777777">
      <w:pPr>
        <w:spacing w:after="120" w:line="259" w:lineRule="auto"/>
      </w:pPr>
      <w:r>
        <w:rPr>
          <w:b w:val="0"/>
          <w:i w:val="0"/>
        </w:rPr>
        <w:t>The RFP uses a precise term: technology development partner. Not software vendor. Not system integrator. Not managed service provider. The distinction carries significant implications for how the engagement is structured, how IP is handled, and what the client is left with at the end of the contract.</w:t>
      </w:r>
    </w:p>
    <w:p xmlns:wp14="http://schemas.microsoft.com/office/word/2010/wordml" w14:paraId="41950B69" wp14:textId="77777777">
      <w:pPr>
        <w:spacing w:after="120" w:line="259" w:lineRule="auto"/>
      </w:pPr>
      <w:r>
        <w:rPr>
          <w:b w:val="0"/>
          <w:i w:val="0"/>
        </w:rPr>
        <w:t>A software vendor sells you a licence. A system integrator assembles other people’s products. A managed service provider keeps running it so you remain dependent on them. A technology development partner does something fundamentally different: they build exactly what you specify, hand you everything — source code, architecture, documentation, full intellectual property — and ensure your own team can operate and extend the platform independently. The vendor’s measure of success is a client who no longer needs them.</w:t>
      </w:r>
    </w:p>
    <w:p xmlns:wp14="http://schemas.microsoft.com/office/word/2010/wordml" w14:paraId="5760EA06" wp14:textId="77777777">
      <w:pPr>
        <w:spacing w:after="120" w:line="259" w:lineRule="auto"/>
      </w:pPr>
      <w:r>
        <w:rPr>
          <w:b w:val="0"/>
          <w:i w:val="0"/>
        </w:rPr>
        <w:t>That is the model Softlabs Group is proposing for TAIS. Every architectural decision in this proposal is made with client independence in mind. We chose open-source technologies where equivalent commercial options exist — not because they are cheaper, but because they can be maintained without vendor licence relationships. We are delivering Infrastructure-as-Code templates so the client’s infrastructure team can provision and modify environments without our involvement. We have structured our knowledge transfer as a phased programme beginning at Month 15, not a two-day handover session at the end of the contract.</w:t>
      </w:r>
    </w:p>
    <w:p xmlns:wp14="http://schemas.microsoft.com/office/word/2010/wordml" w14:paraId="1435013A" wp14:textId="77777777">
      <w:pPr>
        <w:spacing w:after="120" w:line="259" w:lineRule="auto"/>
      </w:pPr>
      <w:r>
        <w:rPr>
          <w:b w:val="0"/>
          <w:i w:val="0"/>
        </w:rPr>
        <w:t>A 6-month Hypercare period begins when the client’s team takes over — not when we stop working. Six months is deliberate: venues and modules come under real operational load in waves after Phase 1, so defects surface across that period rather than all at once. Beyond Hypercare, ongoing platform evolution, enhancements, and support are handled through Change Requests, an Annual Maintenance Contract (AMC), or the option to embed dedicated Softlabs resources in the client’s team — giving the client full cost transparency and control over post-handover engagement.</w:t>
      </w:r>
    </w:p>
    <w:p xmlns:wp14="http://schemas.microsoft.com/office/word/2010/wordml" w14:paraId="62B0C0E5" wp14:textId="77777777">
      <w:pPr>
        <w:pStyle w:val="Heading2"/>
        <w:spacing w:before="200" w:after="80"/>
      </w:pPr>
      <w:r>
        <w:rPr>
          <w:b/>
          <w:color w:val="2E75B6"/>
          <w:sz w:val="28"/>
        </w:rPr>
        <w:t>1.3 The 12-Domain Scope</w:t>
      </w:r>
    </w:p>
    <w:p xmlns:wp14="http://schemas.microsoft.com/office/word/2010/wordml" w14:paraId="48442540" wp14:textId="77777777">
      <w:pPr>
        <w:spacing w:after="120" w:line="259" w:lineRule="auto"/>
      </w:pPr>
      <w:r>
        <w:rPr>
          <w:b w:val="0"/>
          <w:i w:val="0"/>
        </w:rPr>
        <w:t>The TAIS platform is organised into 12 functional domains. This proposal covers every domain in full — out-of-the-box, configurable, and custom-built capabilities mapped for each, with phase assignment indicating Phase 1 (Months 2-8) or Phase 2 (Months 9-14) delivery.</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14:paraId="0A9D0653" wp14:textId="77777777">
        <w:tc>
          <w:tcPr>
            <w:tcW w:w="2412" w:type="dxa"/>
            <w:shd w:val="clear" w:fill="1F3864"/>
          </w:tcPr>
          <w:p w14:paraId="5AFC7B24" wp14:textId="77777777">
            <w:pPr>
              <w:spacing w:before="20" w:after="20"/>
            </w:pPr>
            <w:r/>
            <w:r>
              <w:rPr>
                <w:b/>
                <w:i w:val="0"/>
                <w:color w:val="FFFFFF"/>
                <w:sz w:val="19"/>
              </w:rPr>
              <w:t>#</w:t>
            </w:r>
          </w:p>
        </w:tc>
        <w:tc>
          <w:tcPr>
            <w:tcW w:w="2412" w:type="dxa"/>
            <w:shd w:val="clear" w:fill="1F3864"/>
          </w:tcPr>
          <w:p w14:paraId="292A275D" wp14:textId="77777777">
            <w:pPr>
              <w:spacing w:before="20" w:after="20"/>
            </w:pPr>
            <w:r/>
            <w:r>
              <w:rPr>
                <w:b/>
                <w:i w:val="0"/>
                <w:color w:val="FFFFFF"/>
                <w:sz w:val="19"/>
              </w:rPr>
              <w:t>Domain</w:t>
            </w:r>
          </w:p>
        </w:tc>
        <w:tc>
          <w:tcPr>
            <w:tcW w:w="2412" w:type="dxa"/>
            <w:shd w:val="clear" w:fill="1F3864"/>
          </w:tcPr>
          <w:p w14:paraId="7D6CA934" wp14:textId="77777777">
            <w:pPr>
              <w:spacing w:before="20" w:after="20"/>
            </w:pPr>
            <w:r/>
            <w:r>
              <w:rPr>
                <w:b/>
                <w:i w:val="0"/>
                <w:color w:val="FFFFFF"/>
                <w:sz w:val="19"/>
              </w:rPr>
              <w:t>Key Capabilities</w:t>
            </w:r>
          </w:p>
        </w:tc>
        <w:tc>
          <w:tcPr>
            <w:tcW w:w="2412" w:type="dxa"/>
            <w:shd w:val="clear" w:fill="1F3864"/>
          </w:tcPr>
          <w:p w14:paraId="084F7FD8" wp14:textId="77777777">
            <w:pPr>
              <w:spacing w:before="20" w:after="20"/>
            </w:pPr>
            <w:r/>
            <w:r>
              <w:rPr>
                <w:b/>
                <w:i w:val="0"/>
                <w:color w:val="FFFFFF"/>
                <w:sz w:val="19"/>
              </w:rPr>
              <w:t>Proposal Chapter</w:t>
            </w:r>
          </w:p>
        </w:tc>
      </w:tr>
      <w:tr xmlns:wp14="http://schemas.microsoft.com/office/word/2010/wordml" w14:paraId="5B4420BD" wp14:textId="77777777">
        <w:tc>
          <w:tcPr>
            <w:tcW w:w="2412" w:type="dxa"/>
          </w:tcPr>
          <w:p w14:paraId="649841BE" wp14:textId="77777777">
            <w:pPr>
              <w:spacing w:before="20" w:after="20"/>
            </w:pPr>
            <w:r/>
            <w:r>
              <w:rPr>
                <w:b w:val="0"/>
                <w:i w:val="0"/>
                <w:sz w:val="19"/>
              </w:rPr>
              <w:t>1</w:t>
            </w:r>
          </w:p>
        </w:tc>
        <w:tc>
          <w:tcPr>
            <w:tcW w:w="2412" w:type="dxa"/>
          </w:tcPr>
          <w:p w14:paraId="49E47F3E" wp14:textId="77777777">
            <w:pPr>
              <w:spacing w:before="20" w:after="20"/>
            </w:pPr>
            <w:r/>
            <w:r>
              <w:rPr>
                <w:b w:val="0"/>
                <w:i w:val="0"/>
                <w:sz w:val="19"/>
              </w:rPr>
              <w:t>Identity &amp; Security</w:t>
            </w:r>
          </w:p>
        </w:tc>
        <w:tc>
          <w:tcPr>
            <w:tcW w:w="2412" w:type="dxa"/>
          </w:tcPr>
          <w:p w14:paraId="01E4B967" wp14:textId="77777777">
            <w:pPr>
              <w:spacing w:before="20" w:after="20"/>
            </w:pPr>
            <w:r/>
            <w:r>
              <w:rPr>
                <w:b w:val="0"/>
                <w:i w:val="0"/>
                <w:sz w:val="19"/>
              </w:rPr>
              <w:t>SSO, MFA, RBAC, Accreditation System, Policy-Based Access Control, Audit Trail</w:t>
            </w:r>
          </w:p>
        </w:tc>
        <w:tc>
          <w:tcPr>
            <w:tcW w:w="2412" w:type="dxa"/>
          </w:tcPr>
          <w:p w14:paraId="7E70E10B" wp14:textId="77777777">
            <w:pPr>
              <w:spacing w:before="20" w:after="20"/>
            </w:pPr>
            <w:r/>
            <w:r>
              <w:rPr>
                <w:b w:val="0"/>
                <w:i w:val="0"/>
                <w:sz w:val="19"/>
              </w:rPr>
              <w:t>Chapters 2, 7</w:t>
            </w:r>
          </w:p>
        </w:tc>
      </w:tr>
      <w:tr xmlns:wp14="http://schemas.microsoft.com/office/word/2010/wordml" w14:paraId="4A690ED8" wp14:textId="77777777">
        <w:tc>
          <w:tcPr>
            <w:tcW w:w="2412" w:type="dxa"/>
            <w:shd w:val="clear" w:fill="EEF3F8"/>
          </w:tcPr>
          <w:p w14:paraId="18F999B5" wp14:textId="77777777">
            <w:pPr>
              <w:spacing w:before="20" w:after="20"/>
            </w:pPr>
            <w:r/>
            <w:r>
              <w:rPr>
                <w:b w:val="0"/>
                <w:i w:val="0"/>
                <w:sz w:val="19"/>
              </w:rPr>
              <w:t>2</w:t>
            </w:r>
          </w:p>
        </w:tc>
        <w:tc>
          <w:tcPr>
            <w:tcW w:w="2412" w:type="dxa"/>
            <w:shd w:val="clear" w:fill="EEF3F8"/>
          </w:tcPr>
          <w:p w14:paraId="28744ED4" wp14:textId="77777777">
            <w:pPr>
              <w:spacing w:before="20" w:after="20"/>
            </w:pPr>
            <w:r/>
            <w:r>
              <w:rPr>
                <w:b w:val="0"/>
                <w:i w:val="0"/>
                <w:sz w:val="19"/>
              </w:rPr>
              <w:t>Governance &amp; Multi-Tenant</w:t>
            </w:r>
          </w:p>
        </w:tc>
        <w:tc>
          <w:tcPr>
            <w:tcW w:w="2412" w:type="dxa"/>
            <w:shd w:val="clear" w:fill="EEF3F8"/>
          </w:tcPr>
          <w:p w14:paraId="1715451F" wp14:textId="77777777">
            <w:pPr>
              <w:spacing w:before="20" w:after="20"/>
            </w:pPr>
            <w:r/>
            <w:r>
              <w:rPr>
                <w:b w:val="0"/>
                <w:i w:val="0"/>
                <w:sz w:val="19"/>
              </w:rPr>
              <w:t>Hybrid tenancy model, Venue hierarchy, Regional configuration</w:t>
            </w:r>
          </w:p>
        </w:tc>
        <w:tc>
          <w:tcPr>
            <w:tcW w:w="2412" w:type="dxa"/>
            <w:shd w:val="clear" w:fill="EEF3F8"/>
          </w:tcPr>
          <w:p w14:paraId="7E776177" wp14:textId="77777777">
            <w:pPr>
              <w:spacing w:before="20" w:after="20"/>
            </w:pPr>
            <w:r/>
            <w:r>
              <w:rPr>
                <w:b w:val="0"/>
                <w:i w:val="0"/>
                <w:sz w:val="19"/>
              </w:rPr>
              <w:t>Chapters 2, 7</w:t>
            </w:r>
          </w:p>
        </w:tc>
      </w:tr>
      <w:tr xmlns:wp14="http://schemas.microsoft.com/office/word/2010/wordml" w14:paraId="73564337" wp14:textId="77777777">
        <w:tc>
          <w:tcPr>
            <w:tcW w:w="2412" w:type="dxa"/>
          </w:tcPr>
          <w:p w14:paraId="5FCD5EC4" wp14:textId="77777777">
            <w:pPr>
              <w:spacing w:before="20" w:after="20"/>
            </w:pPr>
            <w:r/>
            <w:r>
              <w:rPr>
                <w:b w:val="0"/>
                <w:i w:val="0"/>
                <w:sz w:val="19"/>
              </w:rPr>
              <w:t>3</w:t>
            </w:r>
          </w:p>
        </w:tc>
        <w:tc>
          <w:tcPr>
            <w:tcW w:w="2412" w:type="dxa"/>
          </w:tcPr>
          <w:p w14:paraId="3A2F2879" wp14:textId="77777777">
            <w:pPr>
              <w:spacing w:before="20" w:after="20"/>
            </w:pPr>
            <w:r/>
            <w:r>
              <w:rPr>
                <w:b w:val="0"/>
                <w:i w:val="0"/>
                <w:sz w:val="19"/>
              </w:rPr>
              <w:t>Finance</w:t>
            </w:r>
          </w:p>
        </w:tc>
        <w:tc>
          <w:tcPr>
            <w:tcW w:w="2412" w:type="dxa"/>
          </w:tcPr>
          <w:p w14:paraId="50E6E727" wp14:textId="77777777">
            <w:pPr>
              <w:spacing w:before="20" w:after="20"/>
            </w:pPr>
            <w:r/>
            <w:r>
              <w:rPr>
                <w:b w:val="0"/>
                <w:i w:val="0"/>
                <w:sz w:val="19"/>
              </w:rPr>
              <w:t>Double-entry ledger, UAE VAT, Payment processing, Reconciliation, multi-currency, internal ERP (external ERP via red-card)</w:t>
            </w:r>
          </w:p>
        </w:tc>
        <w:tc>
          <w:tcPr>
            <w:tcW w:w="2412" w:type="dxa"/>
          </w:tcPr>
          <w:p w14:paraId="49B15BF2" wp14:textId="77777777">
            <w:pPr>
              <w:spacing w:before="20" w:after="20"/>
            </w:pPr>
            <w:r/>
            <w:r>
              <w:rPr>
                <w:b w:val="0"/>
                <w:i w:val="0"/>
                <w:sz w:val="19"/>
              </w:rPr>
              <w:t>Chapter 4</w:t>
            </w:r>
          </w:p>
        </w:tc>
      </w:tr>
      <w:tr xmlns:wp14="http://schemas.microsoft.com/office/word/2010/wordml" w14:paraId="6CAD797E" wp14:textId="77777777">
        <w:tc>
          <w:tcPr>
            <w:tcW w:w="2412" w:type="dxa"/>
            <w:shd w:val="clear" w:fill="EEF3F8"/>
          </w:tcPr>
          <w:p w14:paraId="2598DEE6" wp14:textId="77777777">
            <w:pPr>
              <w:spacing w:before="20" w:after="20"/>
            </w:pPr>
            <w:r/>
            <w:r>
              <w:rPr>
                <w:b w:val="0"/>
                <w:i w:val="0"/>
                <w:sz w:val="19"/>
              </w:rPr>
              <w:t>4</w:t>
            </w:r>
          </w:p>
        </w:tc>
        <w:tc>
          <w:tcPr>
            <w:tcW w:w="2412" w:type="dxa"/>
            <w:shd w:val="clear" w:fill="EEF3F8"/>
          </w:tcPr>
          <w:p w14:paraId="15AD0E5F" wp14:textId="77777777">
            <w:pPr>
              <w:spacing w:before="20" w:after="20"/>
            </w:pPr>
            <w:r/>
            <w:r>
              <w:rPr>
                <w:b w:val="0"/>
                <w:i w:val="0"/>
                <w:sz w:val="19"/>
              </w:rPr>
              <w:t>Ticketing &amp; Entitlement</w:t>
            </w:r>
          </w:p>
        </w:tc>
        <w:tc>
          <w:tcPr>
            <w:tcW w:w="2412" w:type="dxa"/>
            <w:shd w:val="clear" w:fill="EEF3F8"/>
          </w:tcPr>
          <w:p w14:paraId="158F334B" wp14:textId="77777777">
            <w:pPr>
              <w:spacing w:before="20" w:after="20"/>
            </w:pPr>
            <w:r/>
            <w:r>
              <w:rPr>
                <w:b w:val="0"/>
                <w:i w:val="0"/>
                <w:sz w:val="19"/>
              </w:rPr>
              <w:t>Cryptographic QR/RFID, Access control integration, Seatmaps, Apple/Google Wallet</w:t>
            </w:r>
          </w:p>
        </w:tc>
        <w:tc>
          <w:tcPr>
            <w:tcW w:w="2412" w:type="dxa"/>
            <w:shd w:val="clear" w:fill="EEF3F8"/>
          </w:tcPr>
          <w:p w14:paraId="3B873C9E" wp14:textId="77777777">
            <w:pPr>
              <w:spacing w:before="20" w:after="20"/>
            </w:pPr>
            <w:r/>
            <w:r>
              <w:rPr>
                <w:b w:val="0"/>
                <w:i w:val="0"/>
                <w:sz w:val="19"/>
              </w:rPr>
              <w:t>Chapter 3</w:t>
            </w:r>
          </w:p>
        </w:tc>
      </w:tr>
      <w:tr xmlns:wp14="http://schemas.microsoft.com/office/word/2010/wordml" w14:paraId="39C7AA1A" wp14:textId="77777777">
        <w:tc>
          <w:tcPr>
            <w:tcW w:w="2412" w:type="dxa"/>
          </w:tcPr>
          <w:p w14:paraId="78941E47" wp14:textId="77777777">
            <w:pPr>
              <w:spacing w:before="20" w:after="20"/>
            </w:pPr>
            <w:r/>
            <w:r>
              <w:rPr>
                <w:b w:val="0"/>
                <w:i w:val="0"/>
                <w:sz w:val="19"/>
              </w:rPr>
              <w:t>5</w:t>
            </w:r>
          </w:p>
        </w:tc>
        <w:tc>
          <w:tcPr>
            <w:tcW w:w="2412" w:type="dxa"/>
          </w:tcPr>
          <w:p w14:paraId="26F4AE32" wp14:textId="77777777">
            <w:pPr>
              <w:spacing w:before="20" w:after="20"/>
            </w:pPr>
            <w:r/>
            <w:r>
              <w:rPr>
                <w:b w:val="0"/>
                <w:i w:val="0"/>
                <w:sz w:val="19"/>
              </w:rPr>
              <w:t>Events &amp; Experience</w:t>
            </w:r>
          </w:p>
        </w:tc>
        <w:tc>
          <w:tcPr>
            <w:tcW w:w="2412" w:type="dxa"/>
          </w:tcPr>
          <w:p w14:paraId="7EA8758B" wp14:textId="77777777">
            <w:pPr>
              <w:spacing w:before="20" w:after="20"/>
            </w:pPr>
            <w:r/>
            <w:r>
              <w:rPr>
                <w:b w:val="0"/>
                <w:i w:val="0"/>
                <w:sz w:val="19"/>
              </w:rPr>
              <w:t>Scheduling, Virtual queue, Capacity management, Queue prediction</w:t>
            </w:r>
          </w:p>
        </w:tc>
        <w:tc>
          <w:tcPr>
            <w:tcW w:w="2412" w:type="dxa"/>
          </w:tcPr>
          <w:p w14:paraId="3F37F428" wp14:textId="77777777">
            <w:pPr>
              <w:spacing w:before="20" w:after="20"/>
            </w:pPr>
            <w:r/>
            <w:r>
              <w:rPr>
                <w:b w:val="0"/>
                <w:i w:val="0"/>
                <w:sz w:val="19"/>
              </w:rPr>
              <w:t>Chapter 3</w:t>
            </w:r>
          </w:p>
        </w:tc>
      </w:tr>
      <w:tr xmlns:wp14="http://schemas.microsoft.com/office/word/2010/wordml" w14:paraId="109F8259" wp14:textId="77777777">
        <w:tc>
          <w:tcPr>
            <w:tcW w:w="2412" w:type="dxa"/>
            <w:shd w:val="clear" w:fill="EEF3F8"/>
          </w:tcPr>
          <w:p w14:paraId="29B4EA11" wp14:textId="77777777">
            <w:pPr>
              <w:spacing w:before="20" w:after="20"/>
            </w:pPr>
            <w:r/>
            <w:r>
              <w:rPr>
                <w:b w:val="0"/>
                <w:i w:val="0"/>
                <w:sz w:val="19"/>
              </w:rPr>
              <w:t>6</w:t>
            </w:r>
          </w:p>
        </w:tc>
        <w:tc>
          <w:tcPr>
            <w:tcW w:w="2412" w:type="dxa"/>
            <w:shd w:val="clear" w:fill="EEF3F8"/>
          </w:tcPr>
          <w:p w14:paraId="0CAE2970" wp14:textId="77777777">
            <w:pPr>
              <w:spacing w:before="20" w:after="20"/>
            </w:pPr>
            <w:r/>
            <w:r>
              <w:rPr>
                <w:b w:val="0"/>
                <w:i w:val="0"/>
                <w:sz w:val="19"/>
              </w:rPr>
              <w:t>Sales &amp; Commerce</w:t>
            </w:r>
          </w:p>
        </w:tc>
        <w:tc>
          <w:tcPr>
            <w:tcW w:w="2412" w:type="dxa"/>
            <w:shd w:val="clear" w:fill="EEF3F8"/>
          </w:tcPr>
          <w:p w14:paraId="28F8D108" wp14:textId="77777777">
            <w:pPr>
              <w:spacing w:before="20" w:after="20"/>
            </w:pPr>
            <w:r/>
            <w:r>
              <w:rPr>
                <w:b w:val="0"/>
                <w:i w:val="0"/>
                <w:sz w:val="19"/>
              </w:rPr>
              <w:t>Storefront, Order management, Partner portal, Promotions, Membership sales</w:t>
            </w:r>
          </w:p>
        </w:tc>
        <w:tc>
          <w:tcPr>
            <w:tcW w:w="2412" w:type="dxa"/>
            <w:shd w:val="clear" w:fill="EEF3F8"/>
          </w:tcPr>
          <w:p w14:paraId="2C4D05EE" wp14:textId="77777777">
            <w:pPr>
              <w:spacing w:before="20" w:after="20"/>
            </w:pPr>
            <w:r/>
            <w:r>
              <w:rPr>
                <w:b w:val="0"/>
                <w:i w:val="0"/>
                <w:sz w:val="19"/>
              </w:rPr>
              <w:t>Chapters 3, 4</w:t>
            </w:r>
          </w:p>
        </w:tc>
      </w:tr>
      <w:tr xmlns:wp14="http://schemas.microsoft.com/office/word/2010/wordml" w14:paraId="34C02366" wp14:textId="77777777">
        <w:tc>
          <w:tcPr>
            <w:tcW w:w="2412" w:type="dxa"/>
          </w:tcPr>
          <w:p w14:paraId="75697EEC" wp14:textId="77777777">
            <w:pPr>
              <w:spacing w:before="20" w:after="20"/>
            </w:pPr>
            <w:r/>
            <w:r>
              <w:rPr>
                <w:b w:val="0"/>
                <w:i w:val="0"/>
                <w:sz w:val="19"/>
              </w:rPr>
              <w:t>7</w:t>
            </w:r>
          </w:p>
        </w:tc>
        <w:tc>
          <w:tcPr>
            <w:tcW w:w="2412" w:type="dxa"/>
          </w:tcPr>
          <w:p w14:paraId="2EFB2FD5" wp14:textId="77777777">
            <w:pPr>
              <w:spacing w:before="20" w:after="20"/>
            </w:pPr>
            <w:r/>
            <w:r>
              <w:rPr>
                <w:b w:val="0"/>
                <w:i w:val="0"/>
                <w:sz w:val="19"/>
              </w:rPr>
              <w:t>POS &amp; Frontline Operations</w:t>
            </w:r>
          </w:p>
        </w:tc>
        <w:tc>
          <w:tcPr>
            <w:tcW w:w="2412" w:type="dxa"/>
          </w:tcPr>
          <w:p w14:paraId="4B31BDBA" wp14:textId="77777777">
            <w:pPr>
              <w:spacing w:before="20" w:after="20"/>
            </w:pPr>
            <w:r/>
            <w:r>
              <w:rPr>
                <w:b w:val="0"/>
                <w:i w:val="0"/>
                <w:sz w:val="19"/>
              </w:rPr>
              <w:t>Offline-first POS, Kiosk, Flying POS, Hardware integration</w:t>
            </w:r>
          </w:p>
        </w:tc>
        <w:tc>
          <w:tcPr>
            <w:tcW w:w="2412" w:type="dxa"/>
          </w:tcPr>
          <w:p w14:paraId="73FB182E" wp14:textId="77777777">
            <w:pPr>
              <w:spacing w:before="20" w:after="20"/>
            </w:pPr>
            <w:r/>
            <w:r>
              <w:rPr>
                <w:b w:val="0"/>
                <w:i w:val="0"/>
                <w:sz w:val="19"/>
              </w:rPr>
              <w:t>Chapters 3, 7</w:t>
            </w:r>
          </w:p>
        </w:tc>
      </w:tr>
      <w:tr xmlns:wp14="http://schemas.microsoft.com/office/word/2010/wordml" w14:paraId="6092EDC2" wp14:textId="77777777">
        <w:tc>
          <w:tcPr>
            <w:tcW w:w="2412" w:type="dxa"/>
            <w:shd w:val="clear" w:fill="EEF3F8"/>
          </w:tcPr>
          <w:p w14:paraId="44B0A208" wp14:textId="77777777">
            <w:pPr>
              <w:spacing w:before="20" w:after="20"/>
            </w:pPr>
            <w:r/>
            <w:r>
              <w:rPr>
                <w:b w:val="0"/>
                <w:i w:val="0"/>
                <w:sz w:val="19"/>
              </w:rPr>
              <w:t>8</w:t>
            </w:r>
          </w:p>
        </w:tc>
        <w:tc>
          <w:tcPr>
            <w:tcW w:w="2412" w:type="dxa"/>
            <w:shd w:val="clear" w:fill="EEF3F8"/>
          </w:tcPr>
          <w:p w14:paraId="3C709EB7" wp14:textId="77777777">
            <w:pPr>
              <w:spacing w:before="20" w:after="20"/>
            </w:pPr>
            <w:r/>
            <w:r>
              <w:rPr>
                <w:b w:val="0"/>
                <w:i w:val="0"/>
                <w:sz w:val="19"/>
              </w:rPr>
              <w:t>Marketing &amp; Customer Engagement</w:t>
            </w:r>
          </w:p>
        </w:tc>
        <w:tc>
          <w:tcPr>
            <w:tcW w:w="2412" w:type="dxa"/>
            <w:shd w:val="clear" w:fill="EEF3F8"/>
          </w:tcPr>
          <w:p w14:paraId="7BEBB5BA" wp14:textId="77777777">
            <w:pPr>
              <w:spacing w:before="20" w:after="20"/>
            </w:pPr>
            <w:r/>
            <w:r>
              <w:rPr>
                <w:b w:val="0"/>
                <w:i w:val="0"/>
                <w:sz w:val="19"/>
              </w:rPr>
              <w:t>Full internal CRM, Campaigns, Gamification, CMS, Digital waivers</w:t>
            </w:r>
          </w:p>
        </w:tc>
        <w:tc>
          <w:tcPr>
            <w:tcW w:w="2412" w:type="dxa"/>
            <w:shd w:val="clear" w:fill="EEF3F8"/>
          </w:tcPr>
          <w:p w14:paraId="38F77DEF" wp14:textId="77777777">
            <w:pPr>
              <w:spacing w:before="20" w:after="20"/>
            </w:pPr>
            <w:r/>
            <w:r>
              <w:rPr>
                <w:b w:val="0"/>
                <w:i w:val="0"/>
                <w:sz w:val="19"/>
              </w:rPr>
              <w:t>Chapter 3</w:t>
            </w:r>
          </w:p>
        </w:tc>
      </w:tr>
      <w:tr xmlns:wp14="http://schemas.microsoft.com/office/word/2010/wordml" w14:paraId="6B817DCC" wp14:textId="77777777">
        <w:tc>
          <w:tcPr>
            <w:tcW w:w="2412" w:type="dxa"/>
          </w:tcPr>
          <w:p w14:paraId="2B2B7304" wp14:textId="77777777">
            <w:pPr>
              <w:spacing w:before="20" w:after="20"/>
            </w:pPr>
            <w:r/>
            <w:r>
              <w:rPr>
                <w:b w:val="0"/>
                <w:i w:val="0"/>
                <w:sz w:val="19"/>
              </w:rPr>
              <w:t>9</w:t>
            </w:r>
          </w:p>
        </w:tc>
        <w:tc>
          <w:tcPr>
            <w:tcW w:w="2412" w:type="dxa"/>
          </w:tcPr>
          <w:p w14:paraId="01F3DF03" wp14:textId="77777777">
            <w:pPr>
              <w:spacing w:before="20" w:after="20"/>
            </w:pPr>
            <w:r/>
            <w:r>
              <w:rPr>
                <w:b w:val="0"/>
                <w:i w:val="0"/>
                <w:sz w:val="19"/>
              </w:rPr>
              <w:t>Intelligence &amp; AI</w:t>
            </w:r>
          </w:p>
        </w:tc>
        <w:tc>
          <w:tcPr>
            <w:tcW w:w="2412" w:type="dxa"/>
          </w:tcPr>
          <w:p w14:paraId="5255CAC0" wp14:textId="77777777">
            <w:pPr>
              <w:spacing w:before="20" w:after="20"/>
            </w:pPr>
            <w:r/>
            <w:r>
              <w:rPr>
                <w:b w:val="0"/>
                <w:i w:val="0"/>
                <w:sz w:val="19"/>
              </w:rPr>
              <w:t>AI assistants (LLM-powered), BI dashboards, Search &amp; Discovery, System Telemetry, Data pipeline, Rule-based Pricing &amp; Fraud engines. Future ML capabilities recommended when data is ready.</w:t>
            </w:r>
          </w:p>
        </w:tc>
        <w:tc>
          <w:tcPr>
            <w:tcW w:w="2412" w:type="dxa"/>
          </w:tcPr>
          <w:p w14:paraId="2A0002B6" wp14:textId="77777777">
            <w:pPr>
              <w:spacing w:before="20" w:after="20"/>
            </w:pPr>
            <w:r/>
            <w:r>
              <w:rPr>
                <w:b w:val="0"/>
                <w:i w:val="0"/>
                <w:sz w:val="19"/>
              </w:rPr>
              <w:t>Chapter 5</w:t>
            </w:r>
          </w:p>
        </w:tc>
      </w:tr>
      <w:tr xmlns:wp14="http://schemas.microsoft.com/office/word/2010/wordml" w14:paraId="2F5B23C6" wp14:textId="77777777">
        <w:tc>
          <w:tcPr>
            <w:tcW w:w="2412" w:type="dxa"/>
            <w:shd w:val="clear" w:fill="EEF3F8"/>
          </w:tcPr>
          <w:p w14:paraId="5D369756" wp14:textId="77777777">
            <w:pPr>
              <w:spacing w:before="20" w:after="20"/>
            </w:pPr>
            <w:r/>
            <w:r>
              <w:rPr>
                <w:b w:val="0"/>
                <w:i w:val="0"/>
                <w:sz w:val="19"/>
              </w:rPr>
              <w:t>10</w:t>
            </w:r>
          </w:p>
        </w:tc>
        <w:tc>
          <w:tcPr>
            <w:tcW w:w="2412" w:type="dxa"/>
            <w:shd w:val="clear" w:fill="EEF3F8"/>
          </w:tcPr>
          <w:p w14:paraId="14B964BC" wp14:textId="77777777">
            <w:pPr>
              <w:spacing w:before="20" w:after="20"/>
            </w:pPr>
            <w:r/>
            <w:r>
              <w:rPr>
                <w:b w:val="0"/>
                <w:i w:val="0"/>
                <w:sz w:val="19"/>
              </w:rPr>
              <w:t>Operations &amp; Logistics</w:t>
            </w:r>
          </w:p>
        </w:tc>
        <w:tc>
          <w:tcPr>
            <w:tcW w:w="2412" w:type="dxa"/>
            <w:shd w:val="clear" w:fill="EEF3F8"/>
          </w:tcPr>
          <w:p w14:paraId="6FF6B90F" wp14:textId="77777777">
            <w:pPr>
              <w:spacing w:before="20" w:after="20"/>
            </w:pPr>
            <w:r/>
            <w:r>
              <w:rPr>
                <w:b w:val="0"/>
                <w:i w:val="0"/>
                <w:sz w:val="19"/>
              </w:rPr>
              <w:t>Inventory, Procurement, Staff rostering, Opera PMS, Command Center</w:t>
            </w:r>
          </w:p>
        </w:tc>
        <w:tc>
          <w:tcPr>
            <w:tcW w:w="2412" w:type="dxa"/>
            <w:shd w:val="clear" w:fill="EEF3F8"/>
          </w:tcPr>
          <w:p w14:paraId="57C568A8" wp14:textId="77777777">
            <w:pPr>
              <w:spacing w:before="20" w:after="20"/>
            </w:pPr>
            <w:r/>
            <w:r>
              <w:rPr>
                <w:b w:val="0"/>
                <w:i w:val="0"/>
                <w:sz w:val="19"/>
              </w:rPr>
              <w:t>Chapter 3</w:t>
            </w:r>
          </w:p>
        </w:tc>
      </w:tr>
      <w:tr xmlns:wp14="http://schemas.microsoft.com/office/word/2010/wordml" w14:paraId="44014A7A" wp14:textId="77777777">
        <w:tc>
          <w:tcPr>
            <w:tcW w:w="2412" w:type="dxa"/>
          </w:tcPr>
          <w:p w14:paraId="4737E36C" wp14:textId="77777777">
            <w:pPr>
              <w:spacing w:before="20" w:after="20"/>
            </w:pPr>
            <w:r/>
            <w:r>
              <w:rPr>
                <w:b w:val="0"/>
                <w:i w:val="0"/>
                <w:sz w:val="19"/>
              </w:rPr>
              <w:t>11</w:t>
            </w:r>
          </w:p>
        </w:tc>
        <w:tc>
          <w:tcPr>
            <w:tcW w:w="2412" w:type="dxa"/>
          </w:tcPr>
          <w:p w14:paraId="4047B178" wp14:textId="77777777">
            <w:pPr>
              <w:spacing w:before="20" w:after="20"/>
            </w:pPr>
            <w:r/>
            <w:r>
              <w:rPr>
                <w:b w:val="0"/>
                <w:i w:val="0"/>
                <w:sz w:val="19"/>
              </w:rPr>
              <w:t>Ecosystem &amp; Infrastructure</w:t>
            </w:r>
          </w:p>
        </w:tc>
        <w:tc>
          <w:tcPr>
            <w:tcW w:w="2412" w:type="dxa"/>
          </w:tcPr>
          <w:p w14:paraId="2EAB3546" wp14:textId="77777777">
            <w:pPr>
              <w:spacing w:before="20" w:after="20"/>
            </w:pPr>
            <w:r/>
            <w:r>
              <w:rPr>
                <w:b w:val="0"/>
                <w:i w:val="0"/>
                <w:sz w:val="19"/>
              </w:rPr>
              <w:t>API Gateway, Developer portal, GDPR, PCI-DSS, DESC, DR/Backup</w:t>
            </w:r>
          </w:p>
        </w:tc>
        <w:tc>
          <w:tcPr>
            <w:tcW w:w="2412" w:type="dxa"/>
          </w:tcPr>
          <w:p w14:paraId="0E547134" wp14:textId="77777777">
            <w:pPr>
              <w:spacing w:before="20" w:after="20"/>
            </w:pPr>
            <w:r/>
            <w:r>
              <w:rPr>
                <w:b w:val="0"/>
                <w:i w:val="0"/>
                <w:sz w:val="19"/>
              </w:rPr>
              <w:t>Chapter 6</w:t>
            </w:r>
          </w:p>
        </w:tc>
      </w:tr>
      <w:tr xmlns:wp14="http://schemas.microsoft.com/office/word/2010/wordml" w14:paraId="143057D9" wp14:textId="77777777">
        <w:tc>
          <w:tcPr>
            <w:tcW w:w="2412" w:type="dxa"/>
            <w:shd w:val="clear" w:fill="EEF3F8"/>
          </w:tcPr>
          <w:p w14:paraId="4B73E586" wp14:textId="77777777">
            <w:pPr>
              <w:spacing w:before="20" w:after="20"/>
            </w:pPr>
            <w:r/>
            <w:r>
              <w:rPr>
                <w:b w:val="0"/>
                <w:i w:val="0"/>
                <w:sz w:val="19"/>
              </w:rPr>
              <w:t>12</w:t>
            </w:r>
          </w:p>
        </w:tc>
        <w:tc>
          <w:tcPr>
            <w:tcW w:w="2412" w:type="dxa"/>
            <w:shd w:val="clear" w:fill="EEF3F8"/>
          </w:tcPr>
          <w:p w14:paraId="59C545AE" wp14:textId="77777777">
            <w:pPr>
              <w:spacing w:before="20" w:after="20"/>
            </w:pPr>
            <w:r/>
            <w:r>
              <w:rPr>
                <w:b w:val="0"/>
                <w:i w:val="0"/>
                <w:sz w:val="19"/>
              </w:rPr>
              <w:t>Non-Functional Requirements</w:t>
            </w:r>
          </w:p>
        </w:tc>
        <w:tc>
          <w:tcPr>
            <w:tcW w:w="2412" w:type="dxa"/>
            <w:shd w:val="clear" w:fill="EEF3F8"/>
          </w:tcPr>
          <w:p w14:paraId="54A8CF61" wp14:textId="77777777">
            <w:pPr>
              <w:spacing w:before="20" w:after="20"/>
            </w:pPr>
            <w:r/>
            <w:r>
              <w:rPr>
                <w:b w:val="0"/>
                <w:i w:val="0"/>
                <w:sz w:val="19"/>
              </w:rPr>
              <w:t>99.9% uptime, sub-500ms validation, Kubernetes, EN+AR, UA compliance</w:t>
            </w:r>
          </w:p>
        </w:tc>
        <w:tc>
          <w:tcPr>
            <w:tcW w:w="2412" w:type="dxa"/>
            <w:shd w:val="clear" w:fill="EEF3F8"/>
          </w:tcPr>
          <w:p w14:paraId="69345BCF" wp14:textId="77777777">
            <w:pPr>
              <w:spacing w:before="20" w:after="20"/>
            </w:pPr>
            <w:r/>
            <w:r>
              <w:rPr>
                <w:b w:val="0"/>
                <w:i w:val="0"/>
                <w:sz w:val="19"/>
              </w:rPr>
              <w:t>Chapters 2, 3, 7</w:t>
            </w:r>
          </w:p>
        </w:tc>
      </w:tr>
    </w:tbl>
    <w:p xmlns:wp14="http://schemas.microsoft.com/office/word/2010/wordml" w14:paraId="5DAB6C7B" wp14:textId="77777777">
      <w:pPr>
        <w:spacing w:after="40"/>
      </w:pPr>
    </w:p>
    <w:p xmlns:wp14="http://schemas.microsoft.com/office/word/2010/wordml" w14:paraId="6A2B1410" wp14:textId="77777777">
      <w:pPr>
        <w:spacing w:after="120" w:line="259" w:lineRule="auto"/>
      </w:pPr>
      <w:r>
        <w:rPr>
          <w:b w:val="0"/>
          <w:i w:val="0"/>
        </w:rPr>
        <w:t>The depth of coverage for each domain varies in the proposal based on complexity and evaluator interest. Identity &amp; Security, Finance, AI, and Offline Architecture each receive dedicated chapters because their technical implementation is sufficiently complex to warrant extended treatment. Domains like Events &amp; Experience and Sales &amp; Commerce are covered in the Functional Coverage chapter with per-capability implementation detail. No domain is treated as a checkbox.</w:t>
      </w:r>
    </w:p>
    <w:p xmlns:wp14="http://schemas.microsoft.com/office/word/2010/wordml" w14:paraId="0DB82497" wp14:textId="77777777">
      <w:pPr>
        <w:pStyle w:val="Heading2"/>
        <w:spacing w:before="200" w:after="80"/>
      </w:pPr>
      <w:r>
        <w:rPr>
          <w:b/>
          <w:color w:val="2E75B6"/>
          <w:sz w:val="28"/>
        </w:rPr>
        <w:t>1.4 Scope Boundary — What Softlabs Group Delivers</w:t>
      </w:r>
    </w:p>
    <w:p xmlns:wp14="http://schemas.microsoft.com/office/word/2010/wordml" w14:paraId="6957535C" wp14:textId="77777777">
      <w:pPr>
        <w:spacing w:after="120" w:line="259" w:lineRule="auto"/>
      </w:pPr>
      <w:r>
        <w:rPr>
          <w:b w:val="0"/>
          <w:i w:val="0"/>
        </w:rPr>
        <w:t>The Q&amp;A responses confirmed clear scope boundaries. The following is the definitive statement of what falls within the development partnership and what remains the client’s operational responsibility. This boundary was important to establish explicitly because it has direct implications for costing, timeline accountability, and post-delivery operations.</w:t>
      </w: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276892AB" wp14:textId="77777777">
        <w:tc>
          <w:tcPr>
            <w:tcW w:w="4824" w:type="dxa"/>
            <w:shd w:val="clear" w:fill="1F3864"/>
          </w:tcPr>
          <w:p w14:paraId="2ED5FBD8" wp14:textId="77777777">
            <w:pPr>
              <w:spacing w:before="20" w:after="20"/>
            </w:pPr>
            <w:r/>
            <w:r>
              <w:rPr>
                <w:b/>
                <w:i w:val="0"/>
                <w:color w:val="FFFFFF"/>
                <w:sz w:val="19"/>
              </w:rPr>
              <w:t>Softlabs Group Delivers</w:t>
            </w:r>
          </w:p>
        </w:tc>
        <w:tc>
          <w:tcPr>
            <w:tcW w:w="4824" w:type="dxa"/>
            <w:shd w:val="clear" w:fill="1F3864"/>
          </w:tcPr>
          <w:p w14:paraId="7EB0048B" wp14:textId="77777777">
            <w:pPr>
              <w:spacing w:before="20" w:after="20"/>
            </w:pPr>
            <w:r/>
            <w:r>
              <w:rPr>
                <w:b/>
                <w:i w:val="0"/>
                <w:color w:val="FFFFFF"/>
                <w:sz w:val="19"/>
              </w:rPr>
              <w:t>Client Responsibility</w:t>
            </w:r>
          </w:p>
        </w:tc>
      </w:tr>
      <w:tr xmlns:wp14="http://schemas.microsoft.com/office/word/2010/wordml" w14:paraId="3F151863" wp14:textId="77777777">
        <w:tc>
          <w:tcPr>
            <w:tcW w:w="4824" w:type="dxa"/>
          </w:tcPr>
          <w:p w14:paraId="41EC61A2" wp14:textId="77777777">
            <w:pPr>
              <w:spacing w:before="20" w:after="20"/>
            </w:pPr>
            <w:r/>
            <w:r>
              <w:rPr>
                <w:b w:val="0"/>
                <w:i w:val="0"/>
                <w:sz w:val="19"/>
              </w:rPr>
              <w:t>✓ Platform development — all 12 functional domains, custom-built</w:t>
            </w:r>
          </w:p>
        </w:tc>
        <w:tc>
          <w:tcPr>
            <w:tcW w:w="4824" w:type="dxa"/>
          </w:tcPr>
          <w:p w14:paraId="16B5D958" wp14:textId="77777777">
            <w:pPr>
              <w:spacing w:before="20" w:after="20"/>
            </w:pPr>
            <w:r/>
            <w:r>
              <w:rPr>
                <w:b w:val="0"/>
                <w:i w:val="0"/>
                <w:sz w:val="19"/>
              </w:rPr>
              <w:t>✗ Hardware — POS terminals, scanners, kiosks, access gates, RFID/NFC</w:t>
            </w:r>
          </w:p>
        </w:tc>
      </w:tr>
      <w:tr xmlns:wp14="http://schemas.microsoft.com/office/word/2010/wordml" w14:paraId="7D2CCC5B" wp14:textId="77777777">
        <w:tc>
          <w:tcPr>
            <w:tcW w:w="4824" w:type="dxa"/>
            <w:shd w:val="clear" w:fill="EEF3F8"/>
          </w:tcPr>
          <w:p w14:paraId="1ED51B83" wp14:textId="77777777">
            <w:pPr>
              <w:spacing w:before="20" w:after="20"/>
            </w:pPr>
            <w:r/>
            <w:r>
              <w:rPr>
                <w:b w:val="0"/>
                <w:i w:val="0"/>
                <w:sz w:val="19"/>
              </w:rPr>
              <w:t>✓ Integration development — all third-party APIs and connectors</w:t>
            </w:r>
          </w:p>
        </w:tc>
        <w:tc>
          <w:tcPr>
            <w:tcW w:w="4824" w:type="dxa"/>
            <w:shd w:val="clear" w:fill="EEF3F8"/>
          </w:tcPr>
          <w:p w14:paraId="05254F22" wp14:textId="77777777">
            <w:pPr>
              <w:spacing w:before="20" w:after="20"/>
            </w:pPr>
            <w:r/>
            <w:r>
              <w:rPr>
                <w:b w:val="0"/>
                <w:i w:val="0"/>
                <w:sz w:val="19"/>
              </w:rPr>
              <w:t>✗ Cloud infrastructure provisioning, operation, and costs</w:t>
            </w:r>
          </w:p>
        </w:tc>
      </w:tr>
      <w:tr xmlns:wp14="http://schemas.microsoft.com/office/word/2010/wordml" w14:paraId="5D833E82" wp14:textId="77777777">
        <w:tc>
          <w:tcPr>
            <w:tcW w:w="4824" w:type="dxa"/>
          </w:tcPr>
          <w:p w14:paraId="34A96F42" wp14:textId="77777777">
            <w:pPr>
              <w:spacing w:before="20" w:after="20"/>
            </w:pPr>
            <w:r/>
            <w:r>
              <w:rPr>
                <w:b w:val="0"/>
                <w:i w:val="0"/>
                <w:sz w:val="19"/>
              </w:rPr>
              <w:t>✓ Mobile apps — Guest (iOS + Android), Staff (Android first)</w:t>
            </w:r>
          </w:p>
        </w:tc>
        <w:tc>
          <w:tcPr>
            <w:tcW w:w="4824" w:type="dxa"/>
          </w:tcPr>
          <w:p w14:paraId="47BBC42F" wp14:textId="77777777">
            <w:pPr>
              <w:spacing w:before="20" w:after="20"/>
            </w:pPr>
            <w:r/>
            <w:r>
              <w:rPr>
                <w:b w:val="0"/>
                <w:i w:val="0"/>
                <w:sz w:val="19"/>
              </w:rPr>
              <w:t>✗ Payment gateway and SMS/email provider contracts</w:t>
            </w:r>
          </w:p>
        </w:tc>
      </w:tr>
      <w:tr xmlns:wp14="http://schemas.microsoft.com/office/word/2010/wordml" w14:paraId="0900D1D2" wp14:textId="77777777">
        <w:tc>
          <w:tcPr>
            <w:tcW w:w="4824" w:type="dxa"/>
            <w:shd w:val="clear" w:fill="EEF3F8"/>
          </w:tcPr>
          <w:p w14:paraId="41C2A1B3" wp14:textId="77777777">
            <w:pPr>
              <w:spacing w:before="20" w:after="20"/>
            </w:pPr>
            <w:r/>
            <w:r>
              <w:rPr>
                <w:b w:val="0"/>
                <w:i w:val="0"/>
                <w:sz w:val="19"/>
              </w:rPr>
              <w:t>✓ Infrastructure as Code — Terraform modules + Helm charts</w:t>
            </w:r>
          </w:p>
        </w:tc>
        <w:tc>
          <w:tcPr>
            <w:tcW w:w="4824" w:type="dxa"/>
            <w:shd w:val="clear" w:fill="EEF3F8"/>
          </w:tcPr>
          <w:p w14:paraId="25771CAE" wp14:textId="77777777">
            <w:pPr>
              <w:spacing w:before="20" w:after="20"/>
            </w:pPr>
            <w:r/>
            <w:r>
              <w:rPr>
                <w:b w:val="0"/>
                <w:i w:val="0"/>
                <w:sz w:val="19"/>
              </w:rPr>
              <w:t>✗ SSL certificates and ongoing third-party licence renewals</w:t>
            </w:r>
          </w:p>
        </w:tc>
      </w:tr>
      <w:tr xmlns:wp14="http://schemas.microsoft.com/office/word/2010/wordml" w14:paraId="721EF374" wp14:textId="77777777">
        <w:tc>
          <w:tcPr>
            <w:tcW w:w="4824" w:type="dxa"/>
          </w:tcPr>
          <w:p w14:paraId="3512B26D" wp14:textId="77777777">
            <w:pPr>
              <w:spacing w:before="20" w:after="20"/>
            </w:pPr>
            <w:r/>
            <w:r>
              <w:rPr>
                <w:b w:val="0"/>
                <w:i w:val="0"/>
                <w:sz w:val="19"/>
              </w:rPr>
              <w:t>✓ Infrastructure sizing guidance and architecture recommendations</w:t>
            </w:r>
          </w:p>
        </w:tc>
        <w:tc>
          <w:tcPr>
            <w:tcW w:w="4824" w:type="dxa"/>
          </w:tcPr>
          <w:p w14:paraId="0A7FDBC9" wp14:textId="77777777">
            <w:pPr>
              <w:spacing w:before="20" w:after="20"/>
            </w:pPr>
            <w:r/>
            <w:r>
              <w:rPr>
                <w:b w:val="0"/>
                <w:i w:val="0"/>
                <w:sz w:val="19"/>
              </w:rPr>
              <w:t>✗ Infrastructure bandwidth, compute, and storage usage costs</w:t>
            </w:r>
          </w:p>
        </w:tc>
      </w:tr>
      <w:tr xmlns:wp14="http://schemas.microsoft.com/office/word/2010/wordml" w14:paraId="6A63AF45" wp14:textId="77777777">
        <w:tc>
          <w:tcPr>
            <w:tcW w:w="4824" w:type="dxa"/>
            <w:shd w:val="clear" w:fill="EEF3F8"/>
          </w:tcPr>
          <w:p w14:paraId="0FE2091B" wp14:textId="77777777">
            <w:pPr>
              <w:spacing w:before="20" w:after="20"/>
            </w:pPr>
            <w:r/>
            <w:r>
              <w:rPr>
                <w:b w:val="0"/>
                <w:i w:val="0"/>
                <w:sz w:val="19"/>
              </w:rPr>
              <w:t>✓ CI/CD pipeline, automated testing, observability stack</w:t>
            </w:r>
          </w:p>
        </w:tc>
        <w:tc>
          <w:tcPr>
            <w:tcW w:w="4824" w:type="dxa"/>
            <w:shd w:val="clear" w:fill="EEF3F8"/>
          </w:tcPr>
          <w:p w14:paraId="0971B737" wp14:textId="77777777">
            <w:pPr>
              <w:spacing w:before="20" w:after="20"/>
            </w:pPr>
            <w:r/>
            <w:r>
              <w:rPr>
                <w:b w:val="0"/>
                <w:i w:val="0"/>
                <w:sz w:val="19"/>
              </w:rPr>
              <w:t>✗ Post-Hypercare day-to-day platform operations</w:t>
            </w:r>
          </w:p>
        </w:tc>
      </w:tr>
      <w:tr xmlns:wp14="http://schemas.microsoft.com/office/word/2010/wordml" w14:paraId="009A922E" wp14:textId="77777777">
        <w:tc>
          <w:tcPr>
            <w:tcW w:w="4824" w:type="dxa"/>
          </w:tcPr>
          <w:p w14:paraId="32D082E5" wp14:textId="77777777">
            <w:pPr>
              <w:spacing w:before="20" w:after="20"/>
            </w:pPr>
            <w:r/>
            <w:r>
              <w:rPr>
                <w:b w:val="0"/>
                <w:i w:val="0"/>
                <w:sz w:val="19"/>
              </w:rPr>
              <w:t>✓ Security controls — PCI-DSS scope reduction, DESC ISR compatibility</w:t>
            </w:r>
          </w:p>
        </w:tc>
        <w:tc>
          <w:tcPr>
            <w:tcW w:w="4824" w:type="dxa"/>
          </w:tcPr>
          <w:p w14:paraId="02EB378F" wp14:textId="77777777">
            <w:pPr>
              <w:spacing w:before="20" w:after="20"/>
            </w:pPr>
            <w:r/>
          </w:p>
        </w:tc>
      </w:tr>
      <w:tr xmlns:wp14="http://schemas.microsoft.com/office/word/2010/wordml" w14:paraId="45B2064D" wp14:textId="77777777">
        <w:tc>
          <w:tcPr>
            <w:tcW w:w="4824" w:type="dxa"/>
            <w:shd w:val="clear" w:fill="EEF3F8"/>
          </w:tcPr>
          <w:p w14:paraId="37337890" wp14:textId="77777777">
            <w:pPr>
              <w:spacing w:before="20" w:after="20"/>
            </w:pPr>
            <w:r/>
            <w:r>
              <w:rPr>
                <w:b w:val="0"/>
                <w:i w:val="0"/>
                <w:sz w:val="19"/>
              </w:rPr>
              <w:t>✓ Data migration tooling — profiles, memberships, wallets, tickets</w:t>
            </w:r>
          </w:p>
        </w:tc>
        <w:tc>
          <w:tcPr>
            <w:tcW w:w="4824" w:type="dxa"/>
            <w:shd w:val="clear" w:fill="EEF3F8"/>
          </w:tcPr>
          <w:p w14:paraId="6A05A809" wp14:textId="77777777">
            <w:pPr>
              <w:spacing w:before="20" w:after="20"/>
            </w:pPr>
            <w:r/>
          </w:p>
        </w:tc>
      </w:tr>
      <w:tr xmlns:wp14="http://schemas.microsoft.com/office/word/2010/wordml" w14:paraId="2638DC26" wp14:textId="77777777">
        <w:tc>
          <w:tcPr>
            <w:tcW w:w="4824" w:type="dxa"/>
          </w:tcPr>
          <w:p w14:paraId="7A12BEA7" wp14:textId="77777777">
            <w:pPr>
              <w:spacing w:before="20" w:after="20"/>
            </w:pPr>
            <w:r/>
            <w:r>
              <w:rPr>
                <w:b w:val="0"/>
                <w:i w:val="0"/>
                <w:sz w:val="19"/>
              </w:rPr>
              <w:t>✓ Full technical documentation and user training materials</w:t>
            </w:r>
          </w:p>
        </w:tc>
        <w:tc>
          <w:tcPr>
            <w:tcW w:w="4824" w:type="dxa"/>
          </w:tcPr>
          <w:p w14:paraId="5A39BBE3" wp14:textId="77777777">
            <w:pPr>
              <w:spacing w:before="20" w:after="20"/>
            </w:pPr>
            <w:r/>
          </w:p>
        </w:tc>
      </w:tr>
      <w:tr xmlns:wp14="http://schemas.microsoft.com/office/word/2010/wordml" w14:paraId="4E6D81A8" wp14:textId="77777777">
        <w:tc>
          <w:tcPr>
            <w:tcW w:w="4824" w:type="dxa"/>
            <w:shd w:val="clear" w:fill="EEF3F8"/>
          </w:tcPr>
          <w:p w14:paraId="4EA4426E" wp14:textId="77777777">
            <w:pPr>
              <w:spacing w:before="20" w:after="20"/>
            </w:pPr>
            <w:r/>
            <w:r>
              <w:rPr>
                <w:b w:val="0"/>
                <w:i w:val="0"/>
                <w:sz w:val="19"/>
              </w:rPr>
              <w:t>✓ 6-month Hypercare — defects, minor adjustments, stabilisation. AMC, dedicated-resource option, and Change Request support thereafter</w:t>
            </w:r>
          </w:p>
        </w:tc>
        <w:tc>
          <w:tcPr>
            <w:tcW w:w="4824" w:type="dxa"/>
            <w:shd w:val="clear" w:fill="EEF3F8"/>
          </w:tcPr>
          <w:p w14:paraId="41C8F396" wp14:textId="77777777">
            <w:pPr>
              <w:spacing w:before="20" w:after="20"/>
            </w:pPr>
            <w:r/>
          </w:p>
        </w:tc>
      </w:tr>
      <w:tr xmlns:wp14="http://schemas.microsoft.com/office/word/2010/wordml" w14:paraId="4CE8D203" wp14:textId="77777777">
        <w:tc>
          <w:tcPr>
            <w:tcW w:w="4824" w:type="dxa"/>
          </w:tcPr>
          <w:p w14:paraId="60E6450F" wp14:textId="77777777">
            <w:pPr>
              <w:spacing w:before="20" w:after="20"/>
            </w:pPr>
            <w:r/>
            <w:r>
              <w:rPr>
                <w:b w:val="0"/>
                <w:i w:val="0"/>
                <w:sz w:val="19"/>
              </w:rPr>
              <w:t>✓ Structured knowledge transfer programme — codebase to client team</w:t>
            </w:r>
          </w:p>
        </w:tc>
        <w:tc>
          <w:tcPr>
            <w:tcW w:w="4824" w:type="dxa"/>
          </w:tcPr>
          <w:p w14:paraId="72A3D3EC" wp14:textId="77777777">
            <w:pPr>
              <w:spacing w:before="20" w:after="20"/>
            </w:pPr>
            <w:r/>
          </w:p>
        </w:tc>
      </w:tr>
    </w:tbl>
    <w:p xmlns:wp14="http://schemas.microsoft.com/office/word/2010/wordml" w14:paraId="0D0B940D" wp14:textId="77777777">
      <w:pPr>
        <w:spacing w:after="40"/>
      </w:pPr>
    </w:p>
    <w:p xmlns:wp14="http://schemas.microsoft.com/office/word/2010/wordml" w14:paraId="6AA1C519" wp14:textId="77777777">
      <w:pPr>
        <w:spacing w:after="80"/>
      </w:pPr>
      <w:r>
        <w:rPr>
          <w:i/>
          <w:color w:val="555555"/>
          <w:sz w:val="18"/>
        </w:rPr>
        <w:t>Figure 1.2 — Scope Boundary: Softlabs Group Delivers vs Client Responsibility</w:t>
      </w:r>
    </w:p>
    <w:p xmlns:wp14="http://schemas.microsoft.com/office/word/2010/wordml" w14:paraId="7FA209CE" wp14:textId="77777777">
      <w:pPr>
        <w:spacing w:after="120" w:line="259" w:lineRule="auto"/>
      </w:pPr>
      <w:r>
        <w:rPr>
          <w:b w:val="0"/>
          <w:i w:val="0"/>
        </w:rPr>
        <w:t>This boundary is not an attempt to narrow the development partner’s obligations — it is a statement of where engineering ends and infrastructure operations begin. Softlabs Group will provide everything the client needs to provision, deploy, and operate the platform. Provisioning and operating the infrastructure is the client’s responsibility, as confirmed in the Q&amp;A.</w:t>
      </w:r>
    </w:p>
    <w:p xmlns:wp14="http://schemas.microsoft.com/office/word/2010/wordml" w14:paraId="4434CEBE" wp14:textId="77777777">
      <w:pPr>
        <w:pStyle w:val="Heading2"/>
        <w:spacing w:before="200" w:after="80"/>
      </w:pPr>
      <w:r>
        <w:rPr>
          <w:b/>
          <w:color w:val="2E75B6"/>
          <w:sz w:val="28"/>
        </w:rPr>
        <w:t>1.5 Delivery Phases — A Complete Platform at Phase 1</w:t>
      </w:r>
    </w:p>
    <w:p xmlns:wp14="http://schemas.microsoft.com/office/word/2010/wordml" w14:paraId="40DDCA10" wp14:textId="77777777">
      <w:pPr>
        <w:spacing w:after="120" w:line="259" w:lineRule="auto"/>
      </w:pPr>
      <w:r>
        <w:rPr>
          <w:b w:val="0"/>
          <w:i w:val="0"/>
        </w:rPr>
        <w:t>The most important framing decision in this proposal is how we define Phase 1. The RFP states a 4-5 month target. We are proposing 7 months. The difference is not a longer delivery of the same scope — it is a fundamentally different definition of what Phase 1 should achieve.</w:t>
      </w:r>
    </w:p>
    <w:p xmlns:wp14="http://schemas.microsoft.com/office/word/2010/wordml" w14:paraId="5484C5F3" wp14:textId="77777777">
      <w:pPr>
        <w:spacing w:after="120" w:line="259" w:lineRule="auto"/>
      </w:pPr>
      <w:r>
        <w:rPr>
          <w:b w:val="0"/>
          <w:i w:val="0"/>
        </w:rPr>
        <w:t>The client’s 4-5 month Phase 1 treats Phase 1 as a working starting point: core ticketing, basic POS, a pilot venue, and significant capabilities still in development. Our 7-month Phase 1 treats Phase 1 as a complete platform: all 12 domains operational, all venues live, AI Phase 1 assistants active, security audit completed, and DESC documentation delivered. At the Phase 1 gate, the client has a production-ready platform across their entire venue estate — not a pilot with outstanding work.</w:t>
      </w:r>
    </w:p>
    <w:p xmlns:wp14="http://schemas.microsoft.com/office/word/2010/wordml" w14:paraId="7B982592" wp14:textId="77777777">
      <w:pPr>
        <w:spacing w:after="120" w:line="259" w:lineRule="auto"/>
      </w:pPr>
      <w:r>
        <w:rPr>
          <w:b w:val="0"/>
          <w:i w:val="0"/>
        </w:rPr>
        <w:t>The reason this matters commercially: the Hypercare period begins at handover. A compressed Phase 1 means the Hypercare period is spent building what time pressure prevented from being built correctly. A 7-month Phase 1 means the Hypercare period is spent stabilising and optimising a complete, tested platform.</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14:paraId="237F1669" wp14:textId="77777777">
        <w:tc>
          <w:tcPr>
            <w:tcW w:w="3216" w:type="dxa"/>
            <w:shd w:val="clear" w:fill="1F3864"/>
          </w:tcPr>
          <w:p w14:paraId="661B0C4B" wp14:textId="77777777">
            <w:pPr>
              <w:spacing w:before="20" w:after="20"/>
            </w:pPr>
            <w:r/>
            <w:r>
              <w:rPr>
                <w:b/>
                <w:i w:val="0"/>
                <w:color w:val="FFFFFF"/>
                <w:sz w:val="19"/>
              </w:rPr>
              <w:t>Phase</w:t>
            </w:r>
          </w:p>
        </w:tc>
        <w:tc>
          <w:tcPr>
            <w:tcW w:w="3216" w:type="dxa"/>
            <w:shd w:val="clear" w:fill="1F3864"/>
          </w:tcPr>
          <w:p w14:paraId="56DABE0D" wp14:textId="77777777">
            <w:pPr>
              <w:spacing w:before="20" w:after="20"/>
            </w:pPr>
            <w:r/>
            <w:r>
              <w:rPr>
                <w:b/>
                <w:i w:val="0"/>
                <w:color w:val="FFFFFF"/>
                <w:sz w:val="19"/>
              </w:rPr>
              <w:t>Scope</w:t>
            </w:r>
          </w:p>
        </w:tc>
        <w:tc>
          <w:tcPr>
            <w:tcW w:w="3216" w:type="dxa"/>
            <w:shd w:val="clear" w:fill="1F3864"/>
          </w:tcPr>
          <w:p w14:paraId="7EF47AEC" wp14:textId="77777777">
            <w:pPr>
              <w:spacing w:before="20" w:after="20"/>
            </w:pPr>
            <w:r/>
            <w:r>
              <w:rPr>
                <w:b/>
                <w:i w:val="0"/>
                <w:color w:val="FFFFFF"/>
                <w:sz w:val="19"/>
              </w:rPr>
              <w:t>Gate</w:t>
            </w:r>
          </w:p>
        </w:tc>
      </w:tr>
      <w:tr xmlns:wp14="http://schemas.microsoft.com/office/word/2010/wordml" w14:paraId="3180E4B0" wp14:textId="77777777">
        <w:tc>
          <w:tcPr>
            <w:tcW w:w="3216" w:type="dxa"/>
          </w:tcPr>
          <w:p w14:paraId="19116CF4" wp14:textId="77777777">
            <w:pPr>
              <w:spacing w:before="20" w:after="20"/>
            </w:pPr>
            <w:r/>
            <w:r>
              <w:rPr>
                <w:b w:val="0"/>
                <w:i w:val="0"/>
                <w:sz w:val="19"/>
              </w:rPr>
              <w:t>Months 0-1 Discovery &amp; Definition</w:t>
            </w:r>
          </w:p>
        </w:tc>
        <w:tc>
          <w:tcPr>
            <w:tcW w:w="3216" w:type="dxa"/>
          </w:tcPr>
          <w:p w14:paraId="5CEE89D7" wp14:textId="77777777">
            <w:pPr>
              <w:spacing w:before="20" w:after="20"/>
            </w:pPr>
            <w:r/>
            <w:r>
              <w:rPr>
                <w:b w:val="0"/>
                <w:i w:val="0"/>
                <w:sz w:val="19"/>
              </w:rPr>
              <w:t>7 weeks. Requirements workshops across all 12 domains. Wireframes in English and Arabic RTL. Technical architecture sign-off. Sprint planning. Development does not begin until both parties approve in writing.</w:t>
            </w:r>
          </w:p>
        </w:tc>
        <w:tc>
          <w:tcPr>
            <w:tcW w:w="3216" w:type="dxa"/>
          </w:tcPr>
          <w:p w14:paraId="1FB6A264" wp14:textId="77777777">
            <w:pPr>
              <w:spacing w:before="20" w:after="20"/>
            </w:pPr>
            <w:r/>
            <w:r>
              <w:rPr>
                <w:b w:val="0"/>
                <w:i w:val="0"/>
                <w:sz w:val="19"/>
              </w:rPr>
              <w:t>Signed scope, wireframes, architecture — development authorised</w:t>
            </w:r>
          </w:p>
        </w:tc>
      </w:tr>
      <w:tr xmlns:wp14="http://schemas.microsoft.com/office/word/2010/wordml" w14:paraId="5995A464" wp14:textId="77777777">
        <w:tc>
          <w:tcPr>
            <w:tcW w:w="3216" w:type="dxa"/>
            <w:shd w:val="clear" w:fill="EEF3F8"/>
          </w:tcPr>
          <w:p w14:paraId="222AA0F0" wp14:textId="77777777">
            <w:pPr>
              <w:spacing w:before="20" w:after="20"/>
            </w:pPr>
            <w:r/>
            <w:r>
              <w:rPr>
                <w:b w:val="0"/>
                <w:i w:val="0"/>
                <w:sz w:val="19"/>
              </w:rPr>
              <w:t>Months 2-8 Phase 1: Complete Platform</w:t>
            </w:r>
          </w:p>
        </w:tc>
        <w:tc>
          <w:tcPr>
            <w:tcW w:w="3216" w:type="dxa"/>
            <w:shd w:val="clear" w:fill="EEF3F8"/>
          </w:tcPr>
          <w:p w14:paraId="02E86C8E" wp14:textId="77777777">
            <w:pPr>
              <w:spacing w:before="20" w:after="20"/>
            </w:pPr>
            <w:r/>
            <w:r>
              <w:rPr>
                <w:b w:val="0"/>
                <w:i w:val="0"/>
                <w:sz w:val="19"/>
              </w:rPr>
              <w:t>All 12 domains. Identity, finance, ticketing, offline POS, commerce, mobile apps, Marketing &amp; CRM, Operations &amp; Logistics, AI Phase 1. Security audit. DESC documentation. Pilot venue at Month 6. Full estate live at Month 8.</w:t>
            </w:r>
          </w:p>
        </w:tc>
        <w:tc>
          <w:tcPr>
            <w:tcW w:w="3216" w:type="dxa"/>
            <w:shd w:val="clear" w:fill="EEF3F8"/>
          </w:tcPr>
          <w:p w14:paraId="1AB8200F" wp14:textId="77777777">
            <w:pPr>
              <w:spacing w:before="20" w:after="20"/>
            </w:pPr>
            <w:r/>
            <w:r>
              <w:rPr>
                <w:b w:val="0"/>
                <w:i w:val="0"/>
                <w:sz w:val="19"/>
              </w:rPr>
              <w:t>All venues operational. Security audited. AI assistants live.</w:t>
            </w:r>
          </w:p>
        </w:tc>
      </w:tr>
      <w:tr xmlns:wp14="http://schemas.microsoft.com/office/word/2010/wordml" w14:paraId="4D70D0AD" wp14:textId="77777777">
        <w:tc>
          <w:tcPr>
            <w:tcW w:w="3216" w:type="dxa"/>
          </w:tcPr>
          <w:p w14:paraId="2005FB01" wp14:textId="77777777">
            <w:pPr>
              <w:spacing w:before="20" w:after="20"/>
            </w:pPr>
            <w:r/>
            <w:r>
              <w:rPr>
                <w:b w:val="0"/>
                <w:i w:val="0"/>
                <w:sz w:val="19"/>
              </w:rPr>
              <w:t>Months 9-16 + Phase 3</w:t>
            </w:r>
          </w:p>
        </w:tc>
        <w:tc>
          <w:tcPr>
            <w:tcW w:w="3216" w:type="dxa"/>
          </w:tcPr>
          <w:p w14:paraId="2C7AF4D4" wp14:textId="77777777">
            <w:pPr>
              <w:spacing w:before="20" w:after="20"/>
            </w:pPr>
            <w:r/>
            <w:r>
              <w:rPr>
                <w:b w:val="0"/>
                <w:i w:val="0"/>
                <w:sz w:val="19"/>
              </w:rPr>
              <w:t>Rule-based Pricing + Fraud Engines (M10-11). Ticket Resale (M12-13). External ERP/CRM and extra gateways as red-card clauses on request. Phase 3 (M15-16): docs, KT, iOS, security review (documentation drafts begin M11).</w:t>
            </w:r>
          </w:p>
        </w:tc>
        <w:tc>
          <w:tcPr>
            <w:tcW w:w="3216" w:type="dxa"/>
          </w:tcPr>
          <w:p w14:paraId="4A0BDA14" wp14:textId="77777777">
            <w:pPr>
              <w:spacing w:before="20" w:after="20"/>
            </w:pPr>
            <w:r/>
            <w:r>
              <w:rPr>
                <w:b w:val="0"/>
                <w:i w:val="0"/>
                <w:sz w:val="19"/>
              </w:rPr>
              <w:t>Month 16 gate: Complete handover. 6-month Hypercare begins (to M22). Phase 3 concurrent with Phase 2 tail (M15-16).</w:t>
            </w:r>
          </w:p>
        </w:tc>
      </w:tr>
    </w:tbl>
    <w:p xmlns:wp14="http://schemas.microsoft.com/office/word/2010/wordml" w14:paraId="0E27B00A" wp14:textId="77777777">
      <w:pPr>
        <w:spacing w:after="40"/>
      </w:pPr>
    </w:p>
    <w:tbl>
      <w:tblPr>
        <w:tblStyle w:val="TableGrid"/>
        <w:tblW w:w="0" w:type="auto"/>
        <w:jc w:val="center"/>
        <w:tblLook w:val="04A0" w:firstRow="1" w:lastRow="0" w:firstColumn="1" w:lastColumn="0" w:noHBand="0" w:noVBand="1"/>
      </w:tblPr>
      <w:tblGrid>
        <w:gridCol w:w="9648"/>
      </w:tblGrid>
      <w:tr xmlns:wp14="http://schemas.microsoft.com/office/word/2010/wordml" w14:paraId="25C94D3F" wp14:textId="77777777">
        <w:tc>
          <w:tcPr>
            <w:tcW w:w="9648" w:type="dxa"/>
            <w:shd w:val="clear" w:fill="1F3864"/>
          </w:tcPr>
          <w:p w14:paraId="1DDFD804" wp14:textId="77777777">
            <w:pPr>
              <w:spacing w:before="20" w:after="20"/>
            </w:pPr>
            <w:r/>
            <w:r>
              <w:rPr>
                <w:b/>
                <w:i w:val="0"/>
                <w:color w:val="FFFFFF"/>
                <w:sz w:val="19"/>
              </w:rPr>
              <w:t>On the 4-5 month timeline</w:t>
            </w:r>
            <w:r>
              <w:rPr>
                <w:b/>
                <w:i w:val="0"/>
                <w:color w:val="FFFFFF"/>
                <w:sz w:val="19"/>
              </w:rPr>
              <w:t xml:space="preserve"> The total proposed delivery timeline is 17 months from contract signing: Months 0-1 Discovery (7 weeks) followed by 15 months of phased development. Phase 1 (Months 2-8) delivers the complete platform. Phase 2 (Months 9-14) delivers enterprise integrations and rule-based engines. Phase 3 (Months 15-16) runs concurrently with the Phase 2 tail covering documentation, knowledge transfer, iOS app, and final security review. The RFP’s stated 4-5 month Phase 1 target is addressed directly in Chapter 8 with a transparent comparison. A 6-month Hypercare period then runs from the Month 16 gate to Month 22. Our position: 7 months delivers the complete platform. 4-5 months delivers a functional starting point.</w:t>
            </w:r>
          </w:p>
        </w:tc>
      </w:tr>
    </w:tbl>
    <w:p xmlns:wp14="http://schemas.microsoft.com/office/word/2010/wordml" w14:paraId="60061E4C" wp14:textId="77777777">
      <w:pPr>
        <w:spacing w:after="40"/>
      </w:pPr>
    </w:p>
    <w:p xmlns:wp14="http://schemas.microsoft.com/office/word/2010/wordml" w14:paraId="375A6148" wp14:textId="77777777">
      <w:pPr>
        <w:spacing w:after="80"/>
      </w:pPr>
      <w:r>
        <w:rPr>
          <w:i/>
          <w:color w:val="555555"/>
          <w:sz w:val="18"/>
        </w:rPr>
        <w:t>Figure 1.4 — Delivery Timeline: Months 0-1 Discovery to Month 16 Handover (17 Months Total)</w:t>
      </w:r>
    </w:p>
    <w:p xmlns:wp14="http://schemas.microsoft.com/office/word/2010/wordml" w14:paraId="1BCE13B0" wp14:textId="77777777">
      <w:pPr>
        <w:pStyle w:val="Heading2"/>
        <w:spacing w:before="200" w:after="80"/>
      </w:pPr>
      <w:r>
        <w:rPr>
          <w:b/>
          <w:color w:val="2E75B6"/>
          <w:sz w:val="28"/>
        </w:rPr>
        <w:t>1.6 How Softlabs Group Approaches This Engagement</w:t>
      </w:r>
    </w:p>
    <w:p xmlns:wp14="http://schemas.microsoft.com/office/word/2010/wordml" w14:paraId="0004159B" wp14:textId="77777777">
      <w:pPr>
        <w:spacing w:after="120" w:line="259" w:lineRule="auto"/>
      </w:pPr>
      <w:r>
        <w:rPr>
          <w:b w:val="0"/>
          <w:i w:val="0"/>
        </w:rPr>
        <w:t>Four things distinguish how we build platforms. All four are relevant to TAIS and reflected throughout this proposal.</w:t>
      </w:r>
    </w:p>
    <w:p xmlns:wp14="http://schemas.microsoft.com/office/word/2010/wordml" w14:paraId="6A519741" wp14:textId="77777777">
      <w:pPr>
        <w:pStyle w:val="Heading3"/>
        <w:spacing w:before="160" w:after="60"/>
      </w:pPr>
      <w:r>
        <w:rPr>
          <w:b/>
          <w:color w:val="2E75B6"/>
          <w:sz w:val="23"/>
        </w:rPr>
        <w:t>Discovery before a single line of code</w:t>
      </w:r>
    </w:p>
    <w:p xmlns:wp14="http://schemas.microsoft.com/office/word/2010/wordml" w14:paraId="4AC33691" wp14:textId="77777777">
      <w:pPr>
        <w:spacing w:after="120" w:line="259" w:lineRule="auto"/>
      </w:pPr>
      <w:r>
        <w:rPr>
          <w:b w:val="0"/>
          <w:i w:val="0"/>
        </w:rPr>
        <w:t>The Discovery &amp; Definition Phase is not a formality and not overhead. It is the most important phase of the engagement. We do not write code before requirements are fully understood, wireframes are approved, and both parties have signed off on the architecture. The reason is simple arithmetic: a problem caught in Week 2 of Discovery costs a conversation. The same problem caught in Month 8 of development costs weeks of rework and scope negotiation. The Discovery gate — signed scope, signed wireframes, signed architecture — protects both parties.</w:t>
      </w:r>
    </w:p>
    <w:p xmlns:wp14="http://schemas.microsoft.com/office/word/2010/wordml" w14:paraId="3409E2A1" wp14:textId="77777777">
      <w:pPr>
        <w:spacing w:after="120" w:line="259" w:lineRule="auto"/>
      </w:pPr>
      <w:r>
        <w:rPr>
          <w:b w:val="0"/>
          <w:i w:val="0"/>
        </w:rPr>
        <w:t>For TAIS specifically, Discovery is where hardware models are confirmed (access control systems need physical devices to test), where the communication provider is selected, where staff role structures are mapped to RBAC configuration, and where the pilot venue’s product catalog is seeded. None of these can wait until development begins.</w:t>
      </w:r>
    </w:p>
    <w:p xmlns:wp14="http://schemas.microsoft.com/office/word/2010/wordml" w14:paraId="41E7C47F" wp14:textId="77777777">
      <w:pPr>
        <w:pStyle w:val="Heading3"/>
        <w:spacing w:before="160" w:after="60"/>
      </w:pPr>
      <w:r>
        <w:rPr>
          <w:b/>
          <w:color w:val="2E75B6"/>
          <w:sz w:val="23"/>
        </w:rPr>
        <w:t>Domain expertise, not just engineering capability</w:t>
      </w:r>
    </w:p>
    <w:p xmlns:wp14="http://schemas.microsoft.com/office/word/2010/wordml" w14:paraId="7AE84144" wp14:textId="77777777">
      <w:pPr>
        <w:spacing w:after="120" w:line="259" w:lineRule="auto"/>
      </w:pPr>
      <w:r>
        <w:rPr>
          <w:b w:val="0"/>
          <w:i w:val="0"/>
        </w:rPr>
        <w:t>Venue operations have specific complexities that generic software engineers either overlook or get wrong. How a POS terminal should behave when the venue network drops during peak hour. How UAE VAT applies to advance ticket sales where revenue recognition is deferred to the visit date. How a ticket cryptographic signature must work so a scanner can validate offline without any server communication in under 500 milliseconds. How an accreditation system for media and special guests differs architecturally from general RBAC.</w:t>
      </w:r>
    </w:p>
    <w:p xmlns:wp14="http://schemas.microsoft.com/office/word/2010/wordml" w14:paraId="42A37203" wp14:textId="77777777">
      <w:pPr>
        <w:spacing w:after="120" w:line="259" w:lineRule="auto"/>
      </w:pPr>
      <w:r>
        <w:rPr>
          <w:b w:val="0"/>
          <w:i w:val="0"/>
        </w:rPr>
        <w:t>This proposal addresses each of these specifically — not because they are obvious, but because we have studied the domain. Generic platform engineers produce generic platforms. TAIS requires something more precise.</w:t>
      </w:r>
    </w:p>
    <w:p xmlns:wp14="http://schemas.microsoft.com/office/word/2010/wordml" w14:paraId="74E1DE1D" wp14:textId="77777777">
      <w:pPr>
        <w:pStyle w:val="Heading3"/>
        <w:spacing w:before="160" w:after="60"/>
      </w:pPr>
      <w:r>
        <w:rPr>
          <w:b/>
          <w:color w:val="2E75B6"/>
          <w:sz w:val="23"/>
        </w:rPr>
        <w:t>AI-assisted development — structured and accountable</w:t>
      </w:r>
    </w:p>
    <w:p xmlns:wp14="http://schemas.microsoft.com/office/word/2010/wordml" w14:paraId="7F196D25" wp14:textId="77777777">
      <w:pPr>
        <w:spacing w:after="120" w:line="259" w:lineRule="auto"/>
      </w:pPr>
      <w:r>
        <w:rPr>
          <w:b w:val="0"/>
          <w:i w:val="0"/>
        </w:rPr>
        <w:t>Softlabs Group builds production platforms using a structured AI-assisted development methodology. Claude (Anthropic) and Antigravity are used across architecture, code generation, test execution, and review — with the right tool selected per task based on each tool’s specific strengths. This is our standard operating model, not an experiment.</w:t>
      </w:r>
    </w:p>
    <w:p xmlns:wp14="http://schemas.microsoft.com/office/word/2010/wordml" w14:paraId="265BAC3D" wp14:textId="77777777">
      <w:pPr>
        <w:spacing w:after="120" w:line="259" w:lineRule="auto"/>
      </w:pPr>
      <w:r>
        <w:rPr>
          <w:b w:val="0"/>
          <w:i w:val="0"/>
        </w:rPr>
        <w:t>The key discipline is knowing what AI generates and what humans own. Core business logic, financial transaction processing, security controls, data isolation policies, and payment gateway integrations are human-led. AI accelerates everything around them. All AI-generated code goes through the same CI/CD quality gates as human-written code — with additional senior engineer review for critical modules and enforced test coverage thresholds (90% for financial and security code, 80% minimum across all services). The client receives a codebase with full traceability of AI involvement at the PR level. Full detail in Chapter 9 of this proposal.</w:t>
      </w:r>
    </w:p>
    <w:p xmlns:wp14="http://schemas.microsoft.com/office/word/2010/wordml" w14:paraId="698AA602" wp14:textId="77777777">
      <w:pPr>
        <w:pStyle w:val="Heading3"/>
        <w:spacing w:before="160" w:after="60"/>
      </w:pPr>
      <w:r>
        <w:rPr>
          <w:b/>
          <w:color w:val="2E75B6"/>
          <w:sz w:val="23"/>
        </w:rPr>
        <w:t>Handover as the definition of done</w:t>
      </w:r>
    </w:p>
    <w:p xmlns:wp14="http://schemas.microsoft.com/office/word/2010/wordml" w14:paraId="6E100990" wp14:textId="77777777">
      <w:pPr>
        <w:spacing w:after="120" w:line="259" w:lineRule="auto"/>
      </w:pPr>
      <w:r>
        <w:rPr>
          <w:b w:val="0"/>
          <w:i w:val="0"/>
        </w:rPr>
        <w:t>The Hypercare period begins when the client’s team takes ownership — not when we stop working. Softlabs Group’s knowledge transfer programme runs across Phase 3 (Months 15-16, concurrent with Phase 2 tail) and covers architecture documentation, API documentation, deployment procedures, database schema documentation, DR runbooks, and open-source licensing reports. The client’s internal development team receives structured sessions — not a dump of files. The goal is a team that can confidently extend the platform on day one of independence, not a team that needs to call us every time something breaks.</w:t>
      </w:r>
    </w:p>
    <w:p xmlns:wp14="http://schemas.microsoft.com/office/word/2010/wordml" w14:paraId="00FF7ADA" wp14:textId="77777777">
      <w:pPr>
        <w:pStyle w:val="Heading2"/>
        <w:spacing w:before="200" w:after="80"/>
      </w:pPr>
      <w:r>
        <w:rPr>
          <w:b/>
          <w:color w:val="2E75B6"/>
          <w:sz w:val="28"/>
        </w:rPr>
        <w:t>1.7 Platform Vision</w:t>
      </w:r>
    </w:p>
    <w:p xmlns:wp14="http://schemas.microsoft.com/office/word/2010/wordml" w14:paraId="45D69A9B" wp14:textId="77777777">
      <w:pPr>
        <w:spacing w:after="120" w:line="259" w:lineRule="auto"/>
      </w:pPr>
      <w:r>
        <w:rPr>
          <w:i/>
          <w:color w:val="555555"/>
        </w:rPr>
        <w:t>At full delivery, TAIS is a platform with no peer in the UAE entertainment sector.</w:t>
      </w:r>
    </w:p>
    <w:p xmlns:wp14="http://schemas.microsoft.com/office/word/2010/wordml" w14:paraId="0D535E26" wp14:textId="77777777">
      <w:pPr>
        <w:spacing w:after="120" w:line="259" w:lineRule="auto"/>
      </w:pPr>
      <w:r>
        <w:rPr>
          <w:b w:val="0"/>
          <w:i w:val="0"/>
        </w:rPr>
        <w:t>It is the operational backbone that allows a venue group to sell tickets across every channel — web, mobile, POS, kiosk, OTA, partner portals — under a single unified inventory and dynamic pricing model that adjusts in real time based on demand, season, event popularity, and channel. Every sale, every channel, every venue, one system.</w:t>
      </w:r>
    </w:p>
    <w:p xmlns:wp14="http://schemas.microsoft.com/office/word/2010/wordml" w14:paraId="7A533BFD" wp14:textId="77777777">
      <w:pPr>
        <w:spacing w:after="120" w:line="259" w:lineRule="auto"/>
      </w:pPr>
      <w:r>
        <w:rPr>
          <w:b w:val="0"/>
          <w:i w:val="0"/>
        </w:rPr>
        <w:t>It processes payments and handles every financial operation the venue requires — from the Stripe transaction at checkout through the double-entry journal entry, the UAE VAT 5% calculation, the deferred revenue recognition on advance tickets, the settlement reconciliation against the gateway, and the FTA-compliant tax invoice sent to the corporate client — without an external accounting system.</w:t>
      </w:r>
    </w:p>
    <w:p xmlns:wp14="http://schemas.microsoft.com/office/word/2010/wordml" w14:paraId="0A9F838A" wp14:textId="77777777">
      <w:pPr>
        <w:spacing w:after="120" w:line="259" w:lineRule="auto"/>
      </w:pPr>
      <w:r>
        <w:rPr>
          <w:b w:val="0"/>
          <w:i w:val="0"/>
        </w:rPr>
        <w:t>It validates access at physical gates in under 500 milliseconds regardless of network connectivity. A cryptographically signed QR code carries everything a scanner needs to verify entitlement, check the time window, and detect duplicates — locally, in milliseconds, without a round trip to any server. The gate never stops because the Wi-Fi went down.</w:t>
      </w:r>
    </w:p>
    <w:p xmlns:wp14="http://schemas.microsoft.com/office/word/2010/wordml" w14:paraId="5589FD0D" wp14:textId="77777777">
      <w:pPr>
        <w:spacing w:after="120" w:line="259" w:lineRule="auto"/>
      </w:pPr>
      <w:r>
        <w:rPr>
          <w:b w:val="0"/>
          <w:i w:val="0"/>
        </w:rPr>
        <w:t>It learns from every visit. Eight months of production data powers machine learning models that predict next weekend’s demand with confidence intervals, recommend the right upsell at the right moment, flag suspicious transaction patterns before they become chargebacks, and set the optimal price for a Thursday afternoon slot in February. None of this requires a data science team on the client side — the platform surfaces it through the AI Reporting Assistant in plain language.</w:t>
      </w:r>
    </w:p>
    <w:p xmlns:wp14="http://schemas.microsoft.com/office/word/2010/wordml" w14:paraId="44E28E0B" wp14:textId="77777777">
      <w:pPr>
        <w:spacing w:after="120" w:line="259" w:lineRule="auto"/>
      </w:pPr>
      <w:r>
        <w:rPr>
          <w:b w:val="0"/>
          <w:i w:val="0"/>
        </w:rPr>
        <w:t>It scales without friction. Adding a new venue is a configuration operation — under one business day. The platform that serves seven venues in Phase 1 serves seventy venues without an architecture change. Every new operator is an independent tenant with full data isolation, their own brand identity, and their own commercial configuration — all managed from the same admin interface.</w:t>
      </w:r>
    </w:p>
    <w:p xmlns:wp14="http://schemas.microsoft.com/office/word/2010/wordml" w14:paraId="59BE06B7" wp14:textId="77777777">
      <w:pPr>
        <w:spacing w:after="80"/>
      </w:pPr>
      <w:r>
        <w:rPr>
          <w:i/>
          <w:color w:val="555555"/>
          <w:sz w:val="18"/>
        </w:rPr>
        <w:t>Figure 1.5 — Platform Vision: Five Core Capabilities at Full Delivery</w:t>
      </w:r>
    </w:p>
    <w:p xmlns:wp14="http://schemas.microsoft.com/office/word/2010/wordml" w14:paraId="19FD4473" wp14:textId="77777777">
      <w:pPr>
        <w:spacing w:after="120" w:line="259" w:lineRule="auto"/>
      </w:pPr>
      <w:r>
        <w:rPr>
          <w:b/>
          <w:i w:val="0"/>
        </w:rPr>
        <w:t>*That is what this proposal delivers. The chapters that follow make the case in technical detail.</w:t>
      </w:r>
      <w:r>
        <w:rPr>
          <w:b w:val="0"/>
          <w:i w:val="0"/>
        </w:rPr>
        <w:t>*</w:t>
      </w:r>
    </w:p>
    <w:p xmlns:wp14="http://schemas.microsoft.com/office/word/2010/wordml" w14:paraId="229C4233" wp14:textId="77777777">
      <w:pPr>
        <w:spacing w:after="80"/>
      </w:pPr>
      <w:r>
        <w:rPr>
          <w:i/>
          <w:color w:val="555555"/>
          <w:sz w:val="18"/>
        </w:rPr>
        <w:t>Figure 1.6 — Guest Journey: From Discovery to Post-Visit, Powered by TAIS</w:t>
      </w:r>
    </w:p>
    <w:p xmlns:wp14="http://schemas.microsoft.com/office/word/2010/wordml" w14:paraId="287766EA" wp14:textId="77777777">
      <w:pPr>
        <w:pStyle w:val="Heading2"/>
        <w:spacing w:before="200" w:after="80"/>
      </w:pPr>
      <w:r>
        <w:rPr>
          <w:b/>
          <w:color w:val="2E75B6"/>
          <w:sz w:val="28"/>
        </w:rPr>
        <w:t>1.8 How to Read This Proposal</w:t>
      </w:r>
    </w:p>
    <w:p xmlns:wp14="http://schemas.microsoft.com/office/word/2010/wordml" w14:paraId="6FC97E72" wp14:textId="77777777">
      <w:pPr>
        <w:spacing w:after="120" w:line="259" w:lineRule="auto"/>
      </w:pPr>
      <w:r>
        <w:rPr>
          <w:b w:val="0"/>
          <w:i w:val="0"/>
        </w:rPr>
        <w:t>This proposal is structured so evaluators can navigate directly to the content most relevant to their scoring criterion. The table below maps each RFP evaluation criterion to the chapters that address it.</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14:paraId="1527F325" wp14:textId="77777777">
        <w:tc>
          <w:tcPr>
            <w:tcW w:w="3216" w:type="dxa"/>
            <w:shd w:val="clear" w:fill="1F3864"/>
          </w:tcPr>
          <w:p w14:paraId="5D701B07" wp14:textId="77777777">
            <w:pPr>
              <w:spacing w:before="20" w:after="20"/>
            </w:pPr>
            <w:r/>
            <w:r>
              <w:rPr>
                <w:b/>
                <w:i w:val="0"/>
                <w:color w:val="FFFFFF"/>
                <w:sz w:val="19"/>
              </w:rPr>
              <w:t>Evaluation Criterion</w:t>
            </w:r>
          </w:p>
        </w:tc>
        <w:tc>
          <w:tcPr>
            <w:tcW w:w="3216" w:type="dxa"/>
            <w:shd w:val="clear" w:fill="1F3864"/>
          </w:tcPr>
          <w:p w14:paraId="65A7799B" wp14:textId="77777777">
            <w:pPr>
              <w:spacing w:before="20" w:after="20"/>
            </w:pPr>
            <w:r/>
            <w:r>
              <w:rPr>
                <w:b/>
                <w:i w:val="0"/>
                <w:color w:val="FFFFFF"/>
                <w:sz w:val="19"/>
              </w:rPr>
              <w:t>Weight</w:t>
            </w:r>
          </w:p>
        </w:tc>
        <w:tc>
          <w:tcPr>
            <w:tcW w:w="3216" w:type="dxa"/>
            <w:shd w:val="clear" w:fill="1F3864"/>
          </w:tcPr>
          <w:p w14:paraId="301AE71E" wp14:textId="77777777">
            <w:pPr>
              <w:spacing w:before="20" w:after="20"/>
            </w:pPr>
            <w:r/>
            <w:r>
              <w:rPr>
                <w:b/>
                <w:i w:val="0"/>
                <w:color w:val="FFFFFF"/>
                <w:sz w:val="19"/>
              </w:rPr>
              <w:t>Proposal Coverage</w:t>
            </w:r>
          </w:p>
        </w:tc>
      </w:tr>
      <w:tr xmlns:wp14="http://schemas.microsoft.com/office/word/2010/wordml" w14:paraId="1DB461D2" wp14:textId="77777777">
        <w:tc>
          <w:tcPr>
            <w:tcW w:w="3216" w:type="dxa"/>
          </w:tcPr>
          <w:p w14:paraId="2036BD75" wp14:textId="77777777">
            <w:pPr>
              <w:spacing w:before="20" w:after="20"/>
            </w:pPr>
            <w:r/>
            <w:r>
              <w:rPr>
                <w:b w:val="0"/>
                <w:i w:val="0"/>
                <w:sz w:val="19"/>
              </w:rPr>
              <w:t>Technical Architecture &amp; Platform Design</w:t>
            </w:r>
          </w:p>
        </w:tc>
        <w:tc>
          <w:tcPr>
            <w:tcW w:w="3216" w:type="dxa"/>
          </w:tcPr>
          <w:p w14:paraId="17DCED26" wp14:textId="77777777">
            <w:pPr>
              <w:spacing w:before="20" w:after="20"/>
            </w:pPr>
            <w:r/>
            <w:r>
              <w:rPr>
                <w:b w:val="0"/>
                <w:i w:val="0"/>
                <w:sz w:val="19"/>
              </w:rPr>
              <w:t>20%</w:t>
            </w:r>
          </w:p>
        </w:tc>
        <w:tc>
          <w:tcPr>
            <w:tcW w:w="3216" w:type="dxa"/>
          </w:tcPr>
          <w:p w14:paraId="49375BD0" wp14:textId="77777777">
            <w:pPr>
              <w:spacing w:before="20" w:after="20"/>
            </w:pPr>
            <w:r/>
            <w:r>
              <w:rPr>
                <w:b w:val="0"/>
                <w:i w:val="0"/>
                <w:sz w:val="19"/>
              </w:rPr>
              <w:t>Chapter 2 — Microservices architecture, technology stack, cloud-agnostic deployment, scalability design, multi-tenancy model, database architecture, i18n/RTL</w:t>
            </w:r>
          </w:p>
        </w:tc>
      </w:tr>
      <w:tr xmlns:wp14="http://schemas.microsoft.com/office/word/2010/wordml" w14:paraId="1054D28D" wp14:textId="77777777">
        <w:tc>
          <w:tcPr>
            <w:tcW w:w="3216" w:type="dxa"/>
            <w:shd w:val="clear" w:fill="EEF3F8"/>
          </w:tcPr>
          <w:p w14:paraId="30E1C9C9" wp14:textId="77777777">
            <w:pPr>
              <w:spacing w:before="20" w:after="20"/>
            </w:pPr>
            <w:r/>
            <w:r>
              <w:rPr>
                <w:b w:val="0"/>
                <w:i w:val="0"/>
                <w:sz w:val="19"/>
              </w:rPr>
              <w:t>AI Capabilities &amp; Innovation</w:t>
            </w:r>
          </w:p>
        </w:tc>
        <w:tc>
          <w:tcPr>
            <w:tcW w:w="3216" w:type="dxa"/>
            <w:shd w:val="clear" w:fill="EEF3F8"/>
          </w:tcPr>
          <w:p w14:paraId="33E27760" wp14:textId="77777777">
            <w:pPr>
              <w:spacing w:before="20" w:after="20"/>
            </w:pPr>
            <w:r/>
            <w:r>
              <w:rPr>
                <w:b w:val="0"/>
                <w:i w:val="0"/>
                <w:sz w:val="19"/>
              </w:rPr>
              <w:t>15%</w:t>
            </w:r>
          </w:p>
        </w:tc>
        <w:tc>
          <w:tcPr>
            <w:tcW w:w="3216" w:type="dxa"/>
            <w:shd w:val="clear" w:fill="EEF3F8"/>
          </w:tcPr>
          <w:p w14:paraId="6B943C46" wp14:textId="77777777">
            <w:pPr>
              <w:spacing w:before="20" w:after="20"/>
            </w:pPr>
            <w:r/>
            <w:r>
              <w:rPr>
                <w:b w:val="0"/>
                <w:i w:val="0"/>
                <w:sz w:val="19"/>
              </w:rPr>
              <w:t>Chapter 5 — Three-tier AI structure: Tier 1 (fully sovereign, Phase 1), Tier 2 (LLM-powered assistants, client confirms UAE deployment option at kickoff), Tier 3 (ML capabilities recommended when live data ready, all fully sovereign). UAE PDPL compliance framework included.</w:t>
            </w:r>
          </w:p>
        </w:tc>
      </w:tr>
      <w:tr xmlns:wp14="http://schemas.microsoft.com/office/word/2010/wordml" w14:paraId="48889D64" wp14:textId="77777777">
        <w:tc>
          <w:tcPr>
            <w:tcW w:w="3216" w:type="dxa"/>
          </w:tcPr>
          <w:p w14:paraId="3A75E084" wp14:textId="77777777">
            <w:pPr>
              <w:spacing w:before="20" w:after="20"/>
            </w:pPr>
            <w:r/>
            <w:r>
              <w:rPr>
                <w:b w:val="0"/>
                <w:i w:val="0"/>
                <w:sz w:val="19"/>
              </w:rPr>
              <w:t>Functional Coverage</w:t>
            </w:r>
          </w:p>
        </w:tc>
        <w:tc>
          <w:tcPr>
            <w:tcW w:w="3216" w:type="dxa"/>
          </w:tcPr>
          <w:p w14:paraId="6861B118" wp14:textId="77777777">
            <w:pPr>
              <w:spacing w:before="20" w:after="20"/>
            </w:pPr>
            <w:r/>
            <w:r>
              <w:rPr>
                <w:b w:val="0"/>
                <w:i w:val="0"/>
                <w:sz w:val="19"/>
              </w:rPr>
              <w:t>15%</w:t>
            </w:r>
          </w:p>
        </w:tc>
        <w:tc>
          <w:tcPr>
            <w:tcW w:w="3216" w:type="dxa"/>
          </w:tcPr>
          <w:p w14:paraId="3D72C7EE" wp14:textId="77777777">
            <w:pPr>
              <w:spacing w:before="20" w:after="20"/>
            </w:pPr>
            <w:r/>
            <w:r>
              <w:rPr>
                <w:b w:val="0"/>
                <w:i w:val="0"/>
                <w:sz w:val="19"/>
              </w:rPr>
              <w:t>Chapter 3 — All 12 domains, per-capability OOTB/Configurable/Custom classification, phase delivery, complexity flags, cross-references to deep-dive chapters</w:t>
            </w:r>
          </w:p>
        </w:tc>
      </w:tr>
      <w:tr xmlns:wp14="http://schemas.microsoft.com/office/word/2010/wordml" w14:paraId="176E8DF4" wp14:textId="77777777">
        <w:tc>
          <w:tcPr>
            <w:tcW w:w="3216" w:type="dxa"/>
            <w:shd w:val="clear" w:fill="EEF3F8"/>
          </w:tcPr>
          <w:p w14:paraId="53DFBFD0" wp14:textId="77777777">
            <w:pPr>
              <w:spacing w:before="20" w:after="20"/>
            </w:pPr>
            <w:r/>
            <w:r>
              <w:rPr>
                <w:b w:val="0"/>
                <w:i w:val="0"/>
                <w:sz w:val="19"/>
              </w:rPr>
              <w:t>Implementation Approach &amp; Project Plan</w:t>
            </w:r>
          </w:p>
        </w:tc>
        <w:tc>
          <w:tcPr>
            <w:tcW w:w="3216" w:type="dxa"/>
            <w:shd w:val="clear" w:fill="EEF3F8"/>
          </w:tcPr>
          <w:p w14:paraId="434B6B21" wp14:textId="77777777">
            <w:pPr>
              <w:spacing w:before="20" w:after="20"/>
            </w:pPr>
            <w:r/>
            <w:r>
              <w:rPr>
                <w:b w:val="0"/>
                <w:i w:val="0"/>
                <w:sz w:val="19"/>
              </w:rPr>
              <w:t>10%</w:t>
            </w:r>
          </w:p>
        </w:tc>
        <w:tc>
          <w:tcPr>
            <w:tcW w:w="3216" w:type="dxa"/>
            <w:shd w:val="clear" w:fill="EEF3F8"/>
          </w:tcPr>
          <w:p w14:paraId="4E967444" wp14:textId="77777777">
            <w:pPr>
              <w:spacing w:before="20" w:after="20"/>
            </w:pPr>
            <w:r/>
            <w:r>
              <w:rPr>
                <w:b w:val="0"/>
                <w:i w:val="0"/>
                <w:sz w:val="19"/>
              </w:rPr>
              <w:t>Chapter 8 — Discovery &amp; Definition Phase, month-by-month milestones, Gantt chart, rollout strategy, client dependencies, acceptance criteria, change management</w:t>
            </w:r>
          </w:p>
        </w:tc>
      </w:tr>
      <w:tr xmlns:wp14="http://schemas.microsoft.com/office/word/2010/wordml" w14:paraId="541C507E" wp14:textId="77777777">
        <w:tc>
          <w:tcPr>
            <w:tcW w:w="3216" w:type="dxa"/>
          </w:tcPr>
          <w:p w14:paraId="3B7A2D0A" wp14:textId="77777777">
            <w:pPr>
              <w:spacing w:before="20" w:after="20"/>
            </w:pPr>
            <w:r/>
            <w:r>
              <w:rPr>
                <w:b w:val="0"/>
                <w:i w:val="0"/>
                <w:sz w:val="19"/>
              </w:rPr>
              <w:t>Integration &amp; Scalability</w:t>
            </w:r>
          </w:p>
        </w:tc>
        <w:tc>
          <w:tcPr>
            <w:tcW w:w="3216" w:type="dxa"/>
          </w:tcPr>
          <w:p w14:paraId="598B85BA" wp14:textId="77777777">
            <w:pPr>
              <w:spacing w:before="20" w:after="20"/>
            </w:pPr>
            <w:r/>
            <w:r>
              <w:rPr>
                <w:b w:val="0"/>
                <w:i w:val="0"/>
                <w:sz w:val="19"/>
              </w:rPr>
              <w:t>5%</w:t>
            </w:r>
          </w:p>
        </w:tc>
        <w:tc>
          <w:tcPr>
            <w:tcW w:w="3216" w:type="dxa"/>
          </w:tcPr>
          <w:p w14:paraId="3117339C" wp14:textId="77777777">
            <w:pPr>
              <w:spacing w:before="20" w:after="20"/>
            </w:pPr>
            <w:r/>
            <w:r>
              <w:rPr>
                <w:b w:val="0"/>
                <w:i w:val="0"/>
                <w:sz w:val="19"/>
              </w:rPr>
              <w:t>Chapter 6 — Adapter/connector pattern, expanded Phase 1 integration set (two gateways, DTCM, DCT, UAE Pass, SIEM, Azure AD, Opera PMS, comms), API gateway design, infrastructure auto-scaling, DR tiers</w:t>
            </w:r>
          </w:p>
        </w:tc>
      </w:tr>
      <w:tr xmlns:wp14="http://schemas.microsoft.com/office/word/2010/wordml" w14:paraId="3B927893" wp14:textId="77777777">
        <w:tc>
          <w:tcPr>
            <w:tcW w:w="3216" w:type="dxa"/>
            <w:shd w:val="clear" w:fill="EEF3F8"/>
          </w:tcPr>
          <w:p w14:paraId="5F671374" wp14:textId="77777777">
            <w:pPr>
              <w:spacing w:before="20" w:after="20"/>
            </w:pPr>
            <w:r/>
            <w:r>
              <w:rPr>
                <w:b w:val="0"/>
                <w:i w:val="0"/>
                <w:sz w:val="19"/>
              </w:rPr>
              <w:t>Vendor Experience &amp; References</w:t>
            </w:r>
          </w:p>
        </w:tc>
        <w:tc>
          <w:tcPr>
            <w:tcW w:w="3216" w:type="dxa"/>
            <w:shd w:val="clear" w:fill="EEF3F8"/>
          </w:tcPr>
          <w:p w14:paraId="2C2BE390" wp14:textId="77777777">
            <w:pPr>
              <w:spacing w:before="20" w:after="20"/>
            </w:pPr>
            <w:r/>
            <w:r>
              <w:rPr>
                <w:b w:val="0"/>
                <w:i w:val="0"/>
                <w:sz w:val="19"/>
              </w:rPr>
              <w:t>5%</w:t>
            </w:r>
          </w:p>
        </w:tc>
        <w:tc>
          <w:tcPr>
            <w:tcW w:w="3216" w:type="dxa"/>
            <w:shd w:val="clear" w:fill="EEF3F8"/>
          </w:tcPr>
          <w:p w14:paraId="5C78F1DD" wp14:textId="77777777">
            <w:pPr>
              <w:spacing w:before="20" w:after="20"/>
            </w:pPr>
            <w:r/>
            <w:r>
              <w:rPr>
                <w:b w:val="0"/>
                <w:i w:val="0"/>
                <w:sz w:val="19"/>
              </w:rPr>
              <w:t>Commercial Document — Section D: Three comparable platform references</w:t>
            </w:r>
          </w:p>
        </w:tc>
      </w:tr>
      <w:tr xmlns:wp14="http://schemas.microsoft.com/office/word/2010/wordml" w14:paraId="2481AA2A" wp14:textId="77777777">
        <w:tc>
          <w:tcPr>
            <w:tcW w:w="3216" w:type="dxa"/>
          </w:tcPr>
          <w:p w14:paraId="50177C90" wp14:textId="77777777">
            <w:pPr>
              <w:spacing w:before="20" w:after="20"/>
            </w:pPr>
            <w:r/>
            <w:r>
              <w:rPr>
                <w:b w:val="0"/>
                <w:i w:val="0"/>
                <w:sz w:val="19"/>
              </w:rPr>
              <w:t>Total Cost of Ownership</w:t>
            </w:r>
          </w:p>
        </w:tc>
        <w:tc>
          <w:tcPr>
            <w:tcW w:w="3216" w:type="dxa"/>
          </w:tcPr>
          <w:p w14:paraId="498DFBC8" wp14:textId="77777777">
            <w:pPr>
              <w:spacing w:before="20" w:after="20"/>
            </w:pPr>
            <w:r/>
            <w:r>
              <w:rPr>
                <w:b w:val="0"/>
                <w:i w:val="0"/>
                <w:sz w:val="19"/>
              </w:rPr>
              <w:t>30%</w:t>
            </w:r>
          </w:p>
        </w:tc>
        <w:tc>
          <w:tcPr>
            <w:tcW w:w="3216" w:type="dxa"/>
          </w:tcPr>
          <w:p w14:paraId="608251FC" wp14:textId="77777777">
            <w:pPr>
              <w:spacing w:before="20" w:after="20"/>
            </w:pPr>
            <w:r/>
            <w:r>
              <w:rPr>
                <w:b w:val="0"/>
                <w:i w:val="0"/>
                <w:sz w:val="19"/>
              </w:rPr>
              <w:t>Commercial Document — Section A: Pricing model, milestone payment structure, full cost breakdown</w:t>
            </w:r>
          </w:p>
        </w:tc>
      </w:tr>
    </w:tbl>
    <w:p xmlns:wp14="http://schemas.microsoft.com/office/word/2010/wordml" w14:paraId="44EAFD9C" wp14:textId="77777777">
      <w:pPr>
        <w:spacing w:after="40"/>
      </w:pPr>
    </w:p>
    <w:p xmlns:wp14="http://schemas.microsoft.com/office/word/2010/wordml" w14:paraId="4EB350C1" wp14:textId="77777777">
      <w:pPr>
        <w:spacing w:after="80"/>
      </w:pPr>
      <w:r>
        <w:rPr>
          <w:i/>
          <w:color w:val="555555"/>
          <w:sz w:val="18"/>
        </w:rPr>
        <w:t>Figure 1.3 — Proposal Alignment with RFP Evaluation Criteria Weights</w:t>
      </w:r>
    </w:p>
    <w:tbl>
      <w:tblPr>
        <w:tblStyle w:val="TableGrid"/>
        <w:tblW w:w="0" w:type="auto"/>
        <w:jc w:val="center"/>
        <w:tblLook w:val="04A0" w:firstRow="1" w:lastRow="0" w:firstColumn="1" w:lastColumn="0" w:noHBand="0" w:noVBand="1"/>
      </w:tblPr>
      <w:tblGrid>
        <w:gridCol w:w="9648"/>
      </w:tblGrid>
      <w:tr xmlns:wp14="http://schemas.microsoft.com/office/word/2010/wordml" w14:paraId="1B0F52B0" wp14:textId="77777777">
        <w:tc>
          <w:tcPr>
            <w:tcW w:w="9648" w:type="dxa"/>
            <w:shd w:val="clear" w:fill="1F3864"/>
          </w:tcPr>
          <w:p w14:paraId="774EC4B3" wp14:textId="77777777">
            <w:pPr>
              <w:spacing w:before="20" w:after="20"/>
            </w:pPr>
            <w:r/>
            <w:r>
              <w:rPr>
                <w:b/>
                <w:i w:val="0"/>
                <w:color w:val="FFFFFF"/>
                <w:sz w:val="19"/>
              </w:rPr>
              <w:t>Cost of Ownership — 30% weight</w:t>
            </w:r>
            <w:r>
              <w:rPr>
                <w:b/>
                <w:i w:val="0"/>
                <w:color w:val="FFFFFF"/>
                <w:sz w:val="19"/>
              </w:rPr>
              <w:t xml:space="preserve"> The highest-weighted criterion is addressed in the separate Commercial Document, submitted alongside this technical proposal. The commercial document covers: fixed-price vs time-and-materials decision, milestone payment structure, cost breakdown by phase, the 6-month Hypercare and post-handover support model, AMC, dedicated-resource rates, red-card clause pricing, and Change Request rates. Cost and technical content are deliberately separated to allow the evaluation panel to route each document to the appropriate reviewer.</w:t>
            </w:r>
          </w:p>
        </w:tc>
      </w:tr>
    </w:tbl>
    <w:p xmlns:wp14="http://schemas.microsoft.com/office/word/2010/wordml" w14:paraId="4B94D5A5" wp14:textId="77777777">
      <w:pPr>
        <w:spacing w:after="40"/>
      </w:pPr>
    </w:p>
    <w:p xmlns:wp14="http://schemas.microsoft.com/office/word/2010/wordml" w14:paraId="7EA180B6" wp14:textId="77777777">
      <w:pPr>
        <w:spacing w:after="120" w:line="259" w:lineRule="auto"/>
      </w:pPr>
      <w:r>
        <w:rPr>
          <w:b w:val="0"/>
          <w:i w:val="0"/>
        </w:rPr>
        <w:t>Miracle Star Trading L.L.C. | Confidential | Page</w:t>
      </w:r>
    </w:p>
    <w:sectPr w:rsidRPr="0006063C" w:rsidR="00FC693F" w:rsidSect="00034616">
      <w:footerReference w:type="default" r:id="rId9"/>
      <w:pgSz w:w="12240" w:h="15840" w:orient="portrait"/>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DEEC669" wp14:textId="77777777">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A51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7B6FBB7-85E4-487D-A692-13573271F5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Chinmay Patkar</lastModifiedBy>
  <revision>2</revision>
  <dcterms:created xsi:type="dcterms:W3CDTF">2013-12-23T23:15:00.0000000Z</dcterms:created>
  <dcterms:modified xsi:type="dcterms:W3CDTF">2026-07-23T05:38:29.0479040Z</dcterms:modified>
  <category/>
</coreProperties>
</file>