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 xml:space="preserve">Chapter 6 Integrations </w:t>
            </w:r>
            <w:r>
              <w:rPr>
                <w:b/>
                <w:i w:val="0"/>
                <w:color w:val="FFFFFF"/>
                <w:sz w:val="19"/>
              </w:rPr>
              <w:t>&amp;</w:t>
            </w:r>
            <w:r>
              <w:rPr>
                <w:b/>
                <w:i w:val="0"/>
                <w:color w:val="FFFFFF"/>
                <w:sz w:val="19"/>
              </w:rPr>
              <w:t xml:space="preserve"> Infrastructure</w:t>
            </w:r>
          </w:p>
        </w:tc>
      </w:tr>
    </w:tbl>
    <w:p>
      <w:pPr>
        <w:spacing w:after="40"/>
      </w:pPr>
    </w:p>
    <w:p>
      <w:pPr>
        <w:pStyle w:val="Heading1"/>
        <w:spacing w:before="280" w:after="120"/>
      </w:pPr>
      <w:r>
        <w:rPr>
          <w:b/>
          <w:color w:val="1F3864"/>
          <w:sz w:val="36"/>
        </w:rPr>
        <w:t>6. Integrations &amp; Infrastructure</w:t>
      </w:r>
    </w:p>
    <w:p>
      <w:pPr>
        <w:pStyle w:val="Heading2"/>
        <w:spacing w:before="200" w:after="80"/>
      </w:pPr>
      <w:r>
        <w:rPr>
          <w:b/>
          <w:color w:val="2E75B6"/>
          <w:sz w:val="28"/>
        </w:rPr>
        <w:t>6.1 Integration Architecture — The Adapter Pattern</w:t>
      </w:r>
    </w:p>
    <w:p>
      <w:pPr>
        <w:spacing w:after="120" w:line="259" w:lineRule="auto"/>
      </w:pPr>
      <w:r>
        <w:rPr>
          <w:b w:val="0"/>
          <w:i/>
        </w:rPr>
        <w:t>Every third-party integration in TAIS is built using an adapter pattern. The platform</w:t>
      </w:r>
      <w:r>
        <w:rPr>
          <w:b/>
          <w:i w:val="0"/>
        </w:rPr>
        <w:t>*’</w:t>
      </w:r>
      <w:r>
        <w:rPr>
          <w:b w:val="0"/>
          <w:i w:val="0"/>
        </w:rPr>
        <w:t>*</w:t>
      </w:r>
      <w:r>
        <w:rPr>
          <w:b w:val="0"/>
          <w:i/>
        </w:rPr>
        <w:t>s core services never call an external provider directly — they call an internal Integration Service, which holds all provider-specific logic behind a standardised interface.</w:t>
      </w:r>
    </w:p>
    <w:p>
      <w:pPr>
        <w:spacing w:after="120" w:line="259" w:lineRule="auto"/>
      </w:pPr>
      <w:r>
        <w:rPr>
          <w:b w:val="0"/>
          <w:i w:val="0"/>
        </w:rPr>
        <w:t>This is not an architectural preference — it is a commercial necessity. Venue operators change payment providers, switch communication platforms, and upgrade access control hardware over the platform’s lifetime. An architecture where each provider integration is wired directly into core services means every provider change is a development project. The adapter pattern means every provider change is a configuration operation or, at most, a new adapter deployed alongside the live platform with no downtime.</w:t>
      </w:r>
    </w:p>
    <w:p>
      <w:pPr>
        <w:spacing w:after="80"/>
      </w:pPr>
      <w:r>
        <w:rPr>
          <w:i/>
          <w:color w:val="555555"/>
          <w:sz w:val="18"/>
        </w:rPr>
        <w:t>Figure 6.1 — Integration Adapter Pattern: Swap Any Provider Without Touching Core Platform Code</w:t>
      </w:r>
    </w:p>
    <w:p>
      <w:pPr>
        <w:pStyle w:val="Heading3"/>
        <w:spacing w:before="160" w:after="60"/>
      </w:pPr>
      <w:r>
        <w:rPr>
          <w:b/>
          <w:color w:val="2E75B6"/>
          <w:sz w:val="23"/>
        </w:rPr>
        <w:t>What the Adapter Layer Enforces</w:t>
      </w:r>
    </w:p>
    <w:p>
      <w:pPr>
        <w:spacing w:after="120" w:line="259" w:lineRule="auto"/>
      </w:pPr>
      <w:r>
        <w:rPr>
          <w:b w:val="0"/>
          <w:i w:val="0"/>
        </w:rPr>
        <w:t>Five properties are guaranteed consistently at the adapter layer for every integration, regardless of which provider is active. First, credentials are managed centrally through the secrets manager — they are never hardcoded in application code or stored in source repositories. Second, every outbound integration call is logged with a full request and response record for audit and debugging. Third, retry logic with exponential backoff is applied consistently — transient provider failures cause retries, not errors surfaced to the guest. Fourth, circuit breakers prevent a failing provider from cascading failures into the core platform — if an SMS provider goes down, the platform continues operating and queues notifications for retry. Fifth, new integrations are added as new adapters deployed in parallel to the live platform — there is no maintenance window required to add or swap an integration.</w:t>
      </w:r>
    </w:p>
    <w:p>
      <w:pPr>
        <w:spacing w:after="80"/>
      </w:pPr>
      <w:r>
        <w:rPr>
          <w:i/>
          <w:color w:val="555555"/>
          <w:sz w:val="18"/>
        </w:rPr>
        <w:t>Figure 6.5 — Integration Landscape: 8 Categories and 25+ Third-Party Systems Across Phase 1 and Phase 2</w:t>
      </w:r>
    </w:p>
    <w:p>
      <w:pPr>
        <w:pStyle w:val="Heading2"/>
        <w:spacing w:before="200" w:after="80"/>
      </w:pPr>
      <w:r>
        <w:rPr>
          <w:b/>
          <w:color w:val="2E75B6"/>
          <w:sz w:val="28"/>
        </w:rPr>
        <w:t>6.2 Integration Scope — Phase 1, Phase 2, and Future</w:t>
      </w:r>
    </w:p>
    <w:p>
      <w:pPr>
        <w:spacing w:after="120" w:line="259" w:lineRule="auto"/>
      </w:pPr>
      <w:r>
        <w:rPr>
          <w:b w:val="0"/>
          <w:i w:val="0"/>
        </w:rPr>
        <w:t>The RFP specifies 5 to 10 third-party integrations for Phase 1. Following the 21 May scope review with the client, the Phase 1 integration set is expanded to include the UAE government and tourism-authority integrations that are mandatory for operating venues in Dubai and Abu Dhabi. The Phase 1 set now comprises: two payment gateways (Stripe and Network International); SMS, email and WhatsApp communications; access control hardware; Opera PMS; DTCM (Dubai Tourism / DET); DCT (Abu Dhabi Tourism); UAE Pass identity; SIEM security-log forwarding; and Azure Active Directory for staff sign-on.</w:t>
      </w:r>
    </w:p>
    <w:p>
      <w:pPr>
        <w:spacing w:after="120" w:line="259" w:lineRule="auto"/>
      </w:pPr>
      <w:r>
        <w:rPr>
          <w:b w:val="0"/>
          <w:i w:val="0"/>
        </w:rPr>
        <w:t xml:space="preserve">Two categories that were previously treated as Phase 1 or Phase 2 build items are now handled as contracted </w:t>
      </w:r>
      <w:r>
        <w:rPr>
          <w:b/>
          <w:i w:val="0"/>
        </w:rPr>
        <w:t>red-card clauses</w:t>
      </w:r>
      <w:r>
        <w:rPr>
          <w:b w:val="0"/>
          <w:i w:val="0"/>
        </w:rPr>
        <w:t xml:space="preserve"> — pre-priced, fixed-timeline work items triggered on the client’s written request, with no ambiguity for either party: (1) integration with any external CRM or ERP system (Salesforce, Microsoft Dynamics, SAP, Oracle, etc.), and (2) any payment gateway beyond the two built in Phase 1. The internal CRM and the internal Finance/ERP capabilities are unchanged and remain full Phase 1 platform features; only the integration to an external third-party CRM/ERP becomes a red-card item.</w:t>
      </w:r>
    </w:p>
    <w:p>
      <w:pPr>
        <w:spacing w:after="80"/>
      </w:pPr>
      <w:r>
        <w:rPr>
          <w:i/>
          <w:color w:val="555555"/>
          <w:sz w:val="18"/>
        </w:rPr>
        <w:t>Figure 6.4 — Integration Delivery Plan: Phase, Effort, and Client Dependencies</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Client dependency on provider selection</w:t>
            </w:r>
            <w:r>
              <w:rPr>
                <w:b/>
                <w:i w:val="0"/>
                <w:color w:val="FFFFFF"/>
                <w:sz w:val="19"/>
              </w:rPr>
              <w:t xml:space="preserve"> Three Phase 1 communication integrations — SMS, email, and WhatsApp — require the client to select and contract with their preferred provider before development begins. The Q&amp;A confirms this is the client’s responsibility. The adapter architecture means any provider with a REST API works; Twilio, SendGrid, and AWS SES are commonly used examples, not mandated choices. Credentials for the selected providers are supplied to the development team at kickoff and stored in the secrets manager — they are never committed to source code.</w:t>
            </w:r>
          </w:p>
        </w:tc>
      </w:tr>
    </w:tbl>
    <w:p>
      <w:pPr>
        <w:spacing w:after="40"/>
      </w:pPr>
    </w:p>
    <w:p>
      <w:pPr>
        <w:pStyle w:val="Heading3"/>
        <w:spacing w:before="160" w:after="60"/>
      </w:pPr>
      <w:r>
        <w:rPr>
          <w:b/>
          <w:color w:val="2E75B6"/>
          <w:sz w:val="23"/>
        </w:rPr>
        <w:t>UAE Government &amp; Tourism Authority Integrations — Phase 1</w:t>
      </w:r>
    </w:p>
    <w:p>
      <w:pPr>
        <w:spacing w:after="120" w:line="259" w:lineRule="auto"/>
      </w:pPr>
      <w:r>
        <w:rPr>
          <w:b w:val="0"/>
          <w:i w:val="0"/>
        </w:rPr>
        <w:t>These integrations are specific to operating regulated venues in the UAE and were confirmed as in-scope for Phase 1 on the 21 May call.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Integration</w:t>
            </w:r>
          </w:p>
        </w:tc>
        <w:tc>
          <w:tcPr>
            <w:tcW w:type="dxa" w:w="3216"/>
            <w:shd w:val="clear" w:fill="1F3864"/>
          </w:tcPr>
          <w:p>
            <w:pPr>
              <w:spacing w:after="20" w:before="20"/>
            </w:pPr>
            <w:r/>
            <w:r>
              <w:rPr>
                <w:b/>
                <w:i w:val="0"/>
                <w:color w:val="FFFFFF"/>
                <w:sz w:val="19"/>
              </w:rPr>
              <w:t>Direction / Complexity</w:t>
            </w:r>
          </w:p>
        </w:tc>
        <w:tc>
          <w:tcPr>
            <w:tcW w:type="dxa" w:w="3216"/>
            <w:shd w:val="clear" w:fill="1F3864"/>
          </w:tcPr>
          <w:p>
            <w:pPr>
              <w:spacing w:after="20" w:before="20"/>
            </w:pPr>
            <w:r/>
            <w:r>
              <w:rPr>
                <w:b/>
                <w:i w:val="0"/>
                <w:color w:val="FFFFFF"/>
                <w:sz w:val="19"/>
              </w:rPr>
              <w:t>Detail</w:t>
            </w:r>
          </w:p>
        </w:tc>
      </w:tr>
      <w:tr>
        <w:tc>
          <w:tcPr>
            <w:tcW w:type="dxa" w:w="3216"/>
          </w:tcPr>
          <w:p>
            <w:pPr>
              <w:spacing w:after="20" w:before="20"/>
            </w:pPr>
            <w:r/>
            <w:r>
              <w:rPr>
                <w:b w:val="0"/>
                <w:i w:val="0"/>
                <w:sz w:val="19"/>
              </w:rPr>
              <w:t>DTCM (Dubai Tourism / DET)</w:t>
            </w:r>
          </w:p>
        </w:tc>
        <w:tc>
          <w:tcPr>
            <w:tcW w:type="dxa" w:w="3216"/>
          </w:tcPr>
          <w:p>
            <w:pPr>
              <w:spacing w:after="20" w:before="20"/>
            </w:pPr>
            <w:r/>
            <w:r>
              <w:rPr>
                <w:b w:val="0"/>
                <w:i w:val="0"/>
                <w:sz w:val="19"/>
              </w:rPr>
              <w:t>Bi-directional, real-time API — higher complexity</w:t>
            </w:r>
          </w:p>
        </w:tc>
        <w:tc>
          <w:tcPr>
            <w:tcW w:type="dxa" w:w="3216"/>
          </w:tcPr>
          <w:p>
            <w:pPr>
              <w:spacing w:after="20" w:before="20"/>
            </w:pPr>
            <w:r/>
            <w:r>
              <w:rPr>
                <w:b w:val="0"/>
                <w:i w:val="0"/>
                <w:sz w:val="19"/>
              </w:rPr>
              <w:t>The Department of Economy and Tourism licenses Dubai events. Each product must be configured and mapped in both TAIS and the DTCM system. The ticket QR code is issued by DTCM and rendered on the TAIS ticket at the point of sale, in real time.</w:t>
            </w:r>
          </w:p>
        </w:tc>
      </w:tr>
      <w:tr>
        <w:tc>
          <w:tcPr>
            <w:tcW w:type="dxa" w:w="3216"/>
            <w:shd w:val="clear" w:fill="EEF3F8"/>
          </w:tcPr>
          <w:p>
            <w:pPr>
              <w:spacing w:after="20" w:before="20"/>
            </w:pPr>
            <w:r/>
            <w:r>
              <w:rPr>
                <w:b w:val="0"/>
                <w:i w:val="0"/>
                <w:sz w:val="19"/>
              </w:rPr>
              <w:t>DCT (Abu Dhabi Tourism)</w:t>
            </w:r>
          </w:p>
        </w:tc>
        <w:tc>
          <w:tcPr>
            <w:tcW w:type="dxa" w:w="3216"/>
            <w:shd w:val="clear" w:fill="EEF3F8"/>
          </w:tcPr>
          <w:p>
            <w:pPr>
              <w:spacing w:after="20" w:before="20"/>
            </w:pPr>
            <w:r/>
            <w:r>
              <w:rPr>
                <w:b w:val="0"/>
                <w:i w:val="0"/>
                <w:sz w:val="19"/>
              </w:rPr>
              <w:t>Outbound reporting API — lower complexity</w:t>
            </w:r>
          </w:p>
        </w:tc>
        <w:tc>
          <w:tcPr>
            <w:tcW w:type="dxa" w:w="3216"/>
            <w:shd w:val="clear" w:fill="EEF3F8"/>
          </w:tcPr>
          <w:p>
            <w:pPr>
              <w:spacing w:after="20" w:before="20"/>
            </w:pPr>
            <w:r/>
            <w:r>
              <w:rPr>
                <w:b w:val="0"/>
                <w:i w:val="0"/>
                <w:sz w:val="19"/>
              </w:rPr>
              <w:t>Sales and ticketing data generated in TAIS is pushed to the DCT system as reports. This follows the same pattern already delivered for Etihad Arena.</w:t>
            </w:r>
          </w:p>
        </w:tc>
      </w:tr>
      <w:tr>
        <w:tc>
          <w:tcPr>
            <w:tcW w:type="dxa" w:w="3216"/>
          </w:tcPr>
          <w:p>
            <w:pPr>
              <w:spacing w:after="20" w:before="20"/>
            </w:pPr>
            <w:r/>
            <w:r>
              <w:rPr>
                <w:b w:val="0"/>
                <w:i w:val="0"/>
                <w:sz w:val="19"/>
              </w:rPr>
              <w:t>UAE Pass</w:t>
            </w:r>
          </w:p>
        </w:tc>
        <w:tc>
          <w:tcPr>
            <w:tcW w:type="dxa" w:w="3216"/>
          </w:tcPr>
          <w:p>
            <w:pPr>
              <w:spacing w:after="20" w:before="20"/>
            </w:pPr>
            <w:r/>
            <w:r>
              <w:rPr>
                <w:b w:val="0"/>
                <w:i w:val="0"/>
                <w:sz w:val="19"/>
              </w:rPr>
              <w:t>Inbound identity federation</w:t>
            </w:r>
          </w:p>
        </w:tc>
        <w:tc>
          <w:tcPr>
            <w:tcW w:type="dxa" w:w="3216"/>
          </w:tcPr>
          <w:p>
            <w:pPr>
              <w:spacing w:after="20" w:before="20"/>
            </w:pPr>
            <w:r/>
            <w:r>
              <w:rPr>
                <w:b w:val="0"/>
                <w:i w:val="0"/>
                <w:sz w:val="19"/>
              </w:rPr>
              <w:t>National digital identity login on the B2C platform. The guest authenticates with UAE Pass; TAIS receives the verified profile, auto-creates and links the account, and attaches tickets to it. Covers both residents and tourists, who can now hold a UAE Pass.</w:t>
            </w:r>
          </w:p>
        </w:tc>
      </w:tr>
      <w:tr>
        <w:tc>
          <w:tcPr>
            <w:tcW w:type="dxa" w:w="3216"/>
            <w:shd w:val="clear" w:fill="EEF3F8"/>
          </w:tcPr>
          <w:p>
            <w:pPr>
              <w:spacing w:after="20" w:before="20"/>
            </w:pPr>
            <w:r/>
            <w:r>
              <w:rPr>
                <w:b w:val="0"/>
                <w:i w:val="0"/>
                <w:sz w:val="19"/>
              </w:rPr>
              <w:t>SIEM</w:t>
            </w:r>
          </w:p>
        </w:tc>
        <w:tc>
          <w:tcPr>
            <w:tcW w:type="dxa" w:w="3216"/>
            <w:shd w:val="clear" w:fill="EEF3F8"/>
          </w:tcPr>
          <w:p>
            <w:pPr>
              <w:spacing w:after="20" w:before="20"/>
            </w:pPr>
            <w:r/>
            <w:r>
              <w:rPr>
                <w:b w:val="0"/>
                <w:i w:val="0"/>
                <w:sz w:val="19"/>
              </w:rPr>
              <w:t>Outbound security-log forwarding</w:t>
            </w:r>
          </w:p>
        </w:tc>
        <w:tc>
          <w:tcPr>
            <w:tcW w:type="dxa" w:w="3216"/>
            <w:shd w:val="clear" w:fill="EEF3F8"/>
          </w:tcPr>
          <w:p>
            <w:pPr>
              <w:spacing w:after="20" w:before="20"/>
            </w:pPr>
            <w:r/>
            <w:r>
              <w:rPr>
                <w:b w:val="0"/>
                <w:i w:val="0"/>
                <w:sz w:val="19"/>
              </w:rPr>
              <w:t>Security-relevant events — logins, logouts, and other defined factors — are forwarded to the government Security Information and Event Management system in its required standard format.</w:t>
            </w:r>
          </w:p>
        </w:tc>
      </w:tr>
      <w:tr>
        <w:tc>
          <w:tcPr>
            <w:tcW w:type="dxa" w:w="3216"/>
          </w:tcPr>
          <w:p>
            <w:pPr>
              <w:spacing w:after="20" w:before="20"/>
            </w:pPr>
            <w:r/>
            <w:r>
              <w:rPr>
                <w:b w:val="0"/>
                <w:i w:val="0"/>
                <w:sz w:val="19"/>
              </w:rPr>
              <w:t>Azure Active Directory</w:t>
            </w:r>
          </w:p>
        </w:tc>
        <w:tc>
          <w:tcPr>
            <w:tcW w:type="dxa" w:w="3216"/>
          </w:tcPr>
          <w:p>
            <w:pPr>
              <w:spacing w:after="20" w:before="20"/>
            </w:pPr>
            <w:r/>
            <w:r>
              <w:rPr>
                <w:b w:val="0"/>
                <w:i w:val="0"/>
                <w:sz w:val="19"/>
              </w:rPr>
              <w:t>Inbound staff SSO</w:t>
            </w:r>
          </w:p>
        </w:tc>
        <w:tc>
          <w:tcPr>
            <w:tcW w:type="dxa" w:w="3216"/>
          </w:tcPr>
          <w:p>
            <w:pPr>
              <w:spacing w:after="20" w:before="20"/>
            </w:pPr>
            <w:r/>
            <w:r>
              <w:rPr>
                <w:b w:val="0"/>
                <w:i w:val="0"/>
                <w:sz w:val="19"/>
              </w:rPr>
              <w:t>Staff and back-office users can authenticate via Azure AD, federated into the platform identity layer alongside the existing SSO/MFA capabilities.</w:t>
            </w:r>
          </w:p>
        </w:tc>
      </w:tr>
    </w:tbl>
    <w:p>
      <w:pPr>
        <w:spacing w:after="40"/>
      </w:pPr>
    </w:p>
    <w:p>
      <w:pPr>
        <w:pStyle w:val="Heading2"/>
        <w:spacing w:before="200" w:after="80"/>
      </w:pPr>
      <w:r>
        <w:rPr>
          <w:b/>
          <w:color w:val="2E75B6"/>
          <w:sz w:val="28"/>
        </w:rPr>
        <w:t>6.3 Payment Gateway Integration — Two Gateways in Phase 1</w:t>
      </w:r>
    </w:p>
    <w:p>
      <w:pPr>
        <w:spacing w:after="120" w:line="259" w:lineRule="auto"/>
      </w:pPr>
      <w:r>
        <w:rPr>
          <w:b w:val="0"/>
          <w:i w:val="0"/>
        </w:rPr>
        <w:t xml:space="preserve">Phase 1 delivers two payment gateways: </w:t>
      </w:r>
      <w:r>
        <w:rPr>
          <w:b/>
          <w:i w:val="0"/>
        </w:rPr>
        <w:t>Stripe</w:t>
      </w:r>
      <w:r>
        <w:rPr>
          <w:b w:val="0"/>
          <w:i w:val="0"/>
        </w:rPr>
        <w:t xml:space="preserve"> and </w:t>
      </w:r>
      <w:r>
        <w:rPr>
          <w:b/>
          <w:i w:val="0"/>
        </w:rPr>
        <w:t>Network International (NI)</w:t>
      </w:r>
      <w:r>
        <w:rPr>
          <w:b w:val="0"/>
          <w:i w:val="0"/>
        </w:rPr>
        <w:t>. Stripe provides the broadest channel coverage and the cleanest PCI scope-reduction path; NI is the largest UAE acquirer and the natural choice for high-volume local card processing in the UAE/MENA market. Together they cover both the international and the domestic acquiring needs of the venue estate. Any further gateway is handled as a red-card clause (see below). The integration spans every sales channel the platform supports: the web storefront, mobile applications, POS terminals at venue frontlines, self-service kiosks, and the optional partner portal for reseller commission splits.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Channel</w:t>
            </w:r>
          </w:p>
        </w:tc>
        <w:tc>
          <w:tcPr>
            <w:tcW w:type="dxa" w:w="3216"/>
            <w:shd w:val="clear" w:fill="1F3864"/>
          </w:tcPr>
          <w:p>
            <w:pPr>
              <w:spacing w:after="20" w:before="20"/>
            </w:pPr>
            <w:r/>
            <w:r>
              <w:rPr>
                <w:b/>
                <w:i w:val="0"/>
                <w:color w:val="FFFFFF"/>
                <w:sz w:val="19"/>
              </w:rPr>
              <w:t>Integration Method</w:t>
            </w:r>
          </w:p>
        </w:tc>
        <w:tc>
          <w:tcPr>
            <w:tcW w:type="dxa" w:w="3216"/>
            <w:shd w:val="clear" w:fill="1F3864"/>
          </w:tcPr>
          <w:p>
            <w:pPr>
              <w:spacing w:after="20" w:before="20"/>
            </w:pPr>
            <w:r/>
            <w:r>
              <w:rPr>
                <w:b/>
                <w:i w:val="0"/>
                <w:color w:val="FFFFFF"/>
                <w:sz w:val="19"/>
              </w:rPr>
              <w:t>Capabilities</w:t>
            </w:r>
          </w:p>
        </w:tc>
      </w:tr>
      <w:tr>
        <w:tc>
          <w:tcPr>
            <w:tcW w:type="dxa" w:w="3216"/>
          </w:tcPr>
          <w:p>
            <w:pPr>
              <w:spacing w:after="20" w:before="20"/>
            </w:pPr>
            <w:r/>
            <w:r>
              <w:rPr>
                <w:b w:val="0"/>
                <w:i w:val="0"/>
                <w:sz w:val="19"/>
              </w:rPr>
              <w:t>Online (web)</w:t>
            </w:r>
          </w:p>
        </w:tc>
        <w:tc>
          <w:tcPr>
            <w:tcW w:type="dxa" w:w="3216"/>
          </w:tcPr>
          <w:p>
            <w:pPr>
              <w:spacing w:after="20" w:before="20"/>
            </w:pPr>
            <w:r/>
            <w:r>
              <w:rPr>
                <w:b w:val="0"/>
                <w:i w:val="0"/>
                <w:sz w:val="19"/>
              </w:rPr>
              <w:t>Stripe.js + Payment Intents API / NI hosted checkout</w:t>
            </w:r>
          </w:p>
        </w:tc>
        <w:tc>
          <w:tcPr>
            <w:tcW w:type="dxa" w:w="3216"/>
          </w:tcPr>
          <w:p>
            <w:pPr>
              <w:spacing w:after="20" w:before="20"/>
            </w:pPr>
            <w:r/>
            <w:r>
              <w:rPr>
                <w:b w:val="0"/>
                <w:i w:val="0"/>
                <w:sz w:val="19"/>
              </w:rPr>
              <w:t>Card, Apple Pay, Google Pay, 3D Secure v2</w:t>
            </w:r>
          </w:p>
        </w:tc>
      </w:tr>
      <w:tr>
        <w:tc>
          <w:tcPr>
            <w:tcW w:type="dxa" w:w="3216"/>
            <w:shd w:val="clear" w:fill="EEF3F8"/>
          </w:tcPr>
          <w:p>
            <w:pPr>
              <w:spacing w:after="20" w:before="20"/>
            </w:pPr>
            <w:r/>
            <w:r>
              <w:rPr>
                <w:b w:val="0"/>
                <w:i w:val="0"/>
                <w:sz w:val="19"/>
              </w:rPr>
              <w:t>Mobile app</w:t>
            </w:r>
          </w:p>
        </w:tc>
        <w:tc>
          <w:tcPr>
            <w:tcW w:type="dxa" w:w="3216"/>
            <w:shd w:val="clear" w:fill="EEF3F8"/>
          </w:tcPr>
          <w:p>
            <w:pPr>
              <w:spacing w:after="20" w:before="20"/>
            </w:pPr>
            <w:r/>
            <w:r>
              <w:rPr>
                <w:b w:val="0"/>
                <w:i w:val="0"/>
                <w:sz w:val="19"/>
              </w:rPr>
              <w:t>Stripe React Native SDK / NI mobile SDK</w:t>
            </w:r>
          </w:p>
        </w:tc>
        <w:tc>
          <w:tcPr>
            <w:tcW w:type="dxa" w:w="3216"/>
            <w:shd w:val="clear" w:fill="EEF3F8"/>
          </w:tcPr>
          <w:p>
            <w:pPr>
              <w:spacing w:after="20" w:before="20"/>
            </w:pPr>
            <w:r/>
            <w:r>
              <w:rPr>
                <w:b w:val="0"/>
                <w:i w:val="0"/>
                <w:sz w:val="19"/>
              </w:rPr>
              <w:t>Card, Apple Pay, Google Pay — native in-app flow</w:t>
            </w:r>
          </w:p>
        </w:tc>
      </w:tr>
      <w:tr>
        <w:tc>
          <w:tcPr>
            <w:tcW w:type="dxa" w:w="3216"/>
          </w:tcPr>
          <w:p>
            <w:pPr>
              <w:spacing w:after="20" w:before="20"/>
            </w:pPr>
            <w:r/>
            <w:r>
              <w:rPr>
                <w:b w:val="0"/>
                <w:i w:val="0"/>
                <w:sz w:val="19"/>
              </w:rPr>
              <w:t>POS terminal</w:t>
            </w:r>
          </w:p>
        </w:tc>
        <w:tc>
          <w:tcPr>
            <w:tcW w:type="dxa" w:w="3216"/>
          </w:tcPr>
          <w:p>
            <w:pPr>
              <w:spacing w:after="20" w:before="20"/>
            </w:pPr>
            <w:r/>
            <w:r>
              <w:rPr>
                <w:b w:val="0"/>
                <w:i w:val="0"/>
                <w:sz w:val="19"/>
              </w:rPr>
              <w:t>Stripe Terminal SDK / NI-certified readers</w:t>
            </w:r>
          </w:p>
        </w:tc>
        <w:tc>
          <w:tcPr>
            <w:tcW w:type="dxa" w:w="3216"/>
          </w:tcPr>
          <w:p>
            <w:pPr>
              <w:spacing w:after="20" w:before="20"/>
            </w:pPr>
            <w:r/>
            <w:r>
              <w:rPr>
                <w:b w:val="0"/>
                <w:i w:val="0"/>
                <w:sz w:val="19"/>
              </w:rPr>
              <w:t>Tap-to-pay, chip and PIN, contactless</w:t>
            </w:r>
          </w:p>
        </w:tc>
      </w:tr>
      <w:tr>
        <w:tc>
          <w:tcPr>
            <w:tcW w:type="dxa" w:w="3216"/>
            <w:shd w:val="clear" w:fill="EEF3F8"/>
          </w:tcPr>
          <w:p>
            <w:pPr>
              <w:spacing w:after="20" w:before="20"/>
            </w:pPr>
            <w:r/>
            <w:r>
              <w:rPr>
                <w:b w:val="0"/>
                <w:i w:val="0"/>
                <w:sz w:val="19"/>
              </w:rPr>
              <w:t>Kiosk</w:t>
            </w:r>
          </w:p>
        </w:tc>
        <w:tc>
          <w:tcPr>
            <w:tcW w:type="dxa" w:w="3216"/>
            <w:shd w:val="clear" w:fill="EEF3F8"/>
          </w:tcPr>
          <w:p>
            <w:pPr>
              <w:spacing w:after="20" w:before="20"/>
            </w:pPr>
            <w:r/>
            <w:r>
              <w:rPr>
                <w:b w:val="0"/>
                <w:i w:val="0"/>
                <w:sz w:val="19"/>
              </w:rPr>
              <w:t>Stripe Terminal SDK / NI-certified readers</w:t>
            </w:r>
          </w:p>
        </w:tc>
        <w:tc>
          <w:tcPr>
            <w:tcW w:type="dxa" w:w="3216"/>
            <w:shd w:val="clear" w:fill="EEF3F8"/>
          </w:tcPr>
          <w:p>
            <w:pPr>
              <w:spacing w:after="20" w:before="20"/>
            </w:pPr>
            <w:r/>
            <w:r>
              <w:rPr>
                <w:b w:val="0"/>
                <w:i w:val="0"/>
                <w:sz w:val="19"/>
              </w:rPr>
              <w:t>Same as POS; kiosk-grade certified readers</w:t>
            </w:r>
          </w:p>
        </w:tc>
      </w:tr>
      <w:tr>
        <w:tc>
          <w:tcPr>
            <w:tcW w:type="dxa" w:w="3216"/>
          </w:tcPr>
          <w:p>
            <w:pPr>
              <w:spacing w:after="20" w:before="20"/>
            </w:pPr>
            <w:r/>
            <w:r>
              <w:rPr>
                <w:b w:val="0"/>
                <w:i w:val="0"/>
                <w:sz w:val="19"/>
              </w:rPr>
              <w:t>Partner portal</w:t>
            </w:r>
          </w:p>
        </w:tc>
        <w:tc>
          <w:tcPr>
            <w:tcW w:type="dxa" w:w="3216"/>
          </w:tcPr>
          <w:p>
            <w:pPr>
              <w:spacing w:after="20" w:before="20"/>
            </w:pPr>
            <w:r/>
            <w:r>
              <w:rPr>
                <w:b w:val="0"/>
                <w:i w:val="0"/>
                <w:sz w:val="19"/>
              </w:rPr>
              <w:t>Stripe Connect (optional)</w:t>
            </w:r>
          </w:p>
        </w:tc>
        <w:tc>
          <w:tcPr>
            <w:tcW w:type="dxa" w:w="3216"/>
          </w:tcPr>
          <w:p>
            <w:pPr>
              <w:spacing w:after="20" w:before="20"/>
            </w:pPr>
            <w:r/>
            <w:r>
              <w:rPr>
                <w:b w:val="0"/>
                <w:i w:val="0"/>
                <w:sz w:val="19"/>
              </w:rPr>
              <w:t>Split payments for reseller commission models</w:t>
            </w:r>
          </w:p>
        </w:tc>
      </w:tr>
    </w:tbl>
    <w:p>
      <w:pPr>
        <w:spacing w:after="40"/>
      </w:pPr>
    </w:p>
    <w:p>
      <w:pPr>
        <w:spacing w:after="120" w:line="259" w:lineRule="auto"/>
      </w:pPr>
      <w:r>
        <w:rPr>
          <w:b w:val="0"/>
          <w:i w:val="0"/>
        </w:rPr>
        <w:t>The PCI scope reduction argument is precise: the gateway SDKs handle all card data at the browser and device level. Raw card numbers never enter the TAIS application layer, never touch the application server, and are never stored anywhere in the TAIS infrastructure. TAIS stores only payment tokens. The PCI-DSS compliance obligation is reduced to SAQ A for online channels — the most lightweight of the SAQ types.</w:t>
      </w:r>
    </w:p>
    <w:p>
      <w:pPr>
        <w:pStyle w:val="Heading3"/>
        <w:spacing w:before="160" w:after="60"/>
      </w:pPr>
      <w:r>
        <w:rPr>
          <w:b/>
          <w:color w:val="2E75B6"/>
          <w:sz w:val="23"/>
        </w:rPr>
        <w:t>Additional Gateways — Red-Card Clause</w:t>
      </w:r>
    </w:p>
    <w:p>
      <w:pPr>
        <w:spacing w:after="120" w:line="259" w:lineRule="auto"/>
      </w:pPr>
      <w:r>
        <w:rPr>
          <w:b w:val="0"/>
          <w:i w:val="0"/>
        </w:rPr>
        <w:t>Beyond the two Phase 1 gateways, any additional payment gateway is delivered as a contracted red-card item: a fixed, pre-agreed timeline and cost per gateway, triggered on the client’s written request. The adapter pattern means each additional gateway is a new adapter deployed alongside the live platform with no changes to core services and no downtime. The following are common candidates the client may activate this way.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Provider</w:t>
            </w:r>
          </w:p>
        </w:tc>
        <w:tc>
          <w:tcPr>
            <w:tcW w:type="dxa" w:w="3216"/>
            <w:shd w:val="clear" w:fill="1F3864"/>
          </w:tcPr>
          <w:p>
            <w:pPr>
              <w:spacing w:after="20" w:before="20"/>
            </w:pPr>
            <w:r/>
            <w:r>
              <w:rPr>
                <w:b/>
                <w:i w:val="0"/>
                <w:color w:val="FFFFFF"/>
                <w:sz w:val="19"/>
              </w:rPr>
              <w:t>Region</w:t>
            </w:r>
          </w:p>
        </w:tc>
        <w:tc>
          <w:tcPr>
            <w:tcW w:type="dxa" w:w="3216"/>
            <w:shd w:val="clear" w:fill="1F3864"/>
          </w:tcPr>
          <w:p>
            <w:pPr>
              <w:spacing w:after="20" w:before="20"/>
            </w:pPr>
            <w:r/>
            <w:r>
              <w:rPr>
                <w:b/>
                <w:i w:val="0"/>
                <w:color w:val="FFFFFF"/>
                <w:sz w:val="19"/>
              </w:rPr>
              <w:t>Rationale</w:t>
            </w:r>
          </w:p>
        </w:tc>
      </w:tr>
      <w:tr>
        <w:tc>
          <w:tcPr>
            <w:tcW w:type="dxa" w:w="3216"/>
          </w:tcPr>
          <w:p>
            <w:pPr>
              <w:spacing w:after="20" w:before="20"/>
            </w:pPr>
            <w:r/>
            <w:r>
              <w:rPr>
                <w:b w:val="0"/>
                <w:i w:val="0"/>
                <w:sz w:val="19"/>
              </w:rPr>
              <w:t>PayTabs</w:t>
            </w:r>
          </w:p>
        </w:tc>
        <w:tc>
          <w:tcPr>
            <w:tcW w:type="dxa" w:w="3216"/>
          </w:tcPr>
          <w:p>
            <w:pPr>
              <w:spacing w:after="20" w:before="20"/>
            </w:pPr>
            <w:r/>
            <w:r>
              <w:rPr>
                <w:b w:val="0"/>
                <w:i w:val="0"/>
                <w:sz w:val="19"/>
              </w:rPr>
              <w:t>UAE / Saudi Arabia</w:t>
            </w:r>
          </w:p>
        </w:tc>
        <w:tc>
          <w:tcPr>
            <w:tcW w:type="dxa" w:w="3216"/>
          </w:tcPr>
          <w:p>
            <w:pPr>
              <w:spacing w:after="20" w:before="20"/>
            </w:pPr>
            <w:r/>
            <w:r>
              <w:rPr>
                <w:b w:val="0"/>
                <w:i w:val="0"/>
                <w:sz w:val="19"/>
              </w:rPr>
              <w:t>Popular regional gateway; strong penetration in Gulf markets</w:t>
            </w:r>
          </w:p>
        </w:tc>
      </w:tr>
      <w:tr>
        <w:tc>
          <w:tcPr>
            <w:tcW w:type="dxa" w:w="3216"/>
            <w:shd w:val="clear" w:fill="EEF3F8"/>
          </w:tcPr>
          <w:p>
            <w:pPr>
              <w:spacing w:after="20" w:before="20"/>
            </w:pPr>
            <w:r/>
            <w:r>
              <w:rPr>
                <w:b w:val="0"/>
                <w:i w:val="0"/>
                <w:sz w:val="19"/>
              </w:rPr>
              <w:t>Amazon Payment Services</w:t>
            </w:r>
          </w:p>
        </w:tc>
        <w:tc>
          <w:tcPr>
            <w:tcW w:type="dxa" w:w="3216"/>
            <w:shd w:val="clear" w:fill="EEF3F8"/>
          </w:tcPr>
          <w:p>
            <w:pPr>
              <w:spacing w:after="20" w:before="20"/>
            </w:pPr>
            <w:r/>
            <w:r>
              <w:rPr>
                <w:b w:val="0"/>
                <w:i w:val="0"/>
                <w:sz w:val="19"/>
              </w:rPr>
              <w:t>UAE / MENA</w:t>
            </w:r>
          </w:p>
        </w:tc>
        <w:tc>
          <w:tcPr>
            <w:tcW w:type="dxa" w:w="3216"/>
            <w:shd w:val="clear" w:fill="EEF3F8"/>
          </w:tcPr>
          <w:p>
            <w:pPr>
              <w:spacing w:after="20" w:before="20"/>
            </w:pPr>
            <w:r/>
            <w:r>
              <w:rPr>
                <w:b w:val="0"/>
                <w:i w:val="0"/>
                <w:sz w:val="19"/>
              </w:rPr>
              <w:t>Formerly Payfort; strong brand recognition with UAE consumers</w:t>
            </w:r>
          </w:p>
        </w:tc>
      </w:tr>
      <w:tr>
        <w:tc>
          <w:tcPr>
            <w:tcW w:type="dxa" w:w="3216"/>
          </w:tcPr>
          <w:p>
            <w:pPr>
              <w:spacing w:after="20" w:before="20"/>
            </w:pPr>
            <w:r/>
            <w:r>
              <w:rPr>
                <w:b w:val="0"/>
                <w:i w:val="0"/>
                <w:sz w:val="19"/>
              </w:rPr>
              <w:t>Checkout.com</w:t>
            </w:r>
          </w:p>
        </w:tc>
        <w:tc>
          <w:tcPr>
            <w:tcW w:type="dxa" w:w="3216"/>
          </w:tcPr>
          <w:p>
            <w:pPr>
              <w:spacing w:after="20" w:before="20"/>
            </w:pPr>
            <w:r/>
            <w:r>
              <w:rPr>
                <w:b w:val="0"/>
                <w:i w:val="0"/>
                <w:sz w:val="19"/>
              </w:rPr>
              <w:t>Global</w:t>
            </w:r>
          </w:p>
        </w:tc>
        <w:tc>
          <w:tcPr>
            <w:tcW w:type="dxa" w:w="3216"/>
          </w:tcPr>
          <w:p>
            <w:pPr>
              <w:spacing w:after="20" w:before="20"/>
            </w:pPr>
            <w:r/>
            <w:r>
              <w:rPr>
                <w:b w:val="0"/>
                <w:i w:val="0"/>
                <w:sz w:val="19"/>
              </w:rPr>
              <w:t>Competitive processing rates; strong built-in fraud tooling</w:t>
            </w:r>
          </w:p>
        </w:tc>
      </w:tr>
      <w:tr>
        <w:tc>
          <w:tcPr>
            <w:tcW w:type="dxa" w:w="3216"/>
            <w:shd w:val="clear" w:fill="EEF3F8"/>
          </w:tcPr>
          <w:p>
            <w:pPr>
              <w:spacing w:after="20" w:before="20"/>
            </w:pPr>
            <w:r/>
            <w:r>
              <w:rPr>
                <w:b w:val="0"/>
                <w:i w:val="0"/>
                <w:sz w:val="19"/>
              </w:rPr>
              <w:t>PayPal</w:t>
            </w:r>
          </w:p>
        </w:tc>
        <w:tc>
          <w:tcPr>
            <w:tcW w:type="dxa" w:w="3216"/>
            <w:shd w:val="clear" w:fill="EEF3F8"/>
          </w:tcPr>
          <w:p>
            <w:pPr>
              <w:spacing w:after="20" w:before="20"/>
            </w:pPr>
            <w:r/>
            <w:r>
              <w:rPr>
                <w:b w:val="0"/>
                <w:i w:val="0"/>
                <w:sz w:val="19"/>
              </w:rPr>
              <w:t>Global</w:t>
            </w:r>
          </w:p>
        </w:tc>
        <w:tc>
          <w:tcPr>
            <w:tcW w:type="dxa" w:w="3216"/>
            <w:shd w:val="clear" w:fill="EEF3F8"/>
          </w:tcPr>
          <w:p>
            <w:pPr>
              <w:spacing w:after="20" w:before="20"/>
            </w:pPr>
            <w:r/>
            <w:r>
              <w:rPr>
                <w:b w:val="0"/>
                <w:i w:val="0"/>
                <w:sz w:val="19"/>
              </w:rPr>
              <w:t>Guest checkout use case; tourist and international buyer segment</w:t>
            </w:r>
          </w:p>
        </w:tc>
      </w:tr>
      <w:tr>
        <w:tc>
          <w:tcPr>
            <w:tcW w:type="dxa" w:w="3216"/>
          </w:tcPr>
          <w:p>
            <w:pPr>
              <w:spacing w:after="20" w:before="20"/>
            </w:pPr>
            <w:r/>
            <w:r>
              <w:rPr>
                <w:b w:val="0"/>
                <w:i w:val="0"/>
                <w:sz w:val="19"/>
              </w:rPr>
              <w:t>CCAvenue</w:t>
            </w:r>
          </w:p>
        </w:tc>
        <w:tc>
          <w:tcPr>
            <w:tcW w:type="dxa" w:w="3216"/>
          </w:tcPr>
          <w:p>
            <w:pPr>
              <w:spacing w:after="20" w:before="20"/>
            </w:pPr>
            <w:r/>
            <w:r>
              <w:rPr>
                <w:b w:val="0"/>
                <w:i w:val="0"/>
                <w:sz w:val="19"/>
              </w:rPr>
              <w:t>India / Global</w:t>
            </w:r>
          </w:p>
        </w:tc>
        <w:tc>
          <w:tcPr>
            <w:tcW w:type="dxa" w:w="3216"/>
          </w:tcPr>
          <w:p>
            <w:pPr>
              <w:spacing w:after="20" w:before="20"/>
            </w:pPr>
            <w:r/>
            <w:r>
              <w:rPr>
                <w:b w:val="0"/>
                <w:i w:val="0"/>
                <w:sz w:val="19"/>
              </w:rPr>
              <w:t>South Asian tourist demographic accessing UAE attractions</w:t>
            </w:r>
          </w:p>
        </w:tc>
      </w:tr>
    </w:tbl>
    <w:p>
      <w:pPr>
        <w:spacing w:after="40"/>
      </w:pPr>
    </w:p>
    <w:p>
      <w:pPr>
        <w:pStyle w:val="Heading2"/>
        <w:spacing w:before="200" w:after="80"/>
      </w:pPr>
      <w:r>
        <w:rPr>
          <w:b/>
          <w:color w:val="2E75B6"/>
          <w:sz w:val="28"/>
        </w:rPr>
        <w:t>6.4 Access Control Hardware Integration</w:t>
      </w:r>
    </w:p>
    <w:p>
      <w:pPr>
        <w:spacing w:after="120" w:line="259" w:lineRule="auto"/>
      </w:pPr>
      <w:r>
        <w:rPr>
          <w:b w:val="0"/>
          <w:i w:val="0"/>
        </w:rPr>
        <w:t>Access control is the most venue-specific and hardware-dependent integration in the platform. Each manufacturer uses a different SDK, protocol, and data model — there is no universal standard. The adapter pattern is not optional here; it is the only architecture that allows the same platform to run across venues using different hardware from different suppliers.</w:t>
      </w:r>
    </w:p>
    <w:p>
      <w:pPr>
        <w:spacing w:after="120" w:line="259" w:lineRule="auto"/>
      </w:pPr>
      <w:r>
        <w:rPr>
          <w:b w:val="0"/>
          <w:i w:val="0"/>
        </w:rPr>
        <w:t>The confirmation of specific hardware models happens at the implementation kickoff per venue. One to two manufacturers will be confirmed at that point, and the corresponding adapters are built and tested with physical hardware before the pilot venue go-live.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Manufacturer</w:t>
            </w:r>
          </w:p>
        </w:tc>
        <w:tc>
          <w:tcPr>
            <w:tcW w:type="dxa" w:w="3216"/>
            <w:shd w:val="clear" w:fill="1F3864"/>
          </w:tcPr>
          <w:p>
            <w:pPr>
              <w:spacing w:after="20" w:before="20"/>
            </w:pPr>
            <w:r/>
            <w:r>
              <w:rPr>
                <w:b/>
                <w:i w:val="0"/>
                <w:color w:val="FFFFFF"/>
                <w:sz w:val="19"/>
              </w:rPr>
              <w:t>Integration Method</w:t>
            </w:r>
          </w:p>
        </w:tc>
        <w:tc>
          <w:tcPr>
            <w:tcW w:type="dxa" w:w="3216"/>
            <w:shd w:val="clear" w:fill="1F3864"/>
          </w:tcPr>
          <w:p>
            <w:pPr>
              <w:spacing w:after="20" w:before="20"/>
            </w:pPr>
            <w:r/>
            <w:r>
              <w:rPr>
                <w:b/>
                <w:i w:val="0"/>
                <w:color w:val="FFFFFF"/>
                <w:sz w:val="19"/>
              </w:rPr>
              <w:t>Capabilities</w:t>
            </w:r>
          </w:p>
        </w:tc>
      </w:tr>
      <w:tr>
        <w:tc>
          <w:tcPr>
            <w:tcW w:type="dxa" w:w="3216"/>
          </w:tcPr>
          <w:p>
            <w:pPr>
              <w:spacing w:after="20" w:before="20"/>
            </w:pPr>
            <w:r/>
            <w:r>
              <w:rPr>
                <w:b w:val="0"/>
                <w:i w:val="0"/>
                <w:sz w:val="19"/>
              </w:rPr>
              <w:t>Axess</w:t>
            </w:r>
          </w:p>
        </w:tc>
        <w:tc>
          <w:tcPr>
            <w:tcW w:type="dxa" w:w="3216"/>
          </w:tcPr>
          <w:p>
            <w:pPr>
              <w:spacing w:after="20" w:before="20"/>
            </w:pPr>
            <w:r/>
            <w:r>
              <w:rPr>
                <w:b w:val="0"/>
                <w:i w:val="0"/>
                <w:sz w:val="19"/>
              </w:rPr>
              <w:t>Axess SDK / REST API</w:t>
            </w:r>
          </w:p>
        </w:tc>
        <w:tc>
          <w:tcPr>
            <w:tcW w:type="dxa" w:w="3216"/>
          </w:tcPr>
          <w:p>
            <w:pPr>
              <w:spacing w:after="20" w:before="20"/>
            </w:pPr>
            <w:r/>
            <w:r>
              <w:rPr>
                <w:b w:val="0"/>
                <w:i w:val="0"/>
                <w:sz w:val="19"/>
              </w:rPr>
              <w:t>Entry validation, ticket status sync, lane control, visitor counting per gate</w:t>
            </w:r>
          </w:p>
        </w:tc>
      </w:tr>
      <w:tr>
        <w:tc>
          <w:tcPr>
            <w:tcW w:type="dxa" w:w="3216"/>
            <w:shd w:val="clear" w:fill="EEF3F8"/>
          </w:tcPr>
          <w:p>
            <w:pPr>
              <w:spacing w:after="20" w:before="20"/>
            </w:pPr>
            <w:r/>
            <w:r>
              <w:rPr>
                <w:b w:val="0"/>
                <w:i w:val="0"/>
                <w:sz w:val="19"/>
              </w:rPr>
              <w:t>Skidata</w:t>
            </w:r>
          </w:p>
        </w:tc>
        <w:tc>
          <w:tcPr>
            <w:tcW w:type="dxa" w:w="3216"/>
            <w:shd w:val="clear" w:fill="EEF3F8"/>
          </w:tcPr>
          <w:p>
            <w:pPr>
              <w:spacing w:after="20" w:before="20"/>
            </w:pPr>
            <w:r/>
            <w:r>
              <w:rPr>
                <w:b w:val="0"/>
                <w:i w:val="0"/>
                <w:sz w:val="19"/>
              </w:rPr>
              <w:t>Skidata Connect API</w:t>
            </w:r>
          </w:p>
        </w:tc>
        <w:tc>
          <w:tcPr>
            <w:tcW w:type="dxa" w:w="3216"/>
            <w:shd w:val="clear" w:fill="EEF3F8"/>
          </w:tcPr>
          <w:p>
            <w:pPr>
              <w:spacing w:after="20" w:before="20"/>
            </w:pPr>
            <w:r/>
            <w:r>
              <w:rPr>
                <w:b w:val="0"/>
                <w:i w:val="0"/>
                <w:sz w:val="19"/>
              </w:rPr>
              <w:t>Gate control, ticket validation, capacity management, occupancy reporting</w:t>
            </w:r>
          </w:p>
        </w:tc>
      </w:tr>
      <w:tr>
        <w:tc>
          <w:tcPr>
            <w:tcW w:type="dxa" w:w="3216"/>
          </w:tcPr>
          <w:p>
            <w:pPr>
              <w:spacing w:after="20" w:before="20"/>
            </w:pPr>
            <w:r/>
            <w:r>
              <w:rPr>
                <w:b w:val="0"/>
                <w:i w:val="0"/>
                <w:sz w:val="19"/>
              </w:rPr>
              <w:t>CAME</w:t>
            </w:r>
          </w:p>
        </w:tc>
        <w:tc>
          <w:tcPr>
            <w:tcW w:type="dxa" w:w="3216"/>
          </w:tcPr>
          <w:p>
            <w:pPr>
              <w:spacing w:after="20" w:before="20"/>
            </w:pPr>
            <w:r/>
            <w:r>
              <w:rPr>
                <w:b w:val="0"/>
                <w:i w:val="0"/>
                <w:sz w:val="19"/>
              </w:rPr>
              <w:t>CAME API / SDK</w:t>
            </w:r>
          </w:p>
        </w:tc>
        <w:tc>
          <w:tcPr>
            <w:tcW w:type="dxa" w:w="3216"/>
          </w:tcPr>
          <w:p>
            <w:pPr>
              <w:spacing w:after="20" w:before="20"/>
            </w:pPr>
            <w:r/>
            <w:r>
              <w:rPr>
                <w:b w:val="0"/>
                <w:i w:val="0"/>
                <w:sz w:val="19"/>
              </w:rPr>
              <w:t>Turnstile control, access events, real-time audit log</w:t>
            </w:r>
          </w:p>
        </w:tc>
      </w:tr>
      <w:tr>
        <w:tc>
          <w:tcPr>
            <w:tcW w:type="dxa" w:w="3216"/>
            <w:shd w:val="clear" w:fill="EEF3F8"/>
          </w:tcPr>
          <w:p>
            <w:pPr>
              <w:spacing w:after="20" w:before="20"/>
            </w:pPr>
            <w:r/>
            <w:r>
              <w:rPr>
                <w:b w:val="0"/>
                <w:i w:val="0"/>
                <w:sz w:val="19"/>
              </w:rPr>
              <w:t>KABA (dormakaba)</w:t>
            </w:r>
          </w:p>
        </w:tc>
        <w:tc>
          <w:tcPr>
            <w:tcW w:type="dxa" w:w="3216"/>
            <w:shd w:val="clear" w:fill="EEF3F8"/>
          </w:tcPr>
          <w:p>
            <w:pPr>
              <w:spacing w:after="20" w:before="20"/>
            </w:pPr>
            <w:r/>
            <w:r>
              <w:rPr>
                <w:b w:val="0"/>
                <w:i w:val="0"/>
                <w:sz w:val="19"/>
              </w:rPr>
              <w:t>dormakaba API</w:t>
            </w:r>
          </w:p>
        </w:tc>
        <w:tc>
          <w:tcPr>
            <w:tcW w:type="dxa" w:w="3216"/>
            <w:shd w:val="clear" w:fill="EEF3F8"/>
          </w:tcPr>
          <w:p>
            <w:pPr>
              <w:spacing w:after="20" w:before="20"/>
            </w:pPr>
            <w:r/>
            <w:r>
              <w:rPr>
                <w:b w:val="0"/>
                <w:i w:val="0"/>
                <w:sz w:val="19"/>
              </w:rPr>
              <w:t>Access control, credential management, event logging</w:t>
            </w:r>
          </w:p>
        </w:tc>
      </w:tr>
      <w:tr>
        <w:tc>
          <w:tcPr>
            <w:tcW w:type="dxa" w:w="3216"/>
          </w:tcPr>
          <w:p>
            <w:pPr>
              <w:spacing w:after="20" w:before="20"/>
            </w:pPr>
            <w:r/>
            <w:r>
              <w:rPr>
                <w:b w:val="0"/>
                <w:i w:val="0"/>
                <w:sz w:val="19"/>
              </w:rPr>
              <w:t>Boon Edam</w:t>
            </w:r>
          </w:p>
        </w:tc>
        <w:tc>
          <w:tcPr>
            <w:tcW w:type="dxa" w:w="3216"/>
          </w:tcPr>
          <w:p>
            <w:pPr>
              <w:spacing w:after="20" w:before="20"/>
            </w:pPr>
            <w:r/>
            <w:r>
              <w:rPr>
                <w:b w:val="0"/>
                <w:i w:val="0"/>
                <w:sz w:val="19"/>
              </w:rPr>
              <w:t>Boon Edam API</w:t>
            </w:r>
          </w:p>
        </w:tc>
        <w:tc>
          <w:tcPr>
            <w:tcW w:type="dxa" w:w="3216"/>
          </w:tcPr>
          <w:p>
            <w:pPr>
              <w:spacing w:after="20" w:before="20"/>
            </w:pPr>
            <w:r/>
            <w:r>
              <w:rPr>
                <w:b w:val="0"/>
                <w:i w:val="0"/>
                <w:sz w:val="19"/>
              </w:rPr>
              <w:t>Speed gate control, entry and exit counting, alarm management</w:t>
            </w:r>
          </w:p>
        </w:tc>
      </w:tr>
    </w:tbl>
    <w:p>
      <w:pPr>
        <w:spacing w:after="40"/>
      </w:pPr>
    </w:p>
    <w:p>
      <w:pPr>
        <w:pStyle w:val="Heading3"/>
        <w:spacing w:before="160" w:after="60"/>
      </w:pPr>
      <w:r>
        <w:rPr>
          <w:b/>
          <w:color w:val="2E75B6"/>
          <w:sz w:val="23"/>
        </w:rPr>
        <w:t>Validation Flow</w:t>
      </w:r>
    </w:p>
    <w:p>
      <w:pPr>
        <w:spacing w:after="120" w:line="259" w:lineRule="auto"/>
      </w:pPr>
      <w:r>
        <w:rPr>
          <w:b w:val="0"/>
          <w:i w:val="0"/>
        </w:rPr>
        <w:t>The guest presents a ticket — QR code, RFID, or NFC — at the gate hardware. The hardware reads the ticket and calls the TAIS Validation API. TAIS performs four checks in sequence: cryptographic signature verification, entitlement check against the booking record, duplicate entry detection against the used-ticket log, and time window validation against the valid period. TAIS responds with GRANT or DENY plus a reason code. The hardware opens or holds the gate and logs the event. The validation event is simultaneously published to Kafka, updating the live attendance counter, the Operations Command Center, and the audit log — all within the 500ms gate response budget.</w:t>
      </w:r>
    </w:p>
    <w:p>
      <w:pPr>
        <w:spacing w:after="120" w:line="259" w:lineRule="auto"/>
      </w:pPr>
      <w:r>
        <w:rPr>
          <w:b w:val="0"/>
          <w:i w:val="0"/>
        </w:rPr>
        <w:t>The offline fallback is critical for any physical venue. When the TAIS API is unreachable — network interruption, maintenance, or infrastructure issue — gate hardware falls back to the pre-loaded authorised ticket list pushed from TAIS at regular intervals. The list is cryptographically signed; the hardware verifies the signature locally without a server round-trip. Gates continue validating correctly. They never fail open (admitting everyone) or fail closed (admitting no one) due to connectivity. Full detail of the cryptographic validation architecture is in Chapter 7.</w:t>
      </w:r>
    </w:p>
    <w:p>
      <w:pPr>
        <w:pStyle w:val="Heading2"/>
        <w:spacing w:before="200" w:after="80"/>
      </w:pPr>
      <w:r>
        <w:rPr>
          <w:b/>
          <w:color w:val="2E75B6"/>
          <w:sz w:val="28"/>
        </w:rPr>
        <w:t>6.5 Communication Services — Provider-Agnostic Layer</w:t>
      </w:r>
    </w:p>
    <w:p>
      <w:pPr>
        <w:spacing w:after="120" w:line="259" w:lineRule="auto"/>
      </w:pPr>
      <w:r>
        <w:rPr>
          <w:b w:val="0"/>
          <w:i w:val="0"/>
        </w:rPr>
        <w:t>The RFP explicitly requires a provider-agnostic communication architecture. The Notification Service implements this through a unified internal messaging API that abstracts all provider-specific differences behind a single interface that the rest of the platform uses.</w:t>
      </w:r>
    </w:p>
    <w:p>
      <w:pPr>
        <w:spacing w:after="120" w:line="259" w:lineRule="auto"/>
      </w:pPr>
      <w:r>
        <w:rPr>
          <w:b w:val="0"/>
          <w:i w:val="0"/>
        </w:rPr>
        <w:t>When a booking is confirmed, the Commerce Service publishes a booking_confirmed event to Kafka. The Notification Service subscribes to this event, determines which channels to use based on the guest’s preferences and opt-out status, resolves the correct message template in the guest’s language, and routes the outbound messages through the appropriate provider adapters. The Commerce Service has no awareness of which SMS provider is active, which email provider is used, or whether the guest prefers WhatsApp over email. That logic lives entirely within the Notification Service.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Channel</w:t>
            </w:r>
          </w:p>
        </w:tc>
        <w:tc>
          <w:tcPr>
            <w:tcW w:type="dxa" w:w="3216"/>
            <w:shd w:val="clear" w:fill="1F3864"/>
          </w:tcPr>
          <w:p>
            <w:pPr>
              <w:spacing w:after="20" w:before="20"/>
            </w:pPr>
            <w:r/>
            <w:r>
              <w:rPr>
                <w:b/>
                <w:i w:val="0"/>
                <w:color w:val="FFFFFF"/>
                <w:sz w:val="19"/>
              </w:rPr>
              <w:t>Provider</w:t>
            </w:r>
          </w:p>
        </w:tc>
        <w:tc>
          <w:tcPr>
            <w:tcW w:type="dxa" w:w="3216"/>
            <w:shd w:val="clear" w:fill="1F3864"/>
          </w:tcPr>
          <w:p>
            <w:pPr>
              <w:spacing w:after="20" w:before="20"/>
            </w:pPr>
            <w:r/>
            <w:r>
              <w:rPr>
                <w:b/>
                <w:i w:val="0"/>
                <w:color w:val="FFFFFF"/>
                <w:sz w:val="19"/>
              </w:rPr>
              <w:t>Use Cases</w:t>
            </w:r>
          </w:p>
        </w:tc>
      </w:tr>
      <w:tr>
        <w:tc>
          <w:tcPr>
            <w:tcW w:type="dxa" w:w="3216"/>
          </w:tcPr>
          <w:p>
            <w:pPr>
              <w:spacing w:after="20" w:before="20"/>
            </w:pPr>
            <w:r/>
            <w:r>
              <w:rPr>
                <w:b w:val="0"/>
                <w:i w:val="0"/>
                <w:sz w:val="19"/>
              </w:rPr>
              <w:t>SMS</w:t>
            </w:r>
          </w:p>
        </w:tc>
        <w:tc>
          <w:tcPr>
            <w:tcW w:type="dxa" w:w="3216"/>
          </w:tcPr>
          <w:p>
            <w:pPr>
              <w:spacing w:after="20" w:before="20"/>
            </w:pPr>
            <w:r/>
            <w:r>
              <w:rPr>
                <w:b w:val="0"/>
                <w:i w:val="0"/>
                <w:sz w:val="19"/>
              </w:rPr>
              <w:t>Client-selected provider (e.g. Twilio, regional gateway)</w:t>
            </w:r>
          </w:p>
        </w:tc>
        <w:tc>
          <w:tcPr>
            <w:tcW w:type="dxa" w:w="3216"/>
          </w:tcPr>
          <w:p>
            <w:pPr>
              <w:spacing w:after="20" w:before="20"/>
            </w:pPr>
            <w:r/>
            <w:r>
              <w:rPr>
                <w:b w:val="0"/>
                <w:i w:val="0"/>
                <w:sz w:val="19"/>
              </w:rPr>
              <w:t>Booking confirmations, OTP, entry reminders, refund notifications</w:t>
            </w:r>
          </w:p>
        </w:tc>
      </w:tr>
      <w:tr>
        <w:tc>
          <w:tcPr>
            <w:tcW w:type="dxa" w:w="3216"/>
            <w:shd w:val="clear" w:fill="EEF3F8"/>
          </w:tcPr>
          <w:p>
            <w:pPr>
              <w:spacing w:after="20" w:before="20"/>
            </w:pPr>
            <w:r/>
            <w:r>
              <w:rPr>
                <w:b w:val="0"/>
                <w:i w:val="0"/>
                <w:sz w:val="19"/>
              </w:rPr>
              <w:t>Email</w:t>
            </w:r>
          </w:p>
        </w:tc>
        <w:tc>
          <w:tcPr>
            <w:tcW w:type="dxa" w:w="3216"/>
            <w:shd w:val="clear" w:fill="EEF3F8"/>
          </w:tcPr>
          <w:p>
            <w:pPr>
              <w:spacing w:after="20" w:before="20"/>
            </w:pPr>
            <w:r/>
            <w:r>
              <w:rPr>
                <w:b w:val="0"/>
                <w:i w:val="0"/>
                <w:sz w:val="19"/>
              </w:rPr>
              <w:t>Client-selected provider (e.g. SendGrid, AWS SES)</w:t>
            </w:r>
          </w:p>
        </w:tc>
        <w:tc>
          <w:tcPr>
            <w:tcW w:type="dxa" w:w="3216"/>
            <w:shd w:val="clear" w:fill="EEF3F8"/>
          </w:tcPr>
          <w:p>
            <w:pPr>
              <w:spacing w:after="20" w:before="20"/>
            </w:pPr>
            <w:r/>
            <w:r>
              <w:rPr>
                <w:b w:val="0"/>
                <w:i w:val="0"/>
                <w:sz w:val="19"/>
              </w:rPr>
              <w:t>Order receipts, tax invoices, booking confirmations, marketing (opt-in)</w:t>
            </w:r>
          </w:p>
        </w:tc>
      </w:tr>
      <w:tr>
        <w:tc>
          <w:tcPr>
            <w:tcW w:type="dxa" w:w="3216"/>
          </w:tcPr>
          <w:p>
            <w:pPr>
              <w:spacing w:after="20" w:before="20"/>
            </w:pPr>
            <w:r/>
            <w:r>
              <w:rPr>
                <w:b w:val="0"/>
                <w:i w:val="0"/>
                <w:sz w:val="19"/>
              </w:rPr>
              <w:t>WhatsApp Business</w:t>
            </w:r>
          </w:p>
        </w:tc>
        <w:tc>
          <w:tcPr>
            <w:tcW w:type="dxa" w:w="3216"/>
          </w:tcPr>
          <w:p>
            <w:pPr>
              <w:spacing w:after="20" w:before="20"/>
            </w:pPr>
            <w:r/>
            <w:r>
              <w:rPr>
                <w:b w:val="0"/>
                <w:i w:val="0"/>
                <w:sz w:val="19"/>
              </w:rPr>
              <w:t>Via approved Business Solution Provider (BSP)</w:t>
            </w:r>
          </w:p>
        </w:tc>
        <w:tc>
          <w:tcPr>
            <w:tcW w:type="dxa" w:w="3216"/>
          </w:tcPr>
          <w:p>
            <w:pPr>
              <w:spacing w:after="20" w:before="20"/>
            </w:pPr>
            <w:r/>
            <w:r>
              <w:rPr>
                <w:b w:val="0"/>
                <w:i w:val="0"/>
                <w:sz w:val="19"/>
              </w:rPr>
              <w:t>Booking confirmations, support chat initiation, rich media messages</w:t>
            </w:r>
          </w:p>
        </w:tc>
      </w:tr>
      <w:tr>
        <w:tc>
          <w:tcPr>
            <w:tcW w:type="dxa" w:w="3216"/>
            <w:shd w:val="clear" w:fill="EEF3F8"/>
          </w:tcPr>
          <w:p>
            <w:pPr>
              <w:spacing w:after="20" w:before="20"/>
            </w:pPr>
            <w:r/>
            <w:r>
              <w:rPr>
                <w:b w:val="0"/>
                <w:i w:val="0"/>
                <w:sz w:val="19"/>
              </w:rPr>
              <w:t>Push (Android)</w:t>
            </w:r>
          </w:p>
        </w:tc>
        <w:tc>
          <w:tcPr>
            <w:tcW w:type="dxa" w:w="3216"/>
            <w:shd w:val="clear" w:fill="EEF3F8"/>
          </w:tcPr>
          <w:p>
            <w:pPr>
              <w:spacing w:after="20" w:before="20"/>
            </w:pPr>
            <w:r/>
            <w:r>
              <w:rPr>
                <w:b w:val="0"/>
                <w:i w:val="0"/>
                <w:sz w:val="19"/>
              </w:rPr>
              <w:t>Firebase Cloud Messaging (FCM) — client registers Firebase project (free tier)</w:t>
            </w:r>
          </w:p>
        </w:tc>
        <w:tc>
          <w:tcPr>
            <w:tcW w:type="dxa" w:w="3216"/>
            <w:shd w:val="clear" w:fill="EEF3F8"/>
          </w:tcPr>
          <w:p>
            <w:pPr>
              <w:spacing w:after="20" w:before="20"/>
            </w:pPr>
            <w:r/>
            <w:r>
              <w:rPr>
                <w:b w:val="0"/>
                <w:i w:val="0"/>
                <w:sz w:val="19"/>
              </w:rPr>
              <w:t>Mobile app push notifications — bookings, promotions, alerts</w:t>
            </w:r>
          </w:p>
        </w:tc>
      </w:tr>
      <w:tr>
        <w:tc>
          <w:tcPr>
            <w:tcW w:type="dxa" w:w="3216"/>
          </w:tcPr>
          <w:p>
            <w:pPr>
              <w:spacing w:after="20" w:before="20"/>
            </w:pPr>
            <w:r/>
            <w:r>
              <w:rPr>
                <w:b w:val="0"/>
                <w:i w:val="0"/>
                <w:sz w:val="19"/>
              </w:rPr>
              <w:t>Push (iOS)</w:t>
            </w:r>
          </w:p>
        </w:tc>
        <w:tc>
          <w:tcPr>
            <w:tcW w:type="dxa" w:w="3216"/>
          </w:tcPr>
          <w:p>
            <w:pPr>
              <w:spacing w:after="20" w:before="20"/>
            </w:pPr>
            <w:r/>
            <w:r>
              <w:rPr>
                <w:b w:val="0"/>
                <w:i w:val="0"/>
                <w:sz w:val="19"/>
              </w:rPr>
              <w:t>Apple Push Notification Service (APNS)</w:t>
            </w:r>
          </w:p>
        </w:tc>
        <w:tc>
          <w:tcPr>
            <w:tcW w:type="dxa" w:w="3216"/>
          </w:tcPr>
          <w:p>
            <w:pPr>
              <w:spacing w:after="20" w:before="20"/>
            </w:pPr>
            <w:r/>
            <w:r>
              <w:rPr>
                <w:b w:val="0"/>
                <w:i w:val="0"/>
                <w:sz w:val="19"/>
              </w:rPr>
              <w:t>Mobile app push notifications — bookings, promotions, alerts</w:t>
            </w:r>
          </w:p>
        </w:tc>
      </w:tr>
    </w:tbl>
    <w:p>
      <w:pPr>
        <w:spacing w:after="40"/>
      </w:pPr>
    </w:p>
    <w:p>
      <w:pPr>
        <w:spacing w:after="120" w:line="259" w:lineRule="auto"/>
      </w:pPr>
      <w:r>
        <w:rPr>
          <w:b w:val="0"/>
          <w:i w:val="0"/>
        </w:rPr>
        <w:t>All notification jobs are queued in Kafka before dispatch. If a provider is temporarily unavailable, the message waits in the queue and is retried with exponential backoff rather than dropped. Permanently failed deliveries go to a dead letter queue and trigger an operations alert. Delivery receipts are stored against the guest record for audit. All message templates are managed centrally in the admin CMS with full English and Arabic support, including RTL rendering for Arabic SMS and email content.</w:t>
      </w:r>
    </w:p>
    <w:p>
      <w:pPr>
        <w:pStyle w:val="Heading2"/>
        <w:spacing w:before="200" w:after="80"/>
      </w:pPr>
      <w:r>
        <w:rPr>
          <w:b/>
          <w:color w:val="2E75B6"/>
          <w:sz w:val="28"/>
        </w:rPr>
        <w:t>6.6 Hotel PMS Integration — Opera (Phase 1)</w:t>
      </w:r>
    </w:p>
    <w:p>
      <w:pPr>
        <w:spacing w:after="120" w:line="259" w:lineRule="auto"/>
      </w:pPr>
      <w:r>
        <w:rPr>
          <w:b w:val="0"/>
          <w:i w:val="0"/>
        </w:rPr>
        <w:t>The Opera integration covers the four data flows where a hotel property management system and a venue ticketing platform need to exchange information. All four flows are in scope for Phase 1 and are built to the Oracle Hospitality Integration Platform (OHIP) REST API standard for Opera Cloud deployments. For on-premise Opera installations, a middleware bridge handles the legacy SOAP/OXI interface — either a custom-built adapter (included in scope) or a client-licensed middleware platform such as MuleSoft where the client already operates one.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Data Flow</w:t>
            </w:r>
          </w:p>
        </w:tc>
        <w:tc>
          <w:tcPr>
            <w:tcW w:type="dxa" w:w="3216"/>
            <w:shd w:val="clear" w:fill="1F3864"/>
          </w:tcPr>
          <w:p>
            <w:pPr>
              <w:spacing w:after="20" w:before="20"/>
            </w:pPr>
            <w:r/>
            <w:r>
              <w:rPr>
                <w:b/>
                <w:i w:val="0"/>
                <w:color w:val="FFFFFF"/>
                <w:sz w:val="19"/>
              </w:rPr>
              <w:t>Direction</w:t>
            </w:r>
          </w:p>
        </w:tc>
        <w:tc>
          <w:tcPr>
            <w:tcW w:type="dxa" w:w="3216"/>
            <w:shd w:val="clear" w:fill="1F3864"/>
          </w:tcPr>
          <w:p>
            <w:pPr>
              <w:spacing w:after="20" w:before="20"/>
            </w:pPr>
            <w:r/>
            <w:r>
              <w:rPr>
                <w:b/>
                <w:i w:val="0"/>
                <w:color w:val="FFFFFF"/>
                <w:sz w:val="19"/>
              </w:rPr>
              <w:t>Detail</w:t>
            </w:r>
          </w:p>
        </w:tc>
      </w:tr>
      <w:tr>
        <w:tc>
          <w:tcPr>
            <w:tcW w:type="dxa" w:w="3216"/>
          </w:tcPr>
          <w:p>
            <w:pPr>
              <w:spacing w:after="20" w:before="20"/>
            </w:pPr>
            <w:r/>
            <w:r>
              <w:rPr>
                <w:b w:val="0"/>
                <w:i w:val="0"/>
                <w:sz w:val="19"/>
              </w:rPr>
              <w:t>Room charge</w:t>
            </w:r>
          </w:p>
        </w:tc>
        <w:tc>
          <w:tcPr>
            <w:tcW w:type="dxa" w:w="3216"/>
          </w:tcPr>
          <w:p>
            <w:pPr>
              <w:spacing w:after="20" w:before="20"/>
            </w:pPr>
            <w:r/>
            <w:r>
              <w:rPr>
                <w:b w:val="0"/>
                <w:i w:val="0"/>
                <w:sz w:val="19"/>
              </w:rPr>
              <w:t>TAIS to Opera</w:t>
            </w:r>
          </w:p>
        </w:tc>
        <w:tc>
          <w:tcPr>
            <w:tcW w:type="dxa" w:w="3216"/>
          </w:tcPr>
          <w:p>
            <w:pPr>
              <w:spacing w:after="20" w:before="20"/>
            </w:pPr>
            <w:r/>
            <w:r>
              <w:rPr>
                <w:b w:val="0"/>
                <w:i w:val="0"/>
                <w:sz w:val="19"/>
              </w:rPr>
              <w:t>Guest purchases at the venue are charged to their hotel room; Opera posts the charge to the guest folio for settlement at checkout</w:t>
            </w:r>
          </w:p>
        </w:tc>
      </w:tr>
      <w:tr>
        <w:tc>
          <w:tcPr>
            <w:tcW w:type="dxa" w:w="3216"/>
            <w:shd w:val="clear" w:fill="EEF3F8"/>
          </w:tcPr>
          <w:p>
            <w:pPr>
              <w:spacing w:after="20" w:before="20"/>
            </w:pPr>
            <w:r/>
            <w:r>
              <w:rPr>
                <w:b w:val="0"/>
                <w:i w:val="0"/>
                <w:sz w:val="19"/>
              </w:rPr>
              <w:t>Guest profile sync</w:t>
            </w:r>
          </w:p>
        </w:tc>
        <w:tc>
          <w:tcPr>
            <w:tcW w:type="dxa" w:w="3216"/>
            <w:shd w:val="clear" w:fill="EEF3F8"/>
          </w:tcPr>
          <w:p>
            <w:pPr>
              <w:spacing w:after="20" w:before="20"/>
            </w:pPr>
            <w:r/>
            <w:r>
              <w:rPr>
                <w:b w:val="0"/>
                <w:i w:val="0"/>
                <w:sz w:val="19"/>
              </w:rPr>
              <w:t>Opera to TAIS</w:t>
            </w:r>
          </w:p>
        </w:tc>
        <w:tc>
          <w:tcPr>
            <w:tcW w:type="dxa" w:w="3216"/>
            <w:shd w:val="clear" w:fill="EEF3F8"/>
          </w:tcPr>
          <w:p>
            <w:pPr>
              <w:spacing w:after="20" w:before="20"/>
            </w:pPr>
            <w:r/>
            <w:r>
              <w:rPr>
                <w:b w:val="0"/>
                <w:i w:val="0"/>
                <w:sz w:val="19"/>
              </w:rPr>
              <w:t>Arriving hotel guests are pre-loaded into the TAIS CRM; loyalty tier and VIP status from Opera are applied to the guest record in TAIS</w:t>
            </w:r>
          </w:p>
        </w:tc>
      </w:tr>
      <w:tr>
        <w:tc>
          <w:tcPr>
            <w:tcW w:type="dxa" w:w="3216"/>
          </w:tcPr>
          <w:p>
            <w:pPr>
              <w:spacing w:after="20" w:before="20"/>
            </w:pPr>
            <w:r/>
            <w:r>
              <w:rPr>
                <w:b w:val="0"/>
                <w:i w:val="0"/>
                <w:sz w:val="19"/>
              </w:rPr>
              <w:t>Reservation lookup</w:t>
            </w:r>
          </w:p>
        </w:tc>
        <w:tc>
          <w:tcPr>
            <w:tcW w:type="dxa" w:w="3216"/>
          </w:tcPr>
          <w:p>
            <w:pPr>
              <w:spacing w:after="20" w:before="20"/>
            </w:pPr>
            <w:r/>
            <w:r>
              <w:rPr>
                <w:b w:val="0"/>
                <w:i w:val="0"/>
                <w:sz w:val="19"/>
              </w:rPr>
              <w:t>TAIS queries Opera</w:t>
            </w:r>
          </w:p>
        </w:tc>
        <w:tc>
          <w:tcPr>
            <w:tcW w:type="dxa" w:w="3216"/>
          </w:tcPr>
          <w:p>
            <w:pPr>
              <w:spacing w:after="20" w:before="20"/>
            </w:pPr>
            <w:r/>
            <w:r>
              <w:rPr>
                <w:b w:val="0"/>
                <w:i w:val="0"/>
                <w:sz w:val="19"/>
              </w:rPr>
              <w:t>Staff can look up a guest’s reservation details during venue check-in or when resolving a support query</w:t>
            </w:r>
          </w:p>
        </w:tc>
      </w:tr>
      <w:tr>
        <w:tc>
          <w:tcPr>
            <w:tcW w:type="dxa" w:w="3216"/>
            <w:shd w:val="clear" w:fill="EEF3F8"/>
          </w:tcPr>
          <w:p>
            <w:pPr>
              <w:spacing w:after="20" w:before="20"/>
            </w:pPr>
            <w:r/>
            <w:r>
              <w:rPr>
                <w:b w:val="0"/>
                <w:i w:val="0"/>
                <w:sz w:val="19"/>
              </w:rPr>
              <w:t>Package entitlements</w:t>
            </w:r>
          </w:p>
        </w:tc>
        <w:tc>
          <w:tcPr>
            <w:tcW w:type="dxa" w:w="3216"/>
            <w:shd w:val="clear" w:fill="EEF3F8"/>
          </w:tcPr>
          <w:p>
            <w:pPr>
              <w:spacing w:after="20" w:before="20"/>
            </w:pPr>
            <w:r/>
            <w:r>
              <w:rPr>
                <w:b w:val="0"/>
                <w:i w:val="0"/>
                <w:sz w:val="19"/>
              </w:rPr>
              <w:t>Opera to TAIS</w:t>
            </w:r>
          </w:p>
        </w:tc>
        <w:tc>
          <w:tcPr>
            <w:tcW w:type="dxa" w:w="3216"/>
            <w:shd w:val="clear" w:fill="EEF3F8"/>
          </w:tcPr>
          <w:p>
            <w:pPr>
              <w:spacing w:after="20" w:before="20"/>
            </w:pPr>
            <w:r/>
            <w:r>
              <w:rPr>
                <w:b w:val="0"/>
                <w:i w:val="0"/>
                <w:sz w:val="19"/>
              </w:rPr>
              <w:t>Hotel packages that include attraction access push entitlements to TAIS; the guest arrives with tickets already assigned to their profile</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Data minimisation at the PMS boundary</w:t>
            </w:r>
            <w:r>
              <w:rPr>
                <w:b/>
                <w:i w:val="0"/>
                <w:color w:val="FFFFFF"/>
                <w:sz w:val="19"/>
              </w:rPr>
              <w:t xml:space="preserve"> The Opera integration is scoped to the minimum data required for each flow. Guest financial data and personal details beyond what is needed for the specific integration function — name, reservation reference, room number, package entitlements — are not pulled into TAIS. The integration complies with data minimisation principles under the UAE PDPL. Full detail of the privacy architecture is in Chapter 7.</w:t>
            </w:r>
          </w:p>
        </w:tc>
      </w:tr>
    </w:tbl>
    <w:p>
      <w:pPr>
        <w:spacing w:after="40"/>
      </w:pPr>
    </w:p>
    <w:p>
      <w:pPr>
        <w:spacing w:after="120" w:line="259" w:lineRule="auto"/>
      </w:pPr>
      <w:r>
        <w:rPr>
          <w:b w:val="0"/>
          <w:i w:val="0"/>
        </w:rPr>
        <w:t>The PMS adapter pattern means any PMS with an API can be integrated using the same internal interface. Agilysys, Mews, Cloudbeds, and other property management systems follow the same pattern — the adapter is the only component that changes, not the platform or the data model.</w:t>
      </w:r>
    </w:p>
    <w:p>
      <w:pPr>
        <w:pStyle w:val="Heading2"/>
        <w:spacing w:before="200" w:after="80"/>
      </w:pPr>
      <w:r>
        <w:rPr>
          <w:b/>
          <w:color w:val="2E75B6"/>
          <w:sz w:val="28"/>
        </w:rPr>
        <w:t>6.7 External ERP Integration — Red-Card Clause</w:t>
      </w:r>
    </w:p>
    <w:p>
      <w:pPr>
        <w:spacing w:after="120" w:line="259" w:lineRule="auto"/>
      </w:pPr>
      <w:r>
        <w:rPr>
          <w:b w:val="0"/>
          <w:i w:val="0"/>
        </w:rPr>
        <w:t>No ERP system has been selected by the client. The Finance Service operates as a complete standalone financial system for Phase 1 — double-entry ledger, UAE VAT, settlement reconciliation, and reporting all function without an external ERP. This is not a compromise; it is the intended architecture, and it is unchanged.</w:t>
      </w:r>
    </w:p>
    <w:p>
      <w:pPr>
        <w:spacing w:after="120" w:line="259" w:lineRule="auto"/>
      </w:pPr>
      <w:r>
        <w:rPr>
          <w:b w:val="0"/>
          <w:i w:val="0"/>
        </w:rPr>
        <w:t xml:space="preserve">What has changed, following the 21 May review, is how integration to an </w:t>
      </w:r>
      <w:r>
        <w:rPr>
          <w:b w:val="0"/>
          <w:i/>
        </w:rPr>
        <w:t>external</w:t>
      </w:r>
      <w:r>
        <w:rPr>
          <w:b w:val="0"/>
          <w:i w:val="0"/>
        </w:rPr>
        <w:t xml:space="preserve"> ERP is contracted. Rather than committing it as undifferentiated Phase 2 scope, external ERP integration is delivered as a </w:t>
      </w:r>
      <w:r>
        <w:rPr>
          <w:b/>
          <w:i w:val="0"/>
        </w:rPr>
        <w:t>red-card clause</w:t>
      </w:r>
      <w:r>
        <w:rPr>
          <w:b w:val="0"/>
          <w:i w:val="0"/>
        </w:rPr>
        <w:t>: a fixed, pre-agreed timeline and cost, triggered on the client’s written request for a specific ERP. This removes ambiguity for both parties — the platform is built ready for it, and the commercial terms are known in advance, but the client only pays for it if and when they choose to connect an external ERP.</w:t>
      </w:r>
    </w:p>
    <w:p>
      <w:pPr>
        <w:spacing w:after="120" w:line="259" w:lineRule="auto"/>
      </w:pPr>
      <w:r>
        <w:rPr>
          <w:b w:val="0"/>
          <w:i w:val="0"/>
        </w:rPr>
        <w:t>The architecture that makes this low-risk is intact: no schema changes are required when an external ERP is connected, because the Finance Service data model is designed with ERP consumption in mind from day one. The chart of accounts structure, journal entry format, cost centre fields, and dimension codes are all present in Phase 1 and populated throughout operation. The red-card work is building the specific adapter, not redesigning the financial data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ERP System</w:t>
            </w:r>
          </w:p>
        </w:tc>
        <w:tc>
          <w:tcPr>
            <w:tcW w:type="dxa" w:w="3216"/>
            <w:shd w:val="clear" w:fill="1F3864"/>
          </w:tcPr>
          <w:p>
            <w:pPr>
              <w:spacing w:after="20" w:before="20"/>
            </w:pPr>
            <w:r/>
            <w:r>
              <w:rPr>
                <w:b/>
                <w:i w:val="0"/>
                <w:color w:val="FFFFFF"/>
                <w:sz w:val="19"/>
              </w:rPr>
              <w:t>Integration Method</w:t>
            </w:r>
          </w:p>
        </w:tc>
        <w:tc>
          <w:tcPr>
            <w:tcW w:type="dxa" w:w="3216"/>
            <w:shd w:val="clear" w:fill="1F3864"/>
          </w:tcPr>
          <w:p>
            <w:pPr>
              <w:spacing w:after="20" w:before="20"/>
            </w:pPr>
            <w:r/>
            <w:r>
              <w:rPr>
                <w:b/>
                <w:i w:val="0"/>
                <w:color w:val="FFFFFF"/>
                <w:sz w:val="19"/>
              </w:rPr>
              <w:t>Data Flows</w:t>
            </w:r>
          </w:p>
        </w:tc>
      </w:tr>
      <w:tr>
        <w:tc>
          <w:tcPr>
            <w:tcW w:type="dxa" w:w="3216"/>
          </w:tcPr>
          <w:p>
            <w:pPr>
              <w:spacing w:after="20" w:before="20"/>
            </w:pPr>
            <w:r/>
            <w:r>
              <w:rPr>
                <w:b w:val="0"/>
                <w:i w:val="0"/>
                <w:sz w:val="19"/>
              </w:rPr>
              <w:t>SAP S/4HANA</w:t>
            </w:r>
          </w:p>
        </w:tc>
        <w:tc>
          <w:tcPr>
            <w:tcW w:type="dxa" w:w="3216"/>
          </w:tcPr>
          <w:p>
            <w:pPr>
              <w:spacing w:after="20" w:before="20"/>
            </w:pPr>
            <w:r/>
            <w:r>
              <w:rPr>
                <w:b w:val="0"/>
                <w:i w:val="0"/>
                <w:sz w:val="19"/>
              </w:rPr>
              <w:t>REST API / BAPI-RFC</w:t>
            </w:r>
          </w:p>
        </w:tc>
        <w:tc>
          <w:tcPr>
            <w:tcW w:type="dxa" w:w="3216"/>
          </w:tcPr>
          <w:p>
            <w:pPr>
              <w:spacing w:after="20" w:before="20"/>
            </w:pPr>
            <w:r/>
            <w:r>
              <w:rPr>
                <w:b w:val="0"/>
                <w:i w:val="0"/>
                <w:sz w:val="19"/>
              </w:rPr>
              <w:t>Journal entries, cost centres, vendor payments, financial consolidation</w:t>
            </w:r>
          </w:p>
        </w:tc>
      </w:tr>
      <w:tr>
        <w:tc>
          <w:tcPr>
            <w:tcW w:type="dxa" w:w="3216"/>
            <w:shd w:val="clear" w:fill="EEF3F8"/>
          </w:tcPr>
          <w:p>
            <w:pPr>
              <w:spacing w:after="20" w:before="20"/>
            </w:pPr>
            <w:r/>
            <w:r>
              <w:rPr>
                <w:b w:val="0"/>
                <w:i w:val="0"/>
                <w:sz w:val="19"/>
              </w:rPr>
              <w:t>SAP ECC</w:t>
            </w:r>
          </w:p>
        </w:tc>
        <w:tc>
          <w:tcPr>
            <w:tcW w:type="dxa" w:w="3216"/>
            <w:shd w:val="clear" w:fill="EEF3F8"/>
          </w:tcPr>
          <w:p>
            <w:pPr>
              <w:spacing w:after="20" w:before="20"/>
            </w:pPr>
            <w:r/>
            <w:r>
              <w:rPr>
                <w:b w:val="0"/>
                <w:i w:val="0"/>
                <w:sz w:val="19"/>
              </w:rPr>
              <w:t>RFC / BAPI (legacy interface)</w:t>
            </w:r>
          </w:p>
        </w:tc>
        <w:tc>
          <w:tcPr>
            <w:tcW w:type="dxa" w:w="3216"/>
            <w:shd w:val="clear" w:fill="EEF3F8"/>
          </w:tcPr>
          <w:p>
            <w:pPr>
              <w:spacing w:after="20" w:before="20"/>
            </w:pPr>
            <w:r/>
            <w:r>
              <w:rPr>
                <w:b w:val="0"/>
                <w:i w:val="0"/>
                <w:sz w:val="19"/>
              </w:rPr>
              <w:t>Same as S/4HANA via classic SAP interface</w:t>
            </w:r>
          </w:p>
        </w:tc>
      </w:tr>
      <w:tr>
        <w:tc>
          <w:tcPr>
            <w:tcW w:type="dxa" w:w="3216"/>
          </w:tcPr>
          <w:p>
            <w:pPr>
              <w:spacing w:after="20" w:before="20"/>
            </w:pPr>
            <w:r/>
            <w:r>
              <w:rPr>
                <w:b w:val="0"/>
                <w:i w:val="0"/>
                <w:sz w:val="19"/>
              </w:rPr>
              <w:t>Oracle Financials Cloud</w:t>
            </w:r>
          </w:p>
        </w:tc>
        <w:tc>
          <w:tcPr>
            <w:tcW w:type="dxa" w:w="3216"/>
          </w:tcPr>
          <w:p>
            <w:pPr>
              <w:spacing w:after="20" w:before="20"/>
            </w:pPr>
            <w:r/>
            <w:r>
              <w:rPr>
                <w:b w:val="0"/>
                <w:i w:val="0"/>
                <w:sz w:val="19"/>
              </w:rPr>
              <w:t>Oracle Integration Cloud / REST</w:t>
            </w:r>
          </w:p>
        </w:tc>
        <w:tc>
          <w:tcPr>
            <w:tcW w:type="dxa" w:w="3216"/>
          </w:tcPr>
          <w:p>
            <w:pPr>
              <w:spacing w:after="20" w:before="20"/>
            </w:pPr>
            <w:r/>
            <w:r>
              <w:rPr>
                <w:b w:val="0"/>
                <w:i w:val="0"/>
                <w:sz w:val="19"/>
              </w:rPr>
              <w:t>Revenue recognition, AR/AP sync, period-end close</w:t>
            </w:r>
          </w:p>
        </w:tc>
      </w:tr>
      <w:tr>
        <w:tc>
          <w:tcPr>
            <w:tcW w:type="dxa" w:w="3216"/>
            <w:shd w:val="clear" w:fill="EEF3F8"/>
          </w:tcPr>
          <w:p>
            <w:pPr>
              <w:spacing w:after="20" w:before="20"/>
            </w:pPr>
            <w:r/>
            <w:r>
              <w:rPr>
                <w:b w:val="0"/>
                <w:i w:val="0"/>
                <w:sz w:val="19"/>
              </w:rPr>
              <w:t>Microsoft Dynamics 365 Finance</w:t>
            </w:r>
          </w:p>
        </w:tc>
        <w:tc>
          <w:tcPr>
            <w:tcW w:type="dxa" w:w="3216"/>
            <w:shd w:val="clear" w:fill="EEF3F8"/>
          </w:tcPr>
          <w:p>
            <w:pPr>
              <w:spacing w:after="20" w:before="20"/>
            </w:pPr>
            <w:r/>
            <w:r>
              <w:rPr>
                <w:b w:val="0"/>
                <w:i w:val="0"/>
                <w:sz w:val="19"/>
              </w:rPr>
              <w:t>Dataverse API / OData</w:t>
            </w:r>
          </w:p>
        </w:tc>
        <w:tc>
          <w:tcPr>
            <w:tcW w:type="dxa" w:w="3216"/>
            <w:shd w:val="clear" w:fill="EEF3F8"/>
          </w:tcPr>
          <w:p>
            <w:pPr>
              <w:spacing w:after="20" w:before="20"/>
            </w:pPr>
            <w:r/>
            <w:r>
              <w:rPr>
                <w:b w:val="0"/>
                <w:i w:val="0"/>
                <w:sz w:val="19"/>
              </w:rPr>
              <w:t>Chart of accounts sync, journal entry posting, reporting dimensions</w:t>
            </w:r>
          </w:p>
        </w:tc>
      </w:tr>
    </w:tbl>
    <w:p>
      <w:pPr>
        <w:spacing w:after="40"/>
      </w:pPr>
    </w:p>
    <w:p>
      <w:pPr>
        <w:spacing w:after="120" w:line="259" w:lineRule="auto"/>
      </w:pPr>
      <w:r>
        <w:rPr>
          <w:b w:val="0"/>
          <w:i w:val="0"/>
        </w:rPr>
        <w:t>Outbound data flows from TAIS to ERP include daily journal entry batches, settlement summaries per payment gateway, VAT summary for reporting periods, deferred revenue movements, and refund and chargeback postings. Inbound flows from ERP to TAIS include approved chart of accounts updates, cost centre and dimension codes, and intercompany allocation rules. All ERP sync jobs run as scheduled background processes via Kafka with configurable retry and alerting on failure.</w:t>
      </w:r>
    </w:p>
    <w:p>
      <w:pPr>
        <w:pStyle w:val="Heading2"/>
        <w:spacing w:before="200" w:after="80"/>
      </w:pPr>
      <w:r>
        <w:rPr>
          <w:b/>
          <w:color w:val="2E75B6"/>
          <w:sz w:val="28"/>
        </w:rPr>
        <w:t>6.8 External CRM (Red-Card Clause) and HR/Payroll (Future)</w:t>
      </w:r>
    </w:p>
    <w:p>
      <w:pPr>
        <w:spacing w:after="120" w:line="259" w:lineRule="auto"/>
      </w:pPr>
      <w:r>
        <w:rPr>
          <w:b w:val="0"/>
          <w:i w:val="0"/>
        </w:rPr>
        <w:t xml:space="preserve">TAIS includes a full internal CRM as part of Domain 8 — guest profiles, segmentation, campaign management, and loyalty are all Phase 1 platform capabilities and are unchanged. Integration to an </w:t>
      </w:r>
      <w:r>
        <w:rPr>
          <w:b w:val="0"/>
          <w:i/>
        </w:rPr>
        <w:t>external</w:t>
      </w:r>
      <w:r>
        <w:rPr>
          <w:b w:val="0"/>
          <w:i w:val="0"/>
        </w:rPr>
        <w:t xml:space="preserve"> CRM — connecting the TAIS guest record to Salesforce or HubSpot for organisations that use those as their enterprise marketing and sales hub — is delivered as a </w:t>
      </w:r>
      <w:r>
        <w:rPr>
          <w:b/>
          <w:i w:val="0"/>
        </w:rPr>
        <w:t>red-card clause</w:t>
      </w:r>
      <w:r>
        <w:rPr>
          <w:b w:val="0"/>
          <w:i w:val="0"/>
        </w:rPr>
        <w:t>: a fixed, pre-agreed timeline and cost, triggered on the client’s written request. The platform is built ready to connect; the client activates and pays for it only if they choose to.</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CRM</w:t>
            </w:r>
          </w:p>
        </w:tc>
        <w:tc>
          <w:tcPr>
            <w:tcW w:type="dxa" w:w="3216"/>
            <w:shd w:val="clear" w:fill="1F3864"/>
          </w:tcPr>
          <w:p>
            <w:pPr>
              <w:spacing w:after="20" w:before="20"/>
            </w:pPr>
            <w:r/>
            <w:r>
              <w:rPr>
                <w:b/>
                <w:i w:val="0"/>
                <w:color w:val="FFFFFF"/>
                <w:sz w:val="19"/>
              </w:rPr>
              <w:t>Integration Method</w:t>
            </w:r>
          </w:p>
        </w:tc>
        <w:tc>
          <w:tcPr>
            <w:tcW w:type="dxa" w:w="3216"/>
            <w:shd w:val="clear" w:fill="1F3864"/>
          </w:tcPr>
          <w:p>
            <w:pPr>
              <w:spacing w:after="20" w:before="20"/>
            </w:pPr>
            <w:r/>
            <w:r>
              <w:rPr>
                <w:b/>
                <w:i w:val="0"/>
                <w:color w:val="FFFFFF"/>
                <w:sz w:val="19"/>
              </w:rPr>
              <w:t>Sync Scope</w:t>
            </w:r>
          </w:p>
        </w:tc>
      </w:tr>
      <w:tr>
        <w:tc>
          <w:tcPr>
            <w:tcW w:type="dxa" w:w="3216"/>
          </w:tcPr>
          <w:p>
            <w:pPr>
              <w:spacing w:after="20" w:before="20"/>
            </w:pPr>
            <w:r/>
            <w:r>
              <w:rPr>
                <w:b w:val="0"/>
                <w:i w:val="0"/>
                <w:sz w:val="19"/>
              </w:rPr>
              <w:t>Salesforce</w:t>
            </w:r>
          </w:p>
        </w:tc>
        <w:tc>
          <w:tcPr>
            <w:tcW w:type="dxa" w:w="3216"/>
          </w:tcPr>
          <w:p>
            <w:pPr>
              <w:spacing w:after="20" w:before="20"/>
            </w:pPr>
            <w:r/>
            <w:r>
              <w:rPr>
                <w:b w:val="0"/>
                <w:i w:val="0"/>
                <w:sz w:val="19"/>
              </w:rPr>
              <w:t>Salesforce REST API / Apex</w:t>
            </w:r>
          </w:p>
        </w:tc>
        <w:tc>
          <w:tcPr>
            <w:tcW w:type="dxa" w:w="3216"/>
          </w:tcPr>
          <w:p>
            <w:pPr>
              <w:spacing w:after="20" w:before="20"/>
            </w:pPr>
            <w:r/>
            <w:r>
              <w:rPr>
                <w:b w:val="0"/>
                <w:i w:val="0"/>
                <w:sz w:val="19"/>
              </w:rPr>
              <w:t>Guest profiles, purchase history, campaign responses, loyalty data — TAIS is the system of record; Salesforce receives enriched data</w:t>
            </w:r>
          </w:p>
        </w:tc>
      </w:tr>
      <w:tr>
        <w:tc>
          <w:tcPr>
            <w:tcW w:type="dxa" w:w="3216"/>
            <w:shd w:val="clear" w:fill="EEF3F8"/>
          </w:tcPr>
          <w:p>
            <w:pPr>
              <w:spacing w:after="20" w:before="20"/>
            </w:pPr>
            <w:r/>
            <w:r>
              <w:rPr>
                <w:b w:val="0"/>
                <w:i w:val="0"/>
                <w:sz w:val="19"/>
              </w:rPr>
              <w:t>HubSpot</w:t>
            </w:r>
          </w:p>
        </w:tc>
        <w:tc>
          <w:tcPr>
            <w:tcW w:type="dxa" w:w="3216"/>
            <w:shd w:val="clear" w:fill="EEF3F8"/>
          </w:tcPr>
          <w:p>
            <w:pPr>
              <w:spacing w:after="20" w:before="20"/>
            </w:pPr>
            <w:r/>
            <w:r>
              <w:rPr>
                <w:b w:val="0"/>
                <w:i w:val="0"/>
                <w:sz w:val="19"/>
              </w:rPr>
              <w:t>HubSpot API v3</w:t>
            </w:r>
          </w:p>
        </w:tc>
        <w:tc>
          <w:tcPr>
            <w:tcW w:type="dxa" w:w="3216"/>
            <w:shd w:val="clear" w:fill="EEF3F8"/>
          </w:tcPr>
          <w:p>
            <w:pPr>
              <w:spacing w:after="20" w:before="20"/>
            </w:pPr>
            <w:r/>
            <w:r>
              <w:rPr>
                <w:b w:val="0"/>
                <w:i w:val="0"/>
                <w:sz w:val="19"/>
              </w:rPr>
              <w:t>Contact sync, deal tracking, marketing campaign attribution</w:t>
            </w:r>
          </w:p>
        </w:tc>
      </w:tr>
      <w:tr>
        <w:tc>
          <w:tcPr>
            <w:tcW w:type="dxa" w:w="3216"/>
          </w:tcPr>
          <w:p>
            <w:pPr>
              <w:spacing w:after="20" w:before="20"/>
            </w:pPr>
            <w:r/>
            <w:r>
              <w:rPr>
                <w:b w:val="0"/>
                <w:i w:val="0"/>
                <w:sz w:val="19"/>
              </w:rPr>
              <w:t>Other marketing platforms</w:t>
            </w:r>
          </w:p>
        </w:tc>
        <w:tc>
          <w:tcPr>
            <w:tcW w:type="dxa" w:w="3216"/>
          </w:tcPr>
          <w:p>
            <w:pPr>
              <w:spacing w:after="20" w:before="20"/>
            </w:pPr>
            <w:r/>
            <w:r>
              <w:rPr>
                <w:b w:val="0"/>
                <w:i w:val="0"/>
                <w:sz w:val="19"/>
              </w:rPr>
              <w:t>Webhook / REST (generic)</w:t>
            </w:r>
          </w:p>
        </w:tc>
        <w:tc>
          <w:tcPr>
            <w:tcW w:type="dxa" w:w="3216"/>
          </w:tcPr>
          <w:p>
            <w:pPr>
              <w:spacing w:after="20" w:before="20"/>
            </w:pPr>
            <w:r/>
            <w:r>
              <w:rPr>
                <w:b w:val="0"/>
                <w:i w:val="0"/>
                <w:sz w:val="19"/>
              </w:rPr>
              <w:t>Segment push, event-triggered campaigns, performance attribution</w:t>
            </w:r>
          </w:p>
        </w:tc>
      </w:tr>
    </w:tbl>
    <w:p>
      <w:pPr>
        <w:spacing w:after="40"/>
      </w:pPr>
    </w:p>
    <w:p>
      <w:pPr>
        <w:spacing w:after="120" w:line="259" w:lineRule="auto"/>
      </w:pPr>
      <w:r>
        <w:rPr>
          <w:b w:val="0"/>
          <w:i w:val="0"/>
        </w:rPr>
        <w:t>The sync strategy is explicit: TAIS is the system of record for guest purchase and visit data. External CRM systems receive enriched guest data from TAIS. Marketing campaign responses and attribution data flow back from the CRM into TAIS for reporting. TAIS does not replicate its data model into Salesforce or HubSpot — it exposes a curated sync API that the red-card adapter consumes.</w:t>
      </w:r>
    </w:p>
    <w:p>
      <w:pPr>
        <w:spacing w:after="120" w:line="259" w:lineRule="auto"/>
      </w:pPr>
      <w:r>
        <w:rPr>
          <w:b w:val="0"/>
          <w:i w:val="0"/>
        </w:rPr>
        <w:t>For HR and payroll, the platform provides internal staff rostering in Phase 1 — shift scheduling, availability management, and staff assignment — without requiring an external HR system. The rostering module exposes an outbound integration API from day one, enabling connection to any HR or payroll system in the future. No development effort is required beyond adapter configuration when the client selects a system; the API already exposes shift schedules, actual hours worked, overtime flags, and leave records.</w:t>
      </w:r>
    </w:p>
    <w:p>
      <w:pPr>
        <w:pStyle w:val="Heading2"/>
        <w:spacing w:before="200" w:after="80"/>
      </w:pPr>
      <w:r>
        <w:rPr>
          <w:b/>
          <w:color w:val="2E75B6"/>
          <w:sz w:val="28"/>
        </w:rPr>
        <w:t>6.9 Analytics Integration and Developer Portal</w:t>
      </w:r>
    </w:p>
    <w:p>
      <w:pPr>
        <w:spacing w:after="120" w:line="259" w:lineRule="auto"/>
      </w:pPr>
      <w:r>
        <w:rPr>
          <w:b w:val="0"/>
          <w:i w:val="0"/>
        </w:rPr>
        <w:t>Google Analytics 4 and Meta Pixel are integrated via Google Tag Manager in Phase 1, covering both client-side and server-side event tracking. Server-side tracking is implemented alongside client-side to ensure accurate conversion data even when browser ad blockers are active — a material concern for accurate marketing spend attribution. Standard e-commerce events — purchase, add to cart, begin checkout, refund — are mapped to both GA4 and Meta Pixel event schemas.</w:t>
      </w:r>
    </w:p>
    <w:p>
      <w:pPr>
        <w:spacing w:after="120" w:line="259" w:lineRule="auto"/>
      </w:pPr>
      <w:r>
        <w:rPr>
          <w:b w:val="0"/>
          <w:i w:val="0"/>
        </w:rPr>
        <w:t>The Developer Portal provides three audiences with what they need to build and maintain integrations. Integration partners — OTAs, resellers, white-label operators — get interactive OpenAPI 3.0 documentation, API key self-service registration, a sandbox environment with realistic mock data, and usage analytics per API key. Internal developers get the same documentation plus the Webhook configuration interface for event-driven integrations. Operations teams get the API key management console and the integration health dashboard.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Feature</w:t>
            </w:r>
          </w:p>
        </w:tc>
        <w:tc>
          <w:tcPr>
            <w:tcW w:type="dxa" w:w="3216"/>
            <w:shd w:val="clear" w:fill="1F3864"/>
          </w:tcPr>
          <w:p>
            <w:pPr>
              <w:spacing w:after="20" w:before="20"/>
            </w:pPr>
            <w:r/>
            <w:r>
              <w:rPr>
                <w:b/>
                <w:i w:val="0"/>
                <w:color w:val="FFFFFF"/>
                <w:sz w:val="19"/>
              </w:rPr>
              <w:t>Detail</w:t>
            </w:r>
          </w:p>
        </w:tc>
        <w:tc>
          <w:tcPr>
            <w:tcW w:type="dxa" w:w="3216"/>
            <w:shd w:val="clear" w:fill="1F3864"/>
          </w:tcPr>
          <w:p>
            <w:pPr>
              <w:spacing w:after="20" w:before="20"/>
            </w:pPr>
            <w:r/>
            <w:r>
              <w:rPr>
                <w:b/>
                <w:i w:val="0"/>
                <w:color w:val="FFFFFF"/>
                <w:sz w:val="19"/>
              </w:rPr>
              <w:t>Additional Notes</w:t>
            </w:r>
          </w:p>
        </w:tc>
      </w:tr>
      <w:tr>
        <w:tc>
          <w:tcPr>
            <w:tcW w:type="dxa" w:w="3216"/>
          </w:tcPr>
          <w:p>
            <w:pPr>
              <w:spacing w:after="20" w:before="20"/>
            </w:pPr>
            <w:r/>
            <w:r>
              <w:rPr>
                <w:b w:val="0"/>
                <w:i w:val="0"/>
                <w:sz w:val="19"/>
              </w:rPr>
              <w:t>API versioning</w:t>
            </w:r>
          </w:p>
        </w:tc>
        <w:tc>
          <w:tcPr>
            <w:tcW w:type="dxa" w:w="3216"/>
          </w:tcPr>
          <w:p>
            <w:pPr>
              <w:spacing w:after="20" w:before="20"/>
            </w:pPr>
            <w:r/>
            <w:r>
              <w:rPr>
                <w:b w:val="0"/>
                <w:i w:val="0"/>
                <w:sz w:val="19"/>
              </w:rPr>
              <w:t>All APIs versioned at URL level: /api/v1/, /api/v2/</w:t>
            </w:r>
          </w:p>
        </w:tc>
        <w:tc>
          <w:tcPr>
            <w:tcW w:type="dxa" w:w="3216"/>
          </w:tcPr>
          <w:p>
            <w:pPr>
              <w:spacing w:after="20" w:before="20"/>
            </w:pPr>
            <w:r/>
            <w:r>
              <w:rPr>
                <w:b w:val="0"/>
                <w:i w:val="0"/>
                <w:sz w:val="19"/>
              </w:rPr>
              <w:t>Breaking changes always introduced in new version; existing versions maintained for minimum 12-month deprecation window</w:t>
            </w:r>
          </w:p>
        </w:tc>
      </w:tr>
      <w:tr>
        <w:tc>
          <w:tcPr>
            <w:tcW w:type="dxa" w:w="3216"/>
            <w:shd w:val="clear" w:fill="EEF3F8"/>
          </w:tcPr>
          <w:p>
            <w:pPr>
              <w:spacing w:after="20" w:before="20"/>
            </w:pPr>
            <w:r/>
            <w:r>
              <w:rPr>
                <w:b w:val="0"/>
                <w:i w:val="0"/>
                <w:sz w:val="19"/>
              </w:rPr>
              <w:t>Webhook support</w:t>
            </w:r>
          </w:p>
        </w:tc>
        <w:tc>
          <w:tcPr>
            <w:tcW w:type="dxa" w:w="3216"/>
            <w:shd w:val="clear" w:fill="EEF3F8"/>
          </w:tcPr>
          <w:p>
            <w:pPr>
              <w:spacing w:after="20" w:before="20"/>
            </w:pPr>
            <w:r/>
            <w:r>
              <w:rPr>
                <w:b w:val="0"/>
                <w:i w:val="0"/>
                <w:sz w:val="19"/>
              </w:rPr>
              <w:t>Platform events publishable as webhooks to external systems</w:t>
            </w:r>
          </w:p>
        </w:tc>
        <w:tc>
          <w:tcPr>
            <w:tcW w:type="dxa" w:w="3216"/>
            <w:shd w:val="clear" w:fill="EEF3F8"/>
          </w:tcPr>
          <w:p>
            <w:pPr>
              <w:spacing w:after="20" w:before="20"/>
            </w:pPr>
            <w:r/>
            <w:r>
              <w:rPr>
                <w:b w:val="0"/>
                <w:i w:val="0"/>
                <w:sz w:val="19"/>
              </w:rPr>
              <w:t>HMAC signature on all outbound webhooks; retry with exponential backoff; delivery log in developer portal</w:t>
            </w:r>
          </w:p>
        </w:tc>
      </w:tr>
      <w:tr>
        <w:tc>
          <w:tcPr>
            <w:tcW w:type="dxa" w:w="3216"/>
          </w:tcPr>
          <w:p>
            <w:pPr>
              <w:spacing w:after="20" w:before="20"/>
            </w:pPr>
            <w:r/>
            <w:r>
              <w:rPr>
                <w:b w:val="0"/>
                <w:i w:val="0"/>
                <w:sz w:val="19"/>
              </w:rPr>
              <w:t>Sandbox environment</w:t>
            </w:r>
          </w:p>
        </w:tc>
        <w:tc>
          <w:tcPr>
            <w:tcW w:type="dxa" w:w="3216"/>
          </w:tcPr>
          <w:p>
            <w:pPr>
              <w:spacing w:after="20" w:before="20"/>
            </w:pPr>
            <w:r/>
            <w:r>
              <w:rPr>
                <w:b w:val="0"/>
                <w:i w:val="0"/>
                <w:sz w:val="19"/>
              </w:rPr>
              <w:t>Mock data environment for partner development</w:t>
            </w:r>
          </w:p>
        </w:tc>
        <w:tc>
          <w:tcPr>
            <w:tcW w:type="dxa" w:w="3216"/>
          </w:tcPr>
          <w:p>
            <w:pPr>
              <w:spacing w:after="20" w:before="20"/>
            </w:pPr>
            <w:r/>
            <w:r>
              <w:rPr>
                <w:b w:val="0"/>
                <w:i w:val="0"/>
                <w:sz w:val="19"/>
              </w:rPr>
              <w:t>Realistic ticket, venue, and booking data; no live transactions; always available</w:t>
            </w:r>
          </w:p>
        </w:tc>
      </w:tr>
      <w:tr>
        <w:tc>
          <w:tcPr>
            <w:tcW w:type="dxa" w:w="3216"/>
            <w:shd w:val="clear" w:fill="EEF3F8"/>
          </w:tcPr>
          <w:p>
            <w:pPr>
              <w:spacing w:after="20" w:before="20"/>
            </w:pPr>
            <w:r/>
            <w:r>
              <w:rPr>
                <w:b w:val="0"/>
                <w:i w:val="0"/>
                <w:sz w:val="19"/>
              </w:rPr>
              <w:t>Developer portal</w:t>
            </w:r>
          </w:p>
        </w:tc>
        <w:tc>
          <w:tcPr>
            <w:tcW w:type="dxa" w:w="3216"/>
            <w:shd w:val="clear" w:fill="EEF3F8"/>
          </w:tcPr>
          <w:p>
            <w:pPr>
              <w:spacing w:after="20" w:before="20"/>
            </w:pPr>
            <w:r/>
            <w:r>
              <w:rPr>
                <w:b w:val="0"/>
                <w:i w:val="0"/>
                <w:sz w:val="19"/>
              </w:rPr>
              <w:t>Open-source developer portal (Kong OSS, Backstage, or custom-built — no licensed product required)</w:t>
            </w:r>
          </w:p>
        </w:tc>
        <w:tc>
          <w:tcPr>
            <w:tcW w:type="dxa" w:w="3216"/>
            <w:shd w:val="clear" w:fill="EEF3F8"/>
          </w:tcPr>
          <w:p>
            <w:pPr>
              <w:spacing w:after="20" w:before="20"/>
            </w:pPr>
            <w:r/>
            <w:r>
              <w:rPr>
                <w:b w:val="0"/>
                <w:i w:val="0"/>
                <w:sz w:val="19"/>
              </w:rPr>
              <w:t>OpenAPI docs, API key self-service, usage analytics, webhook config UI</w:t>
            </w:r>
          </w:p>
        </w:tc>
      </w:tr>
    </w:tbl>
    <w:p>
      <w:pPr>
        <w:spacing w:after="40"/>
      </w:pPr>
    </w:p>
    <w:p>
      <w:pPr>
        <w:pStyle w:val="Heading2"/>
        <w:spacing w:before="200" w:after="80"/>
      </w:pPr>
      <w:r>
        <w:rPr>
          <w:b/>
          <w:color w:val="2E75B6"/>
          <w:sz w:val="28"/>
        </w:rPr>
        <w:t>6.10 Infrastructure Architecture</w:t>
      </w:r>
    </w:p>
    <w:p>
      <w:pPr>
        <w:spacing w:after="120" w:line="259" w:lineRule="auto"/>
      </w:pPr>
      <w:r>
        <w:rPr>
          <w:b w:val="0"/>
          <w:i/>
        </w:rPr>
        <w:t>Infrastructure provisioning and long-term operation are the client</w:t>
      </w:r>
      <w:r>
        <w:rPr>
          <w:b/>
          <w:i w:val="0"/>
        </w:rPr>
        <w:t>*‘</w:t>
      </w:r>
      <w:r>
        <w:rPr>
          <w:b/>
          <w:i w:val="0"/>
        </w:rPr>
        <w:t>**s responsibility. The development partner</w:t>
      </w:r>
      <w:r>
        <w:rPr>
          <w:b/>
          <w:i w:val="0"/>
        </w:rPr>
        <w:t>**’</w:t>
      </w:r>
      <w:r>
        <w:rPr>
          <w:b w:val="0"/>
          <w:i w:val="0"/>
        </w:rPr>
        <w:t>*</w:t>
      </w:r>
      <w:r>
        <w:rPr>
          <w:b w:val="0"/>
          <w:i/>
        </w:rPr>
        <w:t>s obligation is to deliver a fully specified, production-ready infrastructure architecture — and every artefact the client needs to operate the platform independently from day one.</w:t>
      </w:r>
    </w:p>
    <w:p>
      <w:pPr>
        <w:spacing w:after="120" w:line="259" w:lineRule="auto"/>
      </w:pPr>
      <w:r>
        <w:rPr>
          <w:b w:val="0"/>
          <w:i w:val="0"/>
        </w:rPr>
        <w:t>The infrastructure design is cloud-agnostic by architecture. No cloud-vendor-specific managed services are used at the application layer. The platform runs on Kubernetes, which abstracts the underlying cloud provider. Terraform templates are delivered for AWS, Azure, GCP, and private infrastructure deployment targets. The same application runs on all four without code changes — only the Terraform variable defining the cloud target changes.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1F3864"/>
          </w:tcPr>
          <w:p>
            <w:pPr>
              <w:spacing w:after="20" w:before="20"/>
            </w:pPr>
            <w:r/>
            <w:r>
              <w:rPr>
                <w:b/>
                <w:i w:val="0"/>
                <w:color w:val="FFFFFF"/>
                <w:sz w:val="19"/>
              </w:rPr>
              <w:t>Target</w:t>
            </w:r>
          </w:p>
        </w:tc>
        <w:tc>
          <w:tcPr>
            <w:tcW w:type="dxa" w:w="1378"/>
            <w:shd w:val="clear" w:fill="1F3864"/>
          </w:tcPr>
          <w:p>
            <w:pPr>
              <w:spacing w:after="20" w:before="20"/>
            </w:pPr>
            <w:r/>
            <w:r>
              <w:rPr>
                <w:b/>
                <w:i w:val="0"/>
                <w:color w:val="FFFFFF"/>
                <w:sz w:val="19"/>
              </w:rPr>
              <w:t>Kubernetes</w:t>
            </w:r>
          </w:p>
        </w:tc>
        <w:tc>
          <w:tcPr>
            <w:tcW w:type="dxa" w:w="1378"/>
            <w:shd w:val="clear" w:fill="1F3864"/>
          </w:tcPr>
          <w:p>
            <w:pPr>
              <w:spacing w:after="20" w:before="20"/>
            </w:pPr>
            <w:r/>
            <w:r>
              <w:rPr>
                <w:b/>
                <w:i w:val="0"/>
                <w:color w:val="FFFFFF"/>
                <w:sz w:val="19"/>
              </w:rPr>
              <w:t>Database</w:t>
            </w:r>
          </w:p>
        </w:tc>
        <w:tc>
          <w:tcPr>
            <w:tcW w:type="dxa" w:w="1378"/>
            <w:shd w:val="clear" w:fill="1F3864"/>
          </w:tcPr>
          <w:p>
            <w:pPr>
              <w:spacing w:after="20" w:before="20"/>
            </w:pPr>
            <w:r/>
            <w:r>
              <w:rPr>
                <w:b/>
                <w:i w:val="0"/>
                <w:color w:val="FFFFFF"/>
                <w:sz w:val="19"/>
              </w:rPr>
              <w:t>Cache</w:t>
            </w:r>
          </w:p>
        </w:tc>
        <w:tc>
          <w:tcPr>
            <w:tcW w:type="dxa" w:w="1378"/>
            <w:shd w:val="clear" w:fill="1F3864"/>
          </w:tcPr>
          <w:p>
            <w:pPr>
              <w:spacing w:after="20" w:before="20"/>
            </w:pPr>
            <w:r/>
            <w:r>
              <w:rPr>
                <w:b/>
                <w:i w:val="0"/>
                <w:color w:val="FFFFFF"/>
                <w:sz w:val="19"/>
              </w:rPr>
              <w:t>Messaging</w:t>
            </w:r>
          </w:p>
        </w:tc>
        <w:tc>
          <w:tcPr>
            <w:tcW w:type="dxa" w:w="1378"/>
            <w:shd w:val="clear" w:fill="1F3864"/>
          </w:tcPr>
          <w:p>
            <w:pPr>
              <w:spacing w:after="20" w:before="20"/>
            </w:pPr>
            <w:r/>
            <w:r>
              <w:rPr>
                <w:b/>
                <w:i w:val="0"/>
                <w:color w:val="FFFFFF"/>
                <w:sz w:val="19"/>
              </w:rPr>
              <w:t>Object Storage</w:t>
            </w:r>
          </w:p>
        </w:tc>
        <w:tc>
          <w:tcPr>
            <w:tcW w:type="dxa" w:w="1378"/>
            <w:shd w:val="clear" w:fill="1F3864"/>
          </w:tcPr>
          <w:p>
            <w:pPr>
              <w:spacing w:after="20" w:before="20"/>
            </w:pPr>
            <w:r/>
            <w:r>
              <w:rPr>
                <w:b/>
                <w:i w:val="0"/>
                <w:color w:val="FFFFFF"/>
                <w:sz w:val="19"/>
              </w:rPr>
              <w:t>Vector Store</w:t>
            </w:r>
          </w:p>
        </w:tc>
      </w:tr>
      <w:tr>
        <w:tc>
          <w:tcPr>
            <w:tcW w:type="dxa" w:w="1378"/>
          </w:tcPr>
          <w:p>
            <w:pPr>
              <w:spacing w:after="20" w:before="20"/>
            </w:pPr>
            <w:r/>
            <w:r>
              <w:rPr>
                <w:b w:val="0"/>
                <w:i w:val="0"/>
                <w:sz w:val="19"/>
              </w:rPr>
              <w:t>AWS</w:t>
            </w:r>
          </w:p>
        </w:tc>
        <w:tc>
          <w:tcPr>
            <w:tcW w:type="dxa" w:w="1378"/>
          </w:tcPr>
          <w:p>
            <w:pPr>
              <w:spacing w:after="20" w:before="20"/>
            </w:pPr>
            <w:r/>
            <w:r>
              <w:rPr>
                <w:b w:val="0"/>
                <w:i w:val="0"/>
                <w:sz w:val="19"/>
              </w:rPr>
              <w:t>EKS</w:t>
            </w:r>
          </w:p>
        </w:tc>
        <w:tc>
          <w:tcPr>
            <w:tcW w:type="dxa" w:w="1378"/>
          </w:tcPr>
          <w:p>
            <w:pPr>
              <w:spacing w:after="20" w:before="20"/>
            </w:pPr>
            <w:r/>
            <w:r>
              <w:rPr>
                <w:b w:val="0"/>
                <w:i w:val="0"/>
                <w:sz w:val="19"/>
              </w:rPr>
              <w:t>RDS PostgreSQL</w:t>
            </w:r>
          </w:p>
        </w:tc>
        <w:tc>
          <w:tcPr>
            <w:tcW w:type="dxa" w:w="1378"/>
          </w:tcPr>
          <w:p>
            <w:pPr>
              <w:spacing w:after="20" w:before="20"/>
            </w:pPr>
            <w:r/>
            <w:r>
              <w:rPr>
                <w:b w:val="0"/>
                <w:i w:val="0"/>
                <w:sz w:val="19"/>
              </w:rPr>
              <w:t>ElastiCache Redis</w:t>
            </w:r>
          </w:p>
        </w:tc>
        <w:tc>
          <w:tcPr>
            <w:tcW w:type="dxa" w:w="1378"/>
          </w:tcPr>
          <w:p>
            <w:pPr>
              <w:spacing w:after="20" w:before="20"/>
            </w:pPr>
            <w:r/>
            <w:r>
              <w:rPr>
                <w:b w:val="0"/>
                <w:i w:val="0"/>
                <w:sz w:val="19"/>
              </w:rPr>
              <w:t>MSK (Kafka)</w:t>
            </w:r>
          </w:p>
        </w:tc>
        <w:tc>
          <w:tcPr>
            <w:tcW w:type="dxa" w:w="1378"/>
          </w:tcPr>
          <w:p>
            <w:pPr>
              <w:spacing w:after="20" w:before="20"/>
            </w:pPr>
            <w:r/>
            <w:r>
              <w:rPr>
                <w:b w:val="0"/>
                <w:i w:val="0"/>
                <w:sz w:val="19"/>
              </w:rPr>
              <w:t>S3</w:t>
            </w:r>
          </w:p>
        </w:tc>
        <w:tc>
          <w:tcPr>
            <w:tcW w:type="dxa" w:w="1378"/>
          </w:tcPr>
          <w:p>
            <w:pPr>
              <w:spacing w:after="20" w:before="20"/>
            </w:pPr>
            <w:r/>
            <w:r>
              <w:rPr>
                <w:b w:val="0"/>
                <w:i w:val="0"/>
                <w:sz w:val="19"/>
              </w:rPr>
              <w:t>Qdrant in K8s</w:t>
            </w:r>
          </w:p>
        </w:tc>
      </w:tr>
      <w:tr>
        <w:tc>
          <w:tcPr>
            <w:tcW w:type="dxa" w:w="1378"/>
            <w:shd w:val="clear" w:fill="EEF3F8"/>
          </w:tcPr>
          <w:p>
            <w:pPr>
              <w:spacing w:after="20" w:before="20"/>
            </w:pPr>
            <w:r/>
            <w:r>
              <w:rPr>
                <w:b w:val="0"/>
                <w:i w:val="0"/>
                <w:sz w:val="19"/>
              </w:rPr>
              <w:t>Azure</w:t>
            </w:r>
          </w:p>
        </w:tc>
        <w:tc>
          <w:tcPr>
            <w:tcW w:type="dxa" w:w="1378"/>
            <w:shd w:val="clear" w:fill="EEF3F8"/>
          </w:tcPr>
          <w:p>
            <w:pPr>
              <w:spacing w:after="20" w:before="20"/>
            </w:pPr>
            <w:r/>
            <w:r>
              <w:rPr>
                <w:b w:val="0"/>
                <w:i w:val="0"/>
                <w:sz w:val="19"/>
              </w:rPr>
              <w:t>AKS</w:t>
            </w:r>
          </w:p>
        </w:tc>
        <w:tc>
          <w:tcPr>
            <w:tcW w:type="dxa" w:w="1378"/>
            <w:shd w:val="clear" w:fill="EEF3F8"/>
          </w:tcPr>
          <w:p>
            <w:pPr>
              <w:spacing w:after="20" w:before="20"/>
            </w:pPr>
            <w:r/>
            <w:r>
              <w:rPr>
                <w:b w:val="0"/>
                <w:i w:val="0"/>
                <w:sz w:val="19"/>
              </w:rPr>
              <w:t>Azure DB for PostgreSQL</w:t>
            </w:r>
          </w:p>
        </w:tc>
        <w:tc>
          <w:tcPr>
            <w:tcW w:type="dxa" w:w="1378"/>
            <w:shd w:val="clear" w:fill="EEF3F8"/>
          </w:tcPr>
          <w:p>
            <w:pPr>
              <w:spacing w:after="20" w:before="20"/>
            </w:pPr>
            <w:r/>
            <w:r>
              <w:rPr>
                <w:b w:val="0"/>
                <w:i w:val="0"/>
                <w:sz w:val="19"/>
              </w:rPr>
              <w:t>Azure Cache for Redis</w:t>
            </w:r>
          </w:p>
        </w:tc>
        <w:tc>
          <w:tcPr>
            <w:tcW w:type="dxa" w:w="1378"/>
            <w:shd w:val="clear" w:fill="EEF3F8"/>
          </w:tcPr>
          <w:p>
            <w:pPr>
              <w:spacing w:after="20" w:before="20"/>
            </w:pPr>
            <w:r/>
            <w:r>
              <w:rPr>
                <w:b w:val="0"/>
                <w:i w:val="0"/>
                <w:sz w:val="19"/>
              </w:rPr>
              <w:t>Azure Event Hubs</w:t>
            </w:r>
          </w:p>
        </w:tc>
        <w:tc>
          <w:tcPr>
            <w:tcW w:type="dxa" w:w="1378"/>
            <w:shd w:val="clear" w:fill="EEF3F8"/>
          </w:tcPr>
          <w:p>
            <w:pPr>
              <w:spacing w:after="20" w:before="20"/>
            </w:pPr>
            <w:r/>
            <w:r>
              <w:rPr>
                <w:b w:val="0"/>
                <w:i w:val="0"/>
                <w:sz w:val="19"/>
              </w:rPr>
              <w:t>Azure Blob</w:t>
            </w:r>
          </w:p>
        </w:tc>
        <w:tc>
          <w:tcPr>
            <w:tcW w:type="dxa" w:w="1378"/>
            <w:shd w:val="clear" w:fill="EEF3F8"/>
          </w:tcPr>
          <w:p>
            <w:pPr>
              <w:spacing w:after="20" w:before="20"/>
            </w:pPr>
            <w:r/>
            <w:r>
              <w:rPr>
                <w:b w:val="0"/>
                <w:i w:val="0"/>
                <w:sz w:val="19"/>
              </w:rPr>
              <w:t>Qdrant in K8s</w:t>
            </w:r>
          </w:p>
        </w:tc>
      </w:tr>
      <w:tr>
        <w:tc>
          <w:tcPr>
            <w:tcW w:type="dxa" w:w="1378"/>
          </w:tcPr>
          <w:p>
            <w:pPr>
              <w:spacing w:after="20" w:before="20"/>
            </w:pPr>
            <w:r/>
            <w:r>
              <w:rPr>
                <w:b w:val="0"/>
                <w:i w:val="0"/>
                <w:sz w:val="19"/>
              </w:rPr>
              <w:t>GCP</w:t>
            </w:r>
          </w:p>
        </w:tc>
        <w:tc>
          <w:tcPr>
            <w:tcW w:type="dxa" w:w="1378"/>
          </w:tcPr>
          <w:p>
            <w:pPr>
              <w:spacing w:after="20" w:before="20"/>
            </w:pPr>
            <w:r/>
            <w:r>
              <w:rPr>
                <w:b w:val="0"/>
                <w:i w:val="0"/>
                <w:sz w:val="19"/>
              </w:rPr>
              <w:t>GKE</w:t>
            </w:r>
          </w:p>
        </w:tc>
        <w:tc>
          <w:tcPr>
            <w:tcW w:type="dxa" w:w="1378"/>
          </w:tcPr>
          <w:p>
            <w:pPr>
              <w:spacing w:after="20" w:before="20"/>
            </w:pPr>
            <w:r/>
            <w:r>
              <w:rPr>
                <w:b w:val="0"/>
                <w:i w:val="0"/>
                <w:sz w:val="19"/>
              </w:rPr>
              <w:t>Cloud SQL PostgreSQL</w:t>
            </w:r>
          </w:p>
        </w:tc>
        <w:tc>
          <w:tcPr>
            <w:tcW w:type="dxa" w:w="1378"/>
          </w:tcPr>
          <w:p>
            <w:pPr>
              <w:spacing w:after="20" w:before="20"/>
            </w:pPr>
            <w:r/>
            <w:r>
              <w:rPr>
                <w:b w:val="0"/>
                <w:i w:val="0"/>
                <w:sz w:val="19"/>
              </w:rPr>
              <w:t>Memorystore Redis</w:t>
            </w:r>
          </w:p>
        </w:tc>
        <w:tc>
          <w:tcPr>
            <w:tcW w:type="dxa" w:w="1378"/>
          </w:tcPr>
          <w:p>
            <w:pPr>
              <w:spacing w:after="20" w:before="20"/>
            </w:pPr>
            <w:r/>
            <w:r>
              <w:rPr>
                <w:b w:val="0"/>
                <w:i w:val="0"/>
                <w:sz w:val="19"/>
              </w:rPr>
              <w:t>Pub/Sub</w:t>
            </w:r>
          </w:p>
        </w:tc>
        <w:tc>
          <w:tcPr>
            <w:tcW w:type="dxa" w:w="1378"/>
          </w:tcPr>
          <w:p>
            <w:pPr>
              <w:spacing w:after="20" w:before="20"/>
            </w:pPr>
            <w:r/>
            <w:r>
              <w:rPr>
                <w:b w:val="0"/>
                <w:i w:val="0"/>
                <w:sz w:val="19"/>
              </w:rPr>
              <w:t>Cloud Storage</w:t>
            </w:r>
          </w:p>
        </w:tc>
        <w:tc>
          <w:tcPr>
            <w:tcW w:type="dxa" w:w="1378"/>
          </w:tcPr>
          <w:p>
            <w:pPr>
              <w:spacing w:after="20" w:before="20"/>
            </w:pPr>
            <w:r/>
            <w:r>
              <w:rPr>
                <w:b w:val="0"/>
                <w:i w:val="0"/>
                <w:sz w:val="19"/>
              </w:rPr>
              <w:t>Qdrant in K8s</w:t>
            </w:r>
          </w:p>
        </w:tc>
      </w:tr>
      <w:tr>
        <w:tc>
          <w:tcPr>
            <w:tcW w:type="dxa" w:w="1378"/>
            <w:shd w:val="clear" w:fill="EEF3F8"/>
          </w:tcPr>
          <w:p>
            <w:pPr>
              <w:spacing w:after="20" w:before="20"/>
            </w:pPr>
            <w:r/>
            <w:r>
              <w:rPr>
                <w:b w:val="0"/>
                <w:i w:val="0"/>
                <w:sz w:val="19"/>
              </w:rPr>
              <w:t>Private / On-Prem</w:t>
            </w:r>
          </w:p>
        </w:tc>
        <w:tc>
          <w:tcPr>
            <w:tcW w:type="dxa" w:w="1378"/>
            <w:shd w:val="clear" w:fill="EEF3F8"/>
          </w:tcPr>
          <w:p>
            <w:pPr>
              <w:spacing w:after="20" w:before="20"/>
            </w:pPr>
            <w:r/>
            <w:r>
              <w:rPr>
                <w:b w:val="0"/>
                <w:i w:val="0"/>
                <w:sz w:val="19"/>
              </w:rPr>
              <w:t>Self-managed K8s</w:t>
            </w:r>
          </w:p>
        </w:tc>
        <w:tc>
          <w:tcPr>
            <w:tcW w:type="dxa" w:w="1378"/>
            <w:shd w:val="clear" w:fill="EEF3F8"/>
          </w:tcPr>
          <w:p>
            <w:pPr>
              <w:spacing w:after="20" w:before="20"/>
            </w:pPr>
            <w:r/>
            <w:r>
              <w:rPr>
                <w:b w:val="0"/>
                <w:i w:val="0"/>
                <w:sz w:val="19"/>
              </w:rPr>
              <w:t>Self-hosted PostgreSQL</w:t>
            </w:r>
          </w:p>
        </w:tc>
        <w:tc>
          <w:tcPr>
            <w:tcW w:type="dxa" w:w="1378"/>
            <w:shd w:val="clear" w:fill="EEF3F8"/>
          </w:tcPr>
          <w:p>
            <w:pPr>
              <w:spacing w:after="20" w:before="20"/>
            </w:pPr>
            <w:r/>
            <w:r>
              <w:rPr>
                <w:b w:val="0"/>
                <w:i w:val="0"/>
                <w:sz w:val="19"/>
              </w:rPr>
              <w:t>Self-hosted Redis</w:t>
            </w:r>
          </w:p>
        </w:tc>
        <w:tc>
          <w:tcPr>
            <w:tcW w:type="dxa" w:w="1378"/>
            <w:shd w:val="clear" w:fill="EEF3F8"/>
          </w:tcPr>
          <w:p>
            <w:pPr>
              <w:spacing w:after="20" w:before="20"/>
            </w:pPr>
            <w:r/>
            <w:r>
              <w:rPr>
                <w:b w:val="0"/>
                <w:i w:val="0"/>
                <w:sz w:val="19"/>
              </w:rPr>
              <w:t>Self-hosted Kafka</w:t>
            </w:r>
          </w:p>
        </w:tc>
        <w:tc>
          <w:tcPr>
            <w:tcW w:type="dxa" w:w="1378"/>
            <w:shd w:val="clear" w:fill="EEF3F8"/>
          </w:tcPr>
          <w:p>
            <w:pPr>
              <w:spacing w:after="20" w:before="20"/>
            </w:pPr>
            <w:r/>
            <w:r>
              <w:rPr>
                <w:b w:val="0"/>
                <w:i w:val="0"/>
                <w:sz w:val="19"/>
              </w:rPr>
              <w:t>MinIO</w:t>
            </w:r>
          </w:p>
        </w:tc>
        <w:tc>
          <w:tcPr>
            <w:tcW w:type="dxa" w:w="1378"/>
            <w:shd w:val="clear" w:fill="EEF3F8"/>
          </w:tcPr>
          <w:p>
            <w:pPr>
              <w:spacing w:after="20" w:before="20"/>
            </w:pPr>
            <w:r/>
            <w:r>
              <w:rPr>
                <w:b w:val="0"/>
                <w:i w:val="0"/>
                <w:sz w:val="19"/>
              </w:rPr>
              <w:t>Qdrant in K8s</w:t>
            </w:r>
          </w:p>
        </w:tc>
      </w:tr>
    </w:tbl>
    <w:p>
      <w:pPr>
        <w:spacing w:after="40"/>
      </w:pPr>
    </w:p>
    <w:p>
      <w:pPr>
        <w:spacing w:after="120" w:line="259" w:lineRule="auto"/>
      </w:pPr>
      <w:r>
        <w:rPr>
          <w:b w:val="0"/>
          <w:i w:val="0"/>
        </w:rPr>
        <w:t>Qdrant and Elasticsearch run as self-hosted containerised deployments within the Kubernetes cluster in all environments. There are no cloud-managed equivalents that preserve full feature parity without vendor lock-in. Both are packaged as Helm charts and deployed via the same Terraform pipeline as every other platform component.</w:t>
      </w:r>
    </w:p>
    <w:p>
      <w:pPr>
        <w:pStyle w:val="Heading2"/>
        <w:spacing w:before="200" w:after="80"/>
      </w:pPr>
      <w:r>
        <w:rPr>
          <w:b/>
          <w:color w:val="2E75B6"/>
          <w:sz w:val="28"/>
        </w:rPr>
        <w:t>6.11 Deployment Environments</w:t>
      </w:r>
    </w:p>
    <w:p>
      <w:pPr>
        <w:spacing w:after="120" w:line="259" w:lineRule="auto"/>
      </w:pPr>
      <w:r>
        <w:rPr>
          <w:b w:val="0"/>
          <w:i w:val="0"/>
        </w:rPr>
        <w:t>Three environments are defined with distinct purposes, infrastructure ownership, and access controls. Each is fully isolated — separate Kubernetes clusters, separate databases, separate secrets. No environment shares infrastructure with another. Configuration differences are managed via environment-specific Kubernetes ConfigMaps and Secrets, never hardcoded.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Environment</w:t>
            </w:r>
          </w:p>
        </w:tc>
        <w:tc>
          <w:tcPr>
            <w:tcW w:type="dxa" w:w="2412"/>
            <w:shd w:val="clear" w:fill="1F3864"/>
          </w:tcPr>
          <w:p>
            <w:pPr>
              <w:spacing w:after="20" w:before="20"/>
            </w:pPr>
            <w:r/>
            <w:r>
              <w:rPr>
                <w:b/>
                <w:i w:val="0"/>
                <w:color w:val="FFFFFF"/>
                <w:sz w:val="19"/>
              </w:rPr>
              <w:t>Purpose</w:t>
            </w:r>
          </w:p>
        </w:tc>
        <w:tc>
          <w:tcPr>
            <w:tcW w:type="dxa" w:w="2412"/>
            <w:shd w:val="clear" w:fill="1F3864"/>
          </w:tcPr>
          <w:p>
            <w:pPr>
              <w:spacing w:after="20" w:before="20"/>
            </w:pPr>
            <w:r/>
            <w:r>
              <w:rPr>
                <w:b/>
                <w:i w:val="0"/>
                <w:color w:val="FFFFFF"/>
                <w:sz w:val="19"/>
              </w:rPr>
              <w:t>Managed By</w:t>
            </w:r>
          </w:p>
        </w:tc>
        <w:tc>
          <w:tcPr>
            <w:tcW w:type="dxa" w:w="2412"/>
            <w:shd w:val="clear" w:fill="1F3864"/>
          </w:tcPr>
          <w:p>
            <w:pPr>
              <w:spacing w:after="20" w:before="20"/>
            </w:pPr>
            <w:r/>
            <w:r>
              <w:rPr>
                <w:b/>
                <w:i w:val="0"/>
                <w:color w:val="FFFFFF"/>
                <w:sz w:val="19"/>
              </w:rPr>
              <w:t>Configuration</w:t>
            </w:r>
          </w:p>
        </w:tc>
      </w:tr>
      <w:tr>
        <w:tc>
          <w:tcPr>
            <w:tcW w:type="dxa" w:w="2412"/>
          </w:tcPr>
          <w:p>
            <w:pPr>
              <w:spacing w:after="20" w:before="20"/>
            </w:pPr>
            <w:r/>
            <w:r>
              <w:rPr>
                <w:b w:val="0"/>
                <w:i w:val="0"/>
                <w:sz w:val="19"/>
              </w:rPr>
              <w:t>Development</w:t>
            </w:r>
          </w:p>
        </w:tc>
        <w:tc>
          <w:tcPr>
            <w:tcW w:type="dxa" w:w="2412"/>
          </w:tcPr>
          <w:p>
            <w:pPr>
              <w:spacing w:after="20" w:before="20"/>
            </w:pPr>
            <w:r/>
            <w:r>
              <w:rPr>
                <w:b w:val="0"/>
                <w:i w:val="0"/>
                <w:sz w:val="19"/>
              </w:rPr>
              <w:t>Active development, unit testing, integration testing, internal demos</w:t>
            </w:r>
          </w:p>
        </w:tc>
        <w:tc>
          <w:tcPr>
            <w:tcW w:type="dxa" w:w="2412"/>
          </w:tcPr>
          <w:p>
            <w:pPr>
              <w:spacing w:after="20" w:before="20"/>
            </w:pPr>
            <w:r/>
            <w:r>
              <w:rPr>
                <w:b w:val="0"/>
                <w:i w:val="0"/>
                <w:sz w:val="19"/>
              </w:rPr>
              <w:t>Vendor (during project)</w:t>
            </w:r>
          </w:p>
        </w:tc>
        <w:tc>
          <w:tcPr>
            <w:tcW w:type="dxa" w:w="2412"/>
          </w:tcPr>
          <w:p>
            <w:pPr>
              <w:spacing w:after="20" w:before="20"/>
            </w:pPr>
            <w:r/>
            <w:r>
              <w:rPr>
                <w:b w:val="0"/>
                <w:i w:val="0"/>
                <w:sz w:val="19"/>
              </w:rPr>
              <w:t>Single-node K8s; single instances of each store; minimal cost</w:t>
            </w:r>
          </w:p>
        </w:tc>
      </w:tr>
      <w:tr>
        <w:tc>
          <w:tcPr>
            <w:tcW w:type="dxa" w:w="2412"/>
            <w:shd w:val="clear" w:fill="EEF3F8"/>
          </w:tcPr>
          <w:p>
            <w:pPr>
              <w:spacing w:after="20" w:before="20"/>
            </w:pPr>
            <w:r/>
            <w:r>
              <w:rPr>
                <w:b w:val="0"/>
                <w:i w:val="0"/>
                <w:sz w:val="19"/>
              </w:rPr>
              <w:t>Pre-Production</w:t>
            </w:r>
          </w:p>
        </w:tc>
        <w:tc>
          <w:tcPr>
            <w:tcW w:type="dxa" w:w="2412"/>
            <w:shd w:val="clear" w:fill="EEF3F8"/>
          </w:tcPr>
          <w:p>
            <w:pPr>
              <w:spacing w:after="20" w:before="20"/>
            </w:pPr>
            <w:r/>
            <w:r>
              <w:rPr>
                <w:b w:val="0"/>
                <w:i w:val="0"/>
                <w:sz w:val="19"/>
              </w:rPr>
              <w:t>System integration testing, UAT, performance testing, security validation, pilot venue</w:t>
            </w:r>
          </w:p>
        </w:tc>
        <w:tc>
          <w:tcPr>
            <w:tcW w:type="dxa" w:w="2412"/>
            <w:shd w:val="clear" w:fill="EEF3F8"/>
          </w:tcPr>
          <w:p>
            <w:pPr>
              <w:spacing w:after="20" w:before="20"/>
            </w:pPr>
            <w:r/>
            <w:r>
              <w:rPr>
                <w:b w:val="0"/>
                <w:i w:val="0"/>
                <w:sz w:val="19"/>
              </w:rPr>
              <w:t>Shared (vendor and client)</w:t>
            </w:r>
          </w:p>
        </w:tc>
        <w:tc>
          <w:tcPr>
            <w:tcW w:type="dxa" w:w="2412"/>
            <w:shd w:val="clear" w:fill="EEF3F8"/>
          </w:tcPr>
          <w:p>
            <w:pPr>
              <w:spacing w:after="20" w:before="20"/>
            </w:pPr>
            <w:r/>
            <w:r>
              <w:rPr>
                <w:b w:val="0"/>
                <w:i w:val="0"/>
                <w:sz w:val="19"/>
              </w:rPr>
              <w:t>~50% of production sizing; auto-scaling disabled; production-equivalent config</w:t>
            </w:r>
          </w:p>
        </w:tc>
      </w:tr>
      <w:tr>
        <w:tc>
          <w:tcPr>
            <w:tcW w:type="dxa" w:w="2412"/>
          </w:tcPr>
          <w:p>
            <w:pPr>
              <w:spacing w:after="20" w:before="20"/>
            </w:pPr>
            <w:r/>
            <w:r>
              <w:rPr>
                <w:b w:val="0"/>
                <w:i w:val="0"/>
                <w:sz w:val="19"/>
              </w:rPr>
              <w:t>Production</w:t>
            </w:r>
          </w:p>
        </w:tc>
        <w:tc>
          <w:tcPr>
            <w:tcW w:type="dxa" w:w="2412"/>
          </w:tcPr>
          <w:p>
            <w:pPr>
              <w:spacing w:after="20" w:before="20"/>
            </w:pPr>
            <w:r/>
            <w:r>
              <w:rPr>
                <w:b w:val="0"/>
                <w:i w:val="0"/>
                <w:sz w:val="19"/>
              </w:rPr>
              <w:t>Live platform — all venues and guests</w:t>
            </w:r>
          </w:p>
        </w:tc>
        <w:tc>
          <w:tcPr>
            <w:tcW w:type="dxa" w:w="2412"/>
          </w:tcPr>
          <w:p>
            <w:pPr>
              <w:spacing w:after="20" w:before="20"/>
            </w:pPr>
            <w:r/>
            <w:r>
              <w:rPr>
                <w:b w:val="0"/>
                <w:i w:val="0"/>
                <w:sz w:val="19"/>
              </w:rPr>
              <w:t>Client</w:t>
            </w:r>
          </w:p>
        </w:tc>
        <w:tc>
          <w:tcPr>
            <w:tcW w:type="dxa" w:w="2412"/>
          </w:tcPr>
          <w:p>
            <w:pPr>
              <w:spacing w:after="20" w:before="20"/>
            </w:pPr>
            <w:r/>
            <w:r>
              <w:rPr>
                <w:b w:val="0"/>
                <w:i w:val="0"/>
                <w:sz w:val="19"/>
              </w:rPr>
              <w:t>Full sizing; auto-scaling enabled; HA configuration; monitoring active</w:t>
            </w:r>
          </w:p>
        </w:tc>
      </w:tr>
    </w:tbl>
    <w:p>
      <w:pPr>
        <w:spacing w:after="40"/>
      </w:pPr>
    </w:p>
    <w:p>
      <w:pPr>
        <w:pStyle w:val="Heading2"/>
        <w:spacing w:before="200" w:after="80"/>
      </w:pPr>
      <w:r>
        <w:rPr>
          <w:b/>
          <w:color w:val="2E75B6"/>
          <w:sz w:val="28"/>
        </w:rPr>
        <w:t>6.12 Production Infrastructure Sizing</w:t>
      </w:r>
    </w:p>
    <w:p>
      <w:pPr>
        <w:spacing w:after="120" w:line="259" w:lineRule="auto"/>
      </w:pPr>
      <w:r>
        <w:rPr>
          <w:b w:val="0"/>
          <w:i w:val="0"/>
        </w:rPr>
        <w:t>Sizing is based on Phase 1 scale: 7 to 10 venues, peak 5,000 to 15,000 concurrent guest users, 200 to 1,000 API requests per second, ticket validation under 500ms. All components are sized to handle 3x this load before autoscaling triggers, ensuring headroom for unexpected peaks.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Node Pool</w:t>
            </w:r>
          </w:p>
        </w:tc>
        <w:tc>
          <w:tcPr>
            <w:tcW w:type="dxa" w:w="2412"/>
            <w:shd w:val="clear" w:fill="1F3864"/>
          </w:tcPr>
          <w:p>
            <w:pPr>
              <w:spacing w:after="20" w:before="20"/>
            </w:pPr>
            <w:r/>
            <w:r>
              <w:rPr>
                <w:b/>
                <w:i w:val="0"/>
                <w:color w:val="FFFFFF"/>
                <w:sz w:val="19"/>
              </w:rPr>
              <w:t>Instance Type</w:t>
            </w:r>
          </w:p>
        </w:tc>
        <w:tc>
          <w:tcPr>
            <w:tcW w:type="dxa" w:w="2412"/>
            <w:shd w:val="clear" w:fill="1F3864"/>
          </w:tcPr>
          <w:p>
            <w:pPr>
              <w:spacing w:after="20" w:before="20"/>
            </w:pPr>
            <w:r/>
            <w:r>
              <w:rPr>
                <w:b/>
                <w:i w:val="0"/>
                <w:color w:val="FFFFFF"/>
                <w:sz w:val="19"/>
              </w:rPr>
              <w:t>Count</w:t>
            </w:r>
          </w:p>
        </w:tc>
        <w:tc>
          <w:tcPr>
            <w:tcW w:type="dxa" w:w="2412"/>
            <w:shd w:val="clear" w:fill="1F3864"/>
          </w:tcPr>
          <w:p>
            <w:pPr>
              <w:spacing w:after="20" w:before="20"/>
            </w:pPr>
            <w:r/>
            <w:r>
              <w:rPr>
                <w:b/>
                <w:i w:val="0"/>
                <w:color w:val="FFFFFF"/>
                <w:sz w:val="19"/>
              </w:rPr>
              <w:t>Purpose and Notes</w:t>
            </w:r>
          </w:p>
        </w:tc>
      </w:tr>
      <w:tr>
        <w:tc>
          <w:tcPr>
            <w:tcW w:type="dxa" w:w="2412"/>
          </w:tcPr>
          <w:p>
            <w:pPr>
              <w:spacing w:after="20" w:before="20"/>
            </w:pPr>
            <w:r/>
            <w:r>
              <w:rPr>
                <w:b w:val="0"/>
                <w:i w:val="0"/>
                <w:sz w:val="19"/>
              </w:rPr>
              <w:t>Application nodes</w:t>
            </w:r>
          </w:p>
        </w:tc>
        <w:tc>
          <w:tcPr>
            <w:tcW w:type="dxa" w:w="2412"/>
          </w:tcPr>
          <w:p>
            <w:pPr>
              <w:spacing w:after="20" w:before="20"/>
            </w:pPr>
            <w:r/>
            <w:r>
              <w:rPr>
                <w:b w:val="0"/>
                <w:i w:val="0"/>
                <w:sz w:val="19"/>
              </w:rPr>
              <w:t>m6i.2xlarge (8 vCPU / 32GB)</w:t>
            </w:r>
          </w:p>
        </w:tc>
        <w:tc>
          <w:tcPr>
            <w:tcW w:type="dxa" w:w="2412"/>
          </w:tcPr>
          <w:p>
            <w:pPr>
              <w:spacing w:after="20" w:before="20"/>
            </w:pPr>
            <w:r/>
            <w:r>
              <w:rPr>
                <w:b w:val="0"/>
                <w:i w:val="0"/>
                <w:sz w:val="19"/>
              </w:rPr>
              <w:t>4 to 8 (autoscale)</w:t>
            </w:r>
          </w:p>
        </w:tc>
        <w:tc>
          <w:tcPr>
            <w:tcW w:type="dxa" w:w="2412"/>
          </w:tcPr>
          <w:p>
            <w:pPr>
              <w:spacing w:after="20" w:before="20"/>
            </w:pPr>
            <w:r/>
            <w:r>
              <w:rPr>
                <w:b w:val="0"/>
                <w:i w:val="0"/>
                <w:sz w:val="19"/>
              </w:rPr>
              <w:t>All platform microservices; Horizontal Pod Autoscaler on CPU &gt; 70%</w:t>
            </w:r>
          </w:p>
        </w:tc>
      </w:tr>
      <w:tr>
        <w:tc>
          <w:tcPr>
            <w:tcW w:type="dxa" w:w="2412"/>
            <w:shd w:val="clear" w:fill="EEF3F8"/>
          </w:tcPr>
          <w:p>
            <w:pPr>
              <w:spacing w:after="20" w:before="20"/>
            </w:pPr>
            <w:r/>
            <w:r>
              <w:rPr>
                <w:b w:val="0"/>
                <w:i w:val="0"/>
                <w:sz w:val="19"/>
              </w:rPr>
              <w:t>Database (PostgreSQL)</w:t>
            </w:r>
          </w:p>
        </w:tc>
        <w:tc>
          <w:tcPr>
            <w:tcW w:type="dxa" w:w="2412"/>
            <w:shd w:val="clear" w:fill="EEF3F8"/>
          </w:tcPr>
          <w:p>
            <w:pPr>
              <w:spacing w:after="20" w:before="20"/>
            </w:pPr>
            <w:r/>
            <w:r>
              <w:rPr>
                <w:b w:val="0"/>
                <w:i w:val="0"/>
                <w:sz w:val="19"/>
              </w:rPr>
              <w:t>r6i.2xlarge (8 vCPU / 64GB)</w:t>
            </w:r>
          </w:p>
        </w:tc>
        <w:tc>
          <w:tcPr>
            <w:tcW w:type="dxa" w:w="2412"/>
            <w:shd w:val="clear" w:fill="EEF3F8"/>
          </w:tcPr>
          <w:p>
            <w:pPr>
              <w:spacing w:after="20" w:before="20"/>
            </w:pPr>
            <w:r/>
            <w:r>
              <w:rPr>
                <w:b w:val="0"/>
                <w:i w:val="0"/>
                <w:sz w:val="19"/>
              </w:rPr>
              <w:t>3 (primary + 2 read replicas)</w:t>
            </w:r>
          </w:p>
        </w:tc>
        <w:tc>
          <w:tcPr>
            <w:tcW w:type="dxa" w:w="2412"/>
            <w:shd w:val="clear" w:fill="EEF3F8"/>
          </w:tcPr>
          <w:p>
            <w:pPr>
              <w:spacing w:after="20" w:before="20"/>
            </w:pPr>
            <w:r/>
            <w:r>
              <w:rPr>
                <w:b w:val="0"/>
                <w:i w:val="0"/>
                <w:sz w:val="19"/>
              </w:rPr>
              <w:t>HA cluster; continuous WAL archiving; 500GB SSD initial</w:t>
            </w:r>
          </w:p>
        </w:tc>
      </w:tr>
      <w:tr>
        <w:tc>
          <w:tcPr>
            <w:tcW w:type="dxa" w:w="2412"/>
          </w:tcPr>
          <w:p>
            <w:pPr>
              <w:spacing w:after="20" w:before="20"/>
            </w:pPr>
            <w:r/>
            <w:r>
              <w:rPr>
                <w:b w:val="0"/>
                <w:i w:val="0"/>
                <w:sz w:val="19"/>
              </w:rPr>
              <w:t>Cache (Redis)</w:t>
            </w:r>
          </w:p>
        </w:tc>
        <w:tc>
          <w:tcPr>
            <w:tcW w:type="dxa" w:w="2412"/>
          </w:tcPr>
          <w:p>
            <w:pPr>
              <w:spacing w:after="20" w:before="20"/>
            </w:pPr>
            <w:r/>
            <w:r>
              <w:rPr>
                <w:b w:val="0"/>
                <w:i w:val="0"/>
                <w:sz w:val="19"/>
              </w:rPr>
              <w:t>r6i.xlarge (4 vCPU / 32GB)</w:t>
            </w:r>
          </w:p>
        </w:tc>
        <w:tc>
          <w:tcPr>
            <w:tcW w:type="dxa" w:w="2412"/>
          </w:tcPr>
          <w:p>
            <w:pPr>
              <w:spacing w:after="20" w:before="20"/>
            </w:pPr>
            <w:r/>
            <w:r>
              <w:rPr>
                <w:b w:val="0"/>
                <w:i w:val="0"/>
                <w:sz w:val="19"/>
              </w:rPr>
              <w:t>3 (cluster mode)</w:t>
            </w:r>
          </w:p>
        </w:tc>
        <w:tc>
          <w:tcPr>
            <w:tcW w:type="dxa" w:w="2412"/>
          </w:tcPr>
          <w:p>
            <w:pPr>
              <w:spacing w:after="20" w:before="20"/>
            </w:pPr>
            <w:r/>
            <w:r>
              <w:rPr>
                <w:b w:val="0"/>
                <w:i w:val="0"/>
                <w:sz w:val="19"/>
              </w:rPr>
              <w:t>Session, live counters, validation cache; RDB + AOF persistence</w:t>
            </w:r>
          </w:p>
        </w:tc>
      </w:tr>
      <w:tr>
        <w:tc>
          <w:tcPr>
            <w:tcW w:type="dxa" w:w="2412"/>
            <w:shd w:val="clear" w:fill="EEF3F8"/>
          </w:tcPr>
          <w:p>
            <w:pPr>
              <w:spacing w:after="20" w:before="20"/>
            </w:pPr>
            <w:r/>
            <w:r>
              <w:rPr>
                <w:b w:val="0"/>
                <w:i w:val="0"/>
                <w:sz w:val="19"/>
              </w:rPr>
              <w:t>Search (Elasticsearch)</w:t>
            </w:r>
          </w:p>
        </w:tc>
        <w:tc>
          <w:tcPr>
            <w:tcW w:type="dxa" w:w="2412"/>
            <w:shd w:val="clear" w:fill="EEF3F8"/>
          </w:tcPr>
          <w:p>
            <w:pPr>
              <w:spacing w:after="20" w:before="20"/>
            </w:pPr>
            <w:r/>
            <w:r>
              <w:rPr>
                <w:b w:val="0"/>
                <w:i w:val="0"/>
                <w:sz w:val="19"/>
              </w:rPr>
              <w:t>r6i.2xlarge (8 vCPU / 64GB)</w:t>
            </w:r>
          </w:p>
        </w:tc>
        <w:tc>
          <w:tcPr>
            <w:tcW w:type="dxa" w:w="2412"/>
            <w:shd w:val="clear" w:fill="EEF3F8"/>
          </w:tcPr>
          <w:p>
            <w:pPr>
              <w:spacing w:after="20" w:before="20"/>
            </w:pPr>
            <w:r/>
            <w:r>
              <w:rPr>
                <w:b w:val="0"/>
                <w:i w:val="0"/>
                <w:sz w:val="19"/>
              </w:rPr>
              <w:t>3 (master + 2 data)</w:t>
            </w:r>
          </w:p>
        </w:tc>
        <w:tc>
          <w:tcPr>
            <w:tcW w:type="dxa" w:w="2412"/>
            <w:shd w:val="clear" w:fill="EEF3F8"/>
          </w:tcPr>
          <w:p>
            <w:pPr>
              <w:spacing w:after="20" w:before="20"/>
            </w:pPr>
            <w:r/>
            <w:r>
              <w:rPr>
                <w:b w:val="0"/>
                <w:i w:val="0"/>
                <w:sz w:val="19"/>
              </w:rPr>
              <w:t>Full-text, Arabic search, audit log; 1TB SSD across 3 nodes</w:t>
            </w:r>
          </w:p>
        </w:tc>
      </w:tr>
      <w:tr>
        <w:tc>
          <w:tcPr>
            <w:tcW w:type="dxa" w:w="2412"/>
          </w:tcPr>
          <w:p>
            <w:pPr>
              <w:spacing w:after="20" w:before="20"/>
            </w:pPr>
            <w:r/>
            <w:r>
              <w:rPr>
                <w:b w:val="0"/>
                <w:i w:val="0"/>
                <w:sz w:val="19"/>
              </w:rPr>
              <w:t>Vector (Qdrant)</w:t>
            </w:r>
          </w:p>
        </w:tc>
        <w:tc>
          <w:tcPr>
            <w:tcW w:type="dxa" w:w="2412"/>
          </w:tcPr>
          <w:p>
            <w:pPr>
              <w:spacing w:after="20" w:before="20"/>
            </w:pPr>
            <w:r/>
            <w:r>
              <w:rPr>
                <w:b w:val="0"/>
                <w:i w:val="0"/>
                <w:sz w:val="19"/>
              </w:rPr>
              <w:t>m6i.xlarge (4 vCPU / 16GB)</w:t>
            </w:r>
          </w:p>
        </w:tc>
        <w:tc>
          <w:tcPr>
            <w:tcW w:type="dxa" w:w="2412"/>
          </w:tcPr>
          <w:p>
            <w:pPr>
              <w:spacing w:after="20" w:before="20"/>
            </w:pPr>
            <w:r/>
            <w:r>
              <w:rPr>
                <w:b w:val="0"/>
                <w:i w:val="0"/>
                <w:sz w:val="19"/>
              </w:rPr>
              <w:t>2 (primary + replica)</w:t>
            </w:r>
          </w:p>
        </w:tc>
        <w:tc>
          <w:tcPr>
            <w:tcW w:type="dxa" w:w="2412"/>
          </w:tcPr>
          <w:p>
            <w:pPr>
              <w:spacing w:after="20" w:before="20"/>
            </w:pPr>
            <w:r/>
            <w:r>
              <w:rPr>
                <w:b w:val="0"/>
                <w:i w:val="0"/>
                <w:sz w:val="19"/>
              </w:rPr>
              <w:t>RAG embeddings; 200GB SSD; scales to cluster when &gt;5M chunks</w:t>
            </w:r>
          </w:p>
        </w:tc>
      </w:tr>
      <w:tr>
        <w:tc>
          <w:tcPr>
            <w:tcW w:type="dxa" w:w="2412"/>
            <w:shd w:val="clear" w:fill="EEF3F8"/>
          </w:tcPr>
          <w:p>
            <w:pPr>
              <w:spacing w:after="20" w:before="20"/>
            </w:pPr>
            <w:r/>
            <w:r>
              <w:rPr>
                <w:b w:val="0"/>
                <w:i w:val="0"/>
                <w:sz w:val="19"/>
              </w:rPr>
              <w:t>Messaging (Kafka)</w:t>
            </w:r>
          </w:p>
        </w:tc>
        <w:tc>
          <w:tcPr>
            <w:tcW w:type="dxa" w:w="2412"/>
            <w:shd w:val="clear" w:fill="EEF3F8"/>
          </w:tcPr>
          <w:p>
            <w:pPr>
              <w:spacing w:after="20" w:before="20"/>
            </w:pPr>
            <w:r/>
            <w:r>
              <w:rPr>
                <w:b w:val="0"/>
                <w:i w:val="0"/>
                <w:sz w:val="19"/>
              </w:rPr>
              <w:t>m6i.xlarge (4 vCPU / 16GB)</w:t>
            </w:r>
          </w:p>
        </w:tc>
        <w:tc>
          <w:tcPr>
            <w:tcW w:type="dxa" w:w="2412"/>
            <w:shd w:val="clear" w:fill="EEF3F8"/>
          </w:tcPr>
          <w:p>
            <w:pPr>
              <w:spacing w:after="20" w:before="20"/>
            </w:pPr>
            <w:r/>
            <w:r>
              <w:rPr>
                <w:b w:val="0"/>
                <w:i w:val="0"/>
                <w:sz w:val="19"/>
              </w:rPr>
              <w:t>3 (broker cluster)</w:t>
            </w:r>
          </w:p>
        </w:tc>
        <w:tc>
          <w:tcPr>
            <w:tcW w:type="dxa" w:w="2412"/>
            <w:shd w:val="clear" w:fill="EEF3F8"/>
          </w:tcPr>
          <w:p>
            <w:pPr>
              <w:spacing w:after="20" w:before="20"/>
            </w:pPr>
            <w:r/>
            <w:r>
              <w:rPr>
                <w:b w:val="0"/>
                <w:i w:val="0"/>
                <w:sz w:val="19"/>
              </w:rPr>
              <w:t>Replication factor 3; 500GB across brokers; 7-day retention</w:t>
            </w:r>
          </w:p>
        </w:tc>
      </w:tr>
    </w:tbl>
    <w:p>
      <w:pPr>
        <w:spacing w:after="40"/>
      </w:pPr>
    </w:p>
    <w:p>
      <w:pPr>
        <w:pStyle w:val="Heading2"/>
        <w:spacing w:before="200" w:after="80"/>
      </w:pPr>
      <w:r>
        <w:rPr>
          <w:b/>
          <w:color w:val="2E75B6"/>
          <w:sz w:val="28"/>
        </w:rPr>
        <w:t>6.13 Infrastructure as Code — Terraform and Helm Deliverables</w:t>
      </w:r>
    </w:p>
    <w:p>
      <w:pPr>
        <w:spacing w:after="120" w:line="259" w:lineRule="auto"/>
      </w:pPr>
      <w:r>
        <w:rPr>
          <w:b w:val="0"/>
          <w:i w:val="0"/>
        </w:rPr>
        <w:t>All infrastructure is defined as code and delivered to the client as version-controlled artefacts in their own repository. The client’s infrastructure team can provision any environment — or rebuild it from scratch — from the delivered templates without vendor involvement. This is the operational independence commitment.</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Terraform Module</w:t>
            </w:r>
          </w:p>
        </w:tc>
        <w:tc>
          <w:tcPr>
            <w:tcW w:type="dxa" w:w="4824"/>
            <w:shd w:val="clear" w:fill="1F3864"/>
          </w:tcPr>
          <w:p>
            <w:pPr>
              <w:spacing w:after="20" w:before="20"/>
            </w:pPr>
            <w:r/>
            <w:r>
              <w:rPr>
                <w:b/>
                <w:i w:val="0"/>
                <w:color w:val="FFFFFF"/>
                <w:sz w:val="19"/>
              </w:rPr>
              <w:t>Scope</w:t>
            </w:r>
          </w:p>
        </w:tc>
      </w:tr>
      <w:tr>
        <w:tc>
          <w:tcPr>
            <w:tcW w:type="dxa" w:w="4824"/>
          </w:tcPr>
          <w:p>
            <w:pPr>
              <w:spacing w:after="20" w:before="20"/>
            </w:pPr>
            <w:r/>
            <w:r>
              <w:rPr>
                <w:b w:val="0"/>
                <w:i w:val="0"/>
                <w:sz w:val="19"/>
              </w:rPr>
              <w:t>tais-network</w:t>
            </w:r>
          </w:p>
        </w:tc>
        <w:tc>
          <w:tcPr>
            <w:tcW w:type="dxa" w:w="4824"/>
          </w:tcPr>
          <w:p>
            <w:pPr>
              <w:spacing w:after="20" w:before="20"/>
            </w:pPr>
            <w:r/>
            <w:r>
              <w:rPr>
                <w:b w:val="0"/>
                <w:i w:val="0"/>
                <w:sz w:val="19"/>
              </w:rPr>
              <w:t>VPC / VNet, subnets, security groups, NAT gateway, DNS</w:t>
            </w:r>
          </w:p>
        </w:tc>
      </w:tr>
      <w:tr>
        <w:tc>
          <w:tcPr>
            <w:tcW w:type="dxa" w:w="4824"/>
            <w:shd w:val="clear" w:fill="EEF3F8"/>
          </w:tcPr>
          <w:p>
            <w:pPr>
              <w:spacing w:after="20" w:before="20"/>
            </w:pPr>
            <w:r/>
            <w:r>
              <w:rPr>
                <w:b w:val="0"/>
                <w:i w:val="0"/>
                <w:sz w:val="19"/>
              </w:rPr>
              <w:t>tais-kubernetes</w:t>
            </w:r>
          </w:p>
        </w:tc>
        <w:tc>
          <w:tcPr>
            <w:tcW w:type="dxa" w:w="4824"/>
            <w:shd w:val="clear" w:fill="EEF3F8"/>
          </w:tcPr>
          <w:p>
            <w:pPr>
              <w:spacing w:after="20" w:before="20"/>
            </w:pPr>
            <w:r/>
            <w:r>
              <w:rPr>
                <w:b w:val="0"/>
                <w:i w:val="0"/>
                <w:sz w:val="19"/>
              </w:rPr>
              <w:t>EKS / AKS / GKE cluster, node pools, RBAC, autoscaler configuration</w:t>
            </w:r>
          </w:p>
        </w:tc>
      </w:tr>
      <w:tr>
        <w:tc>
          <w:tcPr>
            <w:tcW w:type="dxa" w:w="4824"/>
          </w:tcPr>
          <w:p>
            <w:pPr>
              <w:spacing w:after="20" w:before="20"/>
            </w:pPr>
            <w:r/>
            <w:r>
              <w:rPr>
                <w:b w:val="0"/>
                <w:i w:val="0"/>
                <w:sz w:val="19"/>
              </w:rPr>
              <w:t>tais-databases</w:t>
            </w:r>
          </w:p>
        </w:tc>
        <w:tc>
          <w:tcPr>
            <w:tcW w:type="dxa" w:w="4824"/>
          </w:tcPr>
          <w:p>
            <w:pPr>
              <w:spacing w:after="20" w:before="20"/>
            </w:pPr>
            <w:r/>
            <w:r>
              <w:rPr>
                <w:b w:val="0"/>
                <w:i w:val="0"/>
                <w:sz w:val="19"/>
              </w:rPr>
              <w:t>PostgreSQL HA cluster, read replicas, automated backup configuration</w:t>
            </w:r>
          </w:p>
        </w:tc>
      </w:tr>
      <w:tr>
        <w:tc>
          <w:tcPr>
            <w:tcW w:type="dxa" w:w="4824"/>
            <w:shd w:val="clear" w:fill="EEF3F8"/>
          </w:tcPr>
          <w:p>
            <w:pPr>
              <w:spacing w:after="20" w:before="20"/>
            </w:pPr>
            <w:r/>
            <w:r>
              <w:rPr>
                <w:b w:val="0"/>
                <w:i w:val="0"/>
                <w:sz w:val="19"/>
              </w:rPr>
              <w:t>tais-cache</w:t>
            </w:r>
          </w:p>
        </w:tc>
        <w:tc>
          <w:tcPr>
            <w:tcW w:type="dxa" w:w="4824"/>
            <w:shd w:val="clear" w:fill="EEF3F8"/>
          </w:tcPr>
          <w:p>
            <w:pPr>
              <w:spacing w:after="20" w:before="20"/>
            </w:pPr>
            <w:r/>
            <w:r>
              <w:rPr>
                <w:b w:val="0"/>
                <w:i w:val="0"/>
                <w:sz w:val="19"/>
              </w:rPr>
              <w:t>Redis cluster — topology, persistence, eviction policy</w:t>
            </w:r>
          </w:p>
        </w:tc>
      </w:tr>
      <w:tr>
        <w:tc>
          <w:tcPr>
            <w:tcW w:type="dxa" w:w="4824"/>
          </w:tcPr>
          <w:p>
            <w:pPr>
              <w:spacing w:after="20" w:before="20"/>
            </w:pPr>
            <w:r/>
            <w:r>
              <w:rPr>
                <w:b w:val="0"/>
                <w:i w:val="0"/>
                <w:sz w:val="19"/>
              </w:rPr>
              <w:t>tais-search</w:t>
            </w:r>
          </w:p>
        </w:tc>
        <w:tc>
          <w:tcPr>
            <w:tcW w:type="dxa" w:w="4824"/>
          </w:tcPr>
          <w:p>
            <w:pPr>
              <w:spacing w:after="20" w:before="20"/>
            </w:pPr>
            <w:r/>
            <w:r>
              <w:rPr>
                <w:b w:val="0"/>
                <w:i w:val="0"/>
                <w:sz w:val="19"/>
              </w:rPr>
              <w:t>Elasticsearch cluster deployment and index lifecycle policies</w:t>
            </w:r>
          </w:p>
        </w:tc>
      </w:tr>
      <w:tr>
        <w:tc>
          <w:tcPr>
            <w:tcW w:type="dxa" w:w="4824"/>
            <w:shd w:val="clear" w:fill="EEF3F8"/>
          </w:tcPr>
          <w:p>
            <w:pPr>
              <w:spacing w:after="20" w:before="20"/>
            </w:pPr>
            <w:r/>
            <w:r>
              <w:rPr>
                <w:b w:val="0"/>
                <w:i w:val="0"/>
                <w:sz w:val="19"/>
              </w:rPr>
              <w:t>tais-vector</w:t>
            </w:r>
          </w:p>
        </w:tc>
        <w:tc>
          <w:tcPr>
            <w:tcW w:type="dxa" w:w="4824"/>
            <w:shd w:val="clear" w:fill="EEF3F8"/>
          </w:tcPr>
          <w:p>
            <w:pPr>
              <w:spacing w:after="20" w:before="20"/>
            </w:pPr>
            <w:r/>
            <w:r>
              <w:rPr>
                <w:b w:val="0"/>
                <w:i w:val="0"/>
                <w:sz w:val="19"/>
              </w:rPr>
              <w:t>Qdrant deployment, persistent volumes, collection initialisation</w:t>
            </w:r>
          </w:p>
        </w:tc>
      </w:tr>
      <w:tr>
        <w:tc>
          <w:tcPr>
            <w:tcW w:type="dxa" w:w="4824"/>
          </w:tcPr>
          <w:p>
            <w:pPr>
              <w:spacing w:after="20" w:before="20"/>
            </w:pPr>
            <w:r/>
            <w:r>
              <w:rPr>
                <w:b w:val="0"/>
                <w:i w:val="0"/>
                <w:sz w:val="19"/>
              </w:rPr>
              <w:t>tais-messaging</w:t>
            </w:r>
          </w:p>
        </w:tc>
        <w:tc>
          <w:tcPr>
            <w:tcW w:type="dxa" w:w="4824"/>
          </w:tcPr>
          <w:p>
            <w:pPr>
              <w:spacing w:after="20" w:before="20"/>
            </w:pPr>
            <w:r/>
            <w:r>
              <w:rPr>
                <w:b w:val="0"/>
                <w:i w:val="0"/>
                <w:sz w:val="19"/>
              </w:rPr>
              <w:t>Kafka cluster, topic configuration, consumer group setup</w:t>
            </w:r>
          </w:p>
        </w:tc>
      </w:tr>
      <w:tr>
        <w:tc>
          <w:tcPr>
            <w:tcW w:type="dxa" w:w="4824"/>
            <w:shd w:val="clear" w:fill="EEF3F8"/>
          </w:tcPr>
          <w:p>
            <w:pPr>
              <w:spacing w:after="20" w:before="20"/>
            </w:pPr>
            <w:r/>
            <w:r>
              <w:rPr>
                <w:b w:val="0"/>
                <w:i w:val="0"/>
                <w:sz w:val="19"/>
              </w:rPr>
              <w:t>tais-storage</w:t>
            </w:r>
          </w:p>
        </w:tc>
        <w:tc>
          <w:tcPr>
            <w:tcW w:type="dxa" w:w="4824"/>
            <w:shd w:val="clear" w:fill="EEF3F8"/>
          </w:tcPr>
          <w:p>
            <w:pPr>
              <w:spacing w:after="20" w:before="20"/>
            </w:pPr>
            <w:r/>
            <w:r>
              <w:rPr>
                <w:b w:val="0"/>
                <w:i w:val="0"/>
                <w:sz w:val="19"/>
              </w:rPr>
              <w:t>Object storage buckets, lifecycle policies, cross-region replication</w:t>
            </w:r>
          </w:p>
        </w:tc>
      </w:tr>
      <w:tr>
        <w:tc>
          <w:tcPr>
            <w:tcW w:type="dxa" w:w="4824"/>
          </w:tcPr>
          <w:p>
            <w:pPr>
              <w:spacing w:after="20" w:before="20"/>
            </w:pPr>
            <w:r/>
            <w:r>
              <w:rPr>
                <w:b w:val="0"/>
                <w:i w:val="0"/>
                <w:sz w:val="19"/>
              </w:rPr>
              <w:t>tais-cdn</w:t>
            </w:r>
          </w:p>
        </w:tc>
        <w:tc>
          <w:tcPr>
            <w:tcW w:type="dxa" w:w="4824"/>
          </w:tcPr>
          <w:p>
            <w:pPr>
              <w:spacing w:after="20" w:before="20"/>
            </w:pPr>
            <w:r/>
            <w:r>
              <w:rPr>
                <w:b w:val="0"/>
                <w:i w:val="0"/>
                <w:sz w:val="19"/>
              </w:rPr>
              <w:t>CDN distribution, cache rules, origin configuration</w:t>
            </w:r>
          </w:p>
        </w:tc>
      </w:tr>
      <w:tr>
        <w:tc>
          <w:tcPr>
            <w:tcW w:type="dxa" w:w="4824"/>
            <w:shd w:val="clear" w:fill="EEF3F8"/>
          </w:tcPr>
          <w:p>
            <w:pPr>
              <w:spacing w:after="20" w:before="20"/>
            </w:pPr>
            <w:r/>
            <w:r>
              <w:rPr>
                <w:b w:val="0"/>
                <w:i w:val="0"/>
                <w:sz w:val="19"/>
              </w:rPr>
              <w:t>tais-secrets</w:t>
            </w:r>
          </w:p>
        </w:tc>
        <w:tc>
          <w:tcPr>
            <w:tcW w:type="dxa" w:w="4824"/>
            <w:shd w:val="clear" w:fill="EEF3F8"/>
          </w:tcPr>
          <w:p>
            <w:pPr>
              <w:spacing w:after="20" w:before="20"/>
            </w:pPr>
            <w:r/>
            <w:r>
              <w:rPr>
                <w:b w:val="0"/>
                <w:i w:val="0"/>
                <w:sz w:val="19"/>
              </w:rPr>
              <w:t>Secrets manager configuration, KMS key setup, rotation policies</w:t>
            </w:r>
          </w:p>
        </w:tc>
      </w:tr>
      <w:tr>
        <w:tc>
          <w:tcPr>
            <w:tcW w:type="dxa" w:w="4824"/>
          </w:tcPr>
          <w:p>
            <w:pPr>
              <w:spacing w:after="20" w:before="20"/>
            </w:pPr>
            <w:r/>
            <w:r>
              <w:rPr>
                <w:b w:val="0"/>
                <w:i w:val="0"/>
                <w:sz w:val="19"/>
              </w:rPr>
              <w:t>tais-monitoring</w:t>
            </w:r>
          </w:p>
        </w:tc>
        <w:tc>
          <w:tcPr>
            <w:tcW w:type="dxa" w:w="4824"/>
          </w:tcPr>
          <w:p>
            <w:pPr>
              <w:spacing w:after="20" w:before="20"/>
            </w:pPr>
            <w:r/>
            <w:r>
              <w:rPr>
                <w:b w:val="0"/>
                <w:i w:val="0"/>
                <w:sz w:val="19"/>
              </w:rPr>
              <w:t>Prometheus, Grafana, AlertManager — all dashboards as code</w:t>
            </w:r>
          </w:p>
        </w:tc>
      </w:tr>
      <w:tr>
        <w:tc>
          <w:tcPr>
            <w:tcW w:type="dxa" w:w="4824"/>
            <w:shd w:val="clear" w:fill="EEF3F8"/>
          </w:tcPr>
          <w:p>
            <w:pPr>
              <w:spacing w:after="20" w:before="20"/>
            </w:pPr>
            <w:r/>
            <w:r>
              <w:rPr>
                <w:b w:val="0"/>
                <w:i w:val="0"/>
                <w:sz w:val="19"/>
              </w:rPr>
              <w:t>tais-environments</w:t>
            </w:r>
          </w:p>
        </w:tc>
        <w:tc>
          <w:tcPr>
            <w:tcW w:type="dxa" w:w="4824"/>
            <w:shd w:val="clear" w:fill="EEF3F8"/>
          </w:tcPr>
          <w:p>
            <w:pPr>
              <w:spacing w:after="20" w:before="20"/>
            </w:pPr>
            <w:r/>
            <w:r>
              <w:rPr>
                <w:b w:val="0"/>
                <w:i w:val="0"/>
                <w:sz w:val="19"/>
              </w:rPr>
              <w:t>Environment-specific variable overlays — dev, pre-prod, prod</w:t>
            </w:r>
          </w:p>
        </w:tc>
      </w:tr>
    </w:tbl>
    <w:p>
      <w:pPr>
        <w:spacing w:after="40"/>
      </w:pPr>
    </w:p>
    <w:p>
      <w:pPr>
        <w:spacing w:after="120" w:line="259" w:lineRule="auto"/>
      </w:pPr>
      <w:r>
        <w:rPr>
          <w:b w:val="0"/>
          <w:i w:val="0"/>
        </w:rPr>
        <w:t>Each module is parameterised for target cloud provider. Setting the variable cloud_provider to “aws”, “azure”, “gcp”, or “private” switches between provider-specific resource definitions. All TAIS platform services are additionally packaged as Helm charts, enabling consistent deployment across environments, environment-specific value overrides, version-controlled release management, and rollback to any previous release in under two minutes.</w:t>
      </w:r>
    </w:p>
    <w:p>
      <w:pPr>
        <w:pStyle w:val="Heading2"/>
        <w:spacing w:before="200" w:after="80"/>
      </w:pPr>
      <w:r>
        <w:rPr>
          <w:b/>
          <w:color w:val="2E75B6"/>
          <w:sz w:val="28"/>
        </w:rPr>
        <w:t>6.14 CI/CD Pipeline</w:t>
      </w:r>
    </w:p>
    <w:p>
      <w:pPr>
        <w:spacing w:after="120" w:line="259" w:lineRule="auto"/>
      </w:pPr>
      <w:r>
        <w:rPr>
          <w:b w:val="0"/>
          <w:i w:val="0"/>
        </w:rPr>
        <w:t>The CI/CD pipeline automates the path from code commit to production deployment with mandatory quality and security gates at each stage. No code reaches production without passing automated testing, static analysis, dependency scanning, secret detection, container image scanning, and — for the pre-production promotion — dynamic application security testing and UAT sign-off.</w:t>
      </w:r>
    </w:p>
    <w:p>
      <w:pPr>
        <w:spacing w:after="80"/>
      </w:pPr>
      <w:r>
        <w:rPr>
          <w:i/>
          <w:color w:val="555555"/>
          <w:sz w:val="18"/>
        </w:rPr>
        <w:t>Figure 6.2 — CI/CD Pipeline: Five Stages from Code Push to Production with Quality Gates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Service Type</w:t>
            </w:r>
          </w:p>
        </w:tc>
        <w:tc>
          <w:tcPr>
            <w:tcW w:type="dxa" w:w="3216"/>
            <w:shd w:val="clear" w:fill="1F3864"/>
          </w:tcPr>
          <w:p>
            <w:pPr>
              <w:spacing w:after="20" w:before="20"/>
            </w:pPr>
            <w:r/>
            <w:r>
              <w:rPr>
                <w:b/>
                <w:i w:val="0"/>
                <w:color w:val="FFFFFF"/>
                <w:sz w:val="19"/>
              </w:rPr>
              <w:t>Deployment Strategy</w:t>
            </w:r>
          </w:p>
        </w:tc>
        <w:tc>
          <w:tcPr>
            <w:tcW w:type="dxa" w:w="3216"/>
            <w:shd w:val="clear" w:fill="1F3864"/>
          </w:tcPr>
          <w:p>
            <w:pPr>
              <w:spacing w:after="20" w:before="20"/>
            </w:pPr>
            <w:r/>
            <w:r>
              <w:rPr>
                <w:b/>
                <w:i w:val="0"/>
                <w:color w:val="FFFFFF"/>
                <w:sz w:val="19"/>
              </w:rPr>
              <w:t>Rationale</w:t>
            </w:r>
          </w:p>
        </w:tc>
      </w:tr>
      <w:tr>
        <w:tc>
          <w:tcPr>
            <w:tcW w:type="dxa" w:w="3216"/>
          </w:tcPr>
          <w:p>
            <w:pPr>
              <w:spacing w:after="20" w:before="20"/>
            </w:pPr>
            <w:r/>
            <w:r>
              <w:rPr>
                <w:b w:val="0"/>
                <w:i w:val="0"/>
                <w:sz w:val="19"/>
              </w:rPr>
              <w:t>Stateless API services</w:t>
            </w:r>
          </w:p>
        </w:tc>
        <w:tc>
          <w:tcPr>
            <w:tcW w:type="dxa" w:w="3216"/>
          </w:tcPr>
          <w:p>
            <w:pPr>
              <w:spacing w:after="20" w:before="20"/>
            </w:pPr>
            <w:r/>
            <w:r>
              <w:rPr>
                <w:b w:val="0"/>
                <w:i w:val="0"/>
                <w:sz w:val="19"/>
              </w:rPr>
              <w:t>Rolling update</w:t>
            </w:r>
          </w:p>
        </w:tc>
        <w:tc>
          <w:tcPr>
            <w:tcW w:type="dxa" w:w="3216"/>
          </w:tcPr>
          <w:p>
            <w:pPr>
              <w:spacing w:after="20" w:before="20"/>
            </w:pPr>
            <w:r/>
            <w:r>
              <w:rPr>
                <w:b w:val="0"/>
                <w:i w:val="0"/>
                <w:sz w:val="19"/>
              </w:rPr>
              <w:t>Zero downtime; gradual pod replacement; no traffic disruption</w:t>
            </w:r>
          </w:p>
        </w:tc>
      </w:tr>
      <w:tr>
        <w:tc>
          <w:tcPr>
            <w:tcW w:type="dxa" w:w="3216"/>
            <w:shd w:val="clear" w:fill="EEF3F8"/>
          </w:tcPr>
          <w:p>
            <w:pPr>
              <w:spacing w:after="20" w:before="20"/>
            </w:pPr>
            <w:r/>
            <w:r>
              <w:rPr>
                <w:b w:val="0"/>
                <w:i w:val="0"/>
                <w:sz w:val="19"/>
              </w:rPr>
              <w:t>High-traffic services (Ticketing, Commerce)</w:t>
            </w:r>
          </w:p>
        </w:tc>
        <w:tc>
          <w:tcPr>
            <w:tcW w:type="dxa" w:w="3216"/>
            <w:shd w:val="clear" w:fill="EEF3F8"/>
          </w:tcPr>
          <w:p>
            <w:pPr>
              <w:spacing w:after="20" w:before="20"/>
            </w:pPr>
            <w:r/>
            <w:r>
              <w:rPr>
                <w:b w:val="0"/>
                <w:i w:val="0"/>
                <w:sz w:val="19"/>
              </w:rPr>
              <w:t>Blue/green</w:t>
            </w:r>
          </w:p>
        </w:tc>
        <w:tc>
          <w:tcPr>
            <w:tcW w:type="dxa" w:w="3216"/>
            <w:shd w:val="clear" w:fill="EEF3F8"/>
          </w:tcPr>
          <w:p>
            <w:pPr>
              <w:spacing w:after="20" w:before="20"/>
            </w:pPr>
            <w:r/>
            <w:r>
              <w:rPr>
                <w:b w:val="0"/>
                <w:i w:val="0"/>
                <w:sz w:val="19"/>
              </w:rPr>
              <w:t>Instant rollback capability; entire new deployment tested before traffic switch</w:t>
            </w:r>
          </w:p>
        </w:tc>
      </w:tr>
      <w:tr>
        <w:tc>
          <w:tcPr>
            <w:tcW w:type="dxa" w:w="3216"/>
          </w:tcPr>
          <w:p>
            <w:pPr>
              <w:spacing w:after="20" w:before="20"/>
            </w:pPr>
            <w:r/>
            <w:r>
              <w:rPr>
                <w:b w:val="0"/>
                <w:i w:val="0"/>
                <w:sz w:val="19"/>
              </w:rPr>
              <w:t>Database schema changes</w:t>
            </w:r>
          </w:p>
        </w:tc>
        <w:tc>
          <w:tcPr>
            <w:tcW w:type="dxa" w:w="3216"/>
          </w:tcPr>
          <w:p>
            <w:pPr>
              <w:spacing w:after="20" w:before="20"/>
            </w:pPr>
            <w:r/>
            <w:r>
              <w:rPr>
                <w:b w:val="0"/>
                <w:i w:val="0"/>
                <w:sz w:val="19"/>
              </w:rPr>
              <w:t>Pre-deployment migration job</w:t>
            </w:r>
          </w:p>
        </w:tc>
        <w:tc>
          <w:tcPr>
            <w:tcW w:type="dxa" w:w="3216"/>
          </w:tcPr>
          <w:p>
            <w:pPr>
              <w:spacing w:after="20" w:before="20"/>
            </w:pPr>
            <w:r/>
            <w:r>
              <w:rPr>
                <w:b w:val="0"/>
                <w:i w:val="0"/>
                <w:sz w:val="19"/>
              </w:rPr>
              <w:t>Runs before pod rollout; backward-compatible migrations only</w:t>
            </w:r>
          </w:p>
        </w:tc>
      </w:tr>
      <w:tr>
        <w:tc>
          <w:tcPr>
            <w:tcW w:type="dxa" w:w="3216"/>
            <w:shd w:val="clear" w:fill="EEF3F8"/>
          </w:tcPr>
          <w:p>
            <w:pPr>
              <w:spacing w:after="20" w:before="20"/>
            </w:pPr>
            <w:r/>
            <w:r>
              <w:rPr>
                <w:b w:val="0"/>
                <w:i w:val="0"/>
                <w:sz w:val="19"/>
              </w:rPr>
              <w:t>Configuration changes</w:t>
            </w:r>
          </w:p>
        </w:tc>
        <w:tc>
          <w:tcPr>
            <w:tcW w:type="dxa" w:w="3216"/>
            <w:shd w:val="clear" w:fill="EEF3F8"/>
          </w:tcPr>
          <w:p>
            <w:pPr>
              <w:spacing w:after="20" w:before="20"/>
            </w:pPr>
            <w:r/>
            <w:r>
              <w:rPr>
                <w:b w:val="0"/>
                <w:i w:val="0"/>
                <w:sz w:val="19"/>
              </w:rPr>
              <w:t>GitOps via ArgoCD</w:t>
            </w:r>
          </w:p>
        </w:tc>
        <w:tc>
          <w:tcPr>
            <w:tcW w:type="dxa" w:w="3216"/>
            <w:shd w:val="clear" w:fill="EEF3F8"/>
          </w:tcPr>
          <w:p>
            <w:pPr>
              <w:spacing w:after="20" w:before="20"/>
            </w:pPr>
            <w:r/>
            <w:r>
              <w:rPr>
                <w:b w:val="0"/>
                <w:i w:val="0"/>
                <w:sz w:val="19"/>
              </w:rPr>
              <w:t>Config tracked in Git; auto-applied to cluster; full audit trail of every change</w:t>
            </w:r>
          </w:p>
        </w:tc>
      </w:tr>
    </w:tbl>
    <w:p>
      <w:pPr>
        <w:spacing w:after="40"/>
      </w:pPr>
    </w:p>
    <w:p>
      <w:pPr>
        <w:spacing w:after="120" w:line="259" w:lineRule="auto"/>
      </w:pPr>
      <w:r>
        <w:rPr>
          <w:b w:val="0"/>
          <w:i w:val="0"/>
        </w:rPr>
        <w:t>Automatic rollback is triggered if health checks fail within five minutes of a production deployment. The rollback is fully automated — no human intervention is required. The operations team receives a deployment notification in both cases: successful deployment and rollback. All deployment history is tracked in ArgoCD and accessible to the client’s team at any time.</w:t>
      </w:r>
    </w:p>
    <w:p>
      <w:pPr>
        <w:pStyle w:val="Heading2"/>
        <w:spacing w:before="200" w:after="80"/>
      </w:pPr>
      <w:r>
        <w:rPr>
          <w:b/>
          <w:color w:val="2E75B6"/>
          <w:sz w:val="28"/>
        </w:rPr>
        <w:t>6.15 Observability Stack</w:t>
      </w:r>
    </w:p>
    <w:p>
      <w:pPr>
        <w:spacing w:after="120" w:line="259" w:lineRule="auto"/>
      </w:pPr>
      <w:r>
        <w:rPr>
          <w:b w:val="0"/>
          <w:i w:val="0"/>
        </w:rPr>
        <w:t>The platform ships with a fully configured observability stack covering metrics, logs, distributed traces, and alerts. All dashboards are version-controlled as Grafana JSON and deployed via Terraform — the client’s team can extend them without vendor involvement. Six pre-built operational dashboards are delivered at go-live.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Layer</w:t>
            </w:r>
          </w:p>
        </w:tc>
        <w:tc>
          <w:tcPr>
            <w:tcW w:type="dxa" w:w="3216"/>
            <w:shd w:val="clear" w:fill="1F3864"/>
          </w:tcPr>
          <w:p>
            <w:pPr>
              <w:spacing w:after="20" w:before="20"/>
            </w:pPr>
            <w:r/>
            <w:r>
              <w:rPr>
                <w:b/>
                <w:i w:val="0"/>
                <w:color w:val="FFFFFF"/>
                <w:sz w:val="19"/>
              </w:rPr>
              <w:t>Technology</w:t>
            </w:r>
          </w:p>
        </w:tc>
        <w:tc>
          <w:tcPr>
            <w:tcW w:type="dxa" w:w="3216"/>
            <w:shd w:val="clear" w:fill="1F3864"/>
          </w:tcPr>
          <w:p>
            <w:pPr>
              <w:spacing w:after="20" w:before="20"/>
            </w:pPr>
            <w:r/>
            <w:r>
              <w:rPr>
                <w:b/>
                <w:i w:val="0"/>
                <w:color w:val="FFFFFF"/>
                <w:sz w:val="19"/>
              </w:rPr>
              <w:t>What It Monitors</w:t>
            </w:r>
          </w:p>
        </w:tc>
      </w:tr>
      <w:tr>
        <w:tc>
          <w:tcPr>
            <w:tcW w:type="dxa" w:w="3216"/>
          </w:tcPr>
          <w:p>
            <w:pPr>
              <w:spacing w:after="20" w:before="20"/>
            </w:pPr>
            <w:r/>
            <w:r>
              <w:rPr>
                <w:b w:val="0"/>
                <w:i w:val="0"/>
                <w:sz w:val="19"/>
              </w:rPr>
              <w:t>Metrics</w:t>
            </w:r>
          </w:p>
        </w:tc>
        <w:tc>
          <w:tcPr>
            <w:tcW w:type="dxa" w:w="3216"/>
          </w:tcPr>
          <w:p>
            <w:pPr>
              <w:spacing w:after="20" w:before="20"/>
            </w:pPr>
            <w:r/>
            <w:r>
              <w:rPr>
                <w:b w:val="0"/>
                <w:i w:val="0"/>
                <w:sz w:val="19"/>
              </w:rPr>
              <w:t>Prometheus + Grafana</w:t>
            </w:r>
          </w:p>
        </w:tc>
        <w:tc>
          <w:tcPr>
            <w:tcW w:type="dxa" w:w="3216"/>
          </w:tcPr>
          <w:p>
            <w:pPr>
              <w:spacing w:after="20" w:before="20"/>
            </w:pPr>
            <w:r/>
            <w:r>
              <w:rPr>
                <w:b w:val="0"/>
                <w:i w:val="0"/>
                <w:sz w:val="19"/>
              </w:rPr>
              <w:t>Pod CPU/memory, request rates, error rates, DB connections, Kafka lag, queue depths</w:t>
            </w:r>
          </w:p>
        </w:tc>
      </w:tr>
      <w:tr>
        <w:tc>
          <w:tcPr>
            <w:tcW w:type="dxa" w:w="3216"/>
            <w:shd w:val="clear" w:fill="EEF3F8"/>
          </w:tcPr>
          <w:p>
            <w:pPr>
              <w:spacing w:after="20" w:before="20"/>
            </w:pPr>
            <w:r/>
            <w:r>
              <w:rPr>
                <w:b w:val="0"/>
                <w:i w:val="0"/>
                <w:sz w:val="19"/>
              </w:rPr>
              <w:t>Logs</w:t>
            </w:r>
          </w:p>
        </w:tc>
        <w:tc>
          <w:tcPr>
            <w:tcW w:type="dxa" w:w="3216"/>
            <w:shd w:val="clear" w:fill="EEF3F8"/>
          </w:tcPr>
          <w:p>
            <w:pPr>
              <w:spacing w:after="20" w:before="20"/>
            </w:pPr>
            <w:r/>
            <w:r>
              <w:rPr>
                <w:b w:val="0"/>
                <w:i w:val="0"/>
                <w:sz w:val="19"/>
              </w:rPr>
              <w:t>Loki + Grafana (or ELK)</w:t>
            </w:r>
          </w:p>
        </w:tc>
        <w:tc>
          <w:tcPr>
            <w:tcW w:type="dxa" w:w="3216"/>
            <w:shd w:val="clear" w:fill="EEF3F8"/>
          </w:tcPr>
          <w:p>
            <w:pPr>
              <w:spacing w:after="20" w:before="20"/>
            </w:pPr>
            <w:r/>
            <w:r>
              <w:rPr>
                <w:b w:val="0"/>
                <w:i w:val="0"/>
                <w:sz w:val="19"/>
              </w:rPr>
              <w:t>Structured application logs, audit logs, access logs — centralised and queryable</w:t>
            </w:r>
          </w:p>
        </w:tc>
      </w:tr>
      <w:tr>
        <w:tc>
          <w:tcPr>
            <w:tcW w:type="dxa" w:w="3216"/>
          </w:tcPr>
          <w:p>
            <w:pPr>
              <w:spacing w:after="20" w:before="20"/>
            </w:pPr>
            <w:r/>
            <w:r>
              <w:rPr>
                <w:b w:val="0"/>
                <w:i w:val="0"/>
                <w:sz w:val="19"/>
              </w:rPr>
              <w:t>Traces</w:t>
            </w:r>
          </w:p>
        </w:tc>
        <w:tc>
          <w:tcPr>
            <w:tcW w:type="dxa" w:w="3216"/>
          </w:tcPr>
          <w:p>
            <w:pPr>
              <w:spacing w:after="20" w:before="20"/>
            </w:pPr>
            <w:r/>
            <w:r>
              <w:rPr>
                <w:b w:val="0"/>
                <w:i w:val="0"/>
                <w:sz w:val="19"/>
              </w:rPr>
              <w:t>Jaeger + OpenTelemetry</w:t>
            </w:r>
          </w:p>
        </w:tc>
        <w:tc>
          <w:tcPr>
            <w:tcW w:type="dxa" w:w="3216"/>
          </w:tcPr>
          <w:p>
            <w:pPr>
              <w:spacing w:after="20" w:before="20"/>
            </w:pPr>
            <w:r/>
            <w:r>
              <w:rPr>
                <w:b w:val="0"/>
                <w:i w:val="0"/>
                <w:sz w:val="19"/>
              </w:rPr>
              <w:t>Distributed tracing across microservices; identifies latency bottlenecks per request</w:t>
            </w:r>
          </w:p>
        </w:tc>
      </w:tr>
      <w:tr>
        <w:tc>
          <w:tcPr>
            <w:tcW w:type="dxa" w:w="3216"/>
            <w:shd w:val="clear" w:fill="EEF3F8"/>
          </w:tcPr>
          <w:p>
            <w:pPr>
              <w:spacing w:after="20" w:before="20"/>
            </w:pPr>
            <w:r/>
            <w:r>
              <w:rPr>
                <w:b w:val="0"/>
                <w:i w:val="0"/>
                <w:sz w:val="19"/>
              </w:rPr>
              <w:t>Alerts</w:t>
            </w:r>
          </w:p>
        </w:tc>
        <w:tc>
          <w:tcPr>
            <w:tcW w:type="dxa" w:w="3216"/>
            <w:shd w:val="clear" w:fill="EEF3F8"/>
          </w:tcPr>
          <w:p>
            <w:pPr>
              <w:spacing w:after="20" w:before="20"/>
            </w:pPr>
            <w:r/>
            <w:r>
              <w:rPr>
                <w:b w:val="0"/>
                <w:i w:val="0"/>
                <w:sz w:val="19"/>
              </w:rPr>
              <w:t>AlertManager + client alerting destination (e.g. PagerDuty, Slack, OpsGenie)</w:t>
            </w:r>
          </w:p>
        </w:tc>
        <w:tc>
          <w:tcPr>
            <w:tcW w:type="dxa" w:w="3216"/>
            <w:shd w:val="clear" w:fill="EEF3F8"/>
          </w:tcPr>
          <w:p>
            <w:pPr>
              <w:spacing w:after="20" w:before="20"/>
            </w:pPr>
            <w:r/>
            <w:r>
              <w:rPr>
                <w:b w:val="0"/>
                <w:i w:val="0"/>
                <w:sz w:val="19"/>
              </w:rPr>
              <w:t>Threshold-based alerts routed to the client team’s preferred on-call tool — client configures the destination</w:t>
            </w:r>
          </w:p>
        </w:tc>
      </w:tr>
      <w:tr>
        <w:tc>
          <w:tcPr>
            <w:tcW w:type="dxa" w:w="3216"/>
          </w:tcPr>
          <w:p>
            <w:pPr>
              <w:spacing w:after="20" w:before="20"/>
            </w:pPr>
            <w:r/>
            <w:r>
              <w:rPr>
                <w:b w:val="0"/>
                <w:i w:val="0"/>
                <w:sz w:val="19"/>
              </w:rPr>
              <w:t>Uptime</w:t>
            </w:r>
          </w:p>
        </w:tc>
        <w:tc>
          <w:tcPr>
            <w:tcW w:type="dxa" w:w="3216"/>
          </w:tcPr>
          <w:p>
            <w:pPr>
              <w:spacing w:after="20" w:before="20"/>
            </w:pPr>
            <w:r/>
            <w:r>
              <w:rPr>
                <w:b w:val="0"/>
                <w:i w:val="0"/>
                <w:sz w:val="19"/>
              </w:rPr>
              <w:t>Blackbox Exporter</w:t>
            </w:r>
          </w:p>
        </w:tc>
        <w:tc>
          <w:tcPr>
            <w:tcW w:type="dxa" w:w="3216"/>
          </w:tcPr>
          <w:p>
            <w:pPr>
              <w:spacing w:after="20" w:before="20"/>
            </w:pPr>
            <w:r/>
            <w:r>
              <w:rPr>
                <w:b w:val="0"/>
                <w:i w:val="0"/>
                <w:sz w:val="19"/>
              </w:rPr>
              <w:t>External endpoint health checks every 30 seconds</w:t>
            </w:r>
          </w:p>
        </w:tc>
      </w:tr>
      <w:tr>
        <w:tc>
          <w:tcPr>
            <w:tcW w:type="dxa" w:w="3216"/>
            <w:shd w:val="clear" w:fill="EEF3F8"/>
          </w:tcPr>
          <w:p>
            <w:pPr>
              <w:spacing w:after="20" w:before="20"/>
            </w:pPr>
            <w:r/>
            <w:r>
              <w:rPr>
                <w:b w:val="0"/>
                <w:i w:val="0"/>
                <w:sz w:val="19"/>
              </w:rPr>
              <w:t>Health probes</w:t>
            </w:r>
          </w:p>
        </w:tc>
        <w:tc>
          <w:tcPr>
            <w:tcW w:type="dxa" w:w="3216"/>
            <w:shd w:val="clear" w:fill="EEF3F8"/>
          </w:tcPr>
          <w:p>
            <w:pPr>
              <w:spacing w:after="20" w:before="20"/>
            </w:pPr>
            <w:r/>
            <w:r>
              <w:rPr>
                <w:b w:val="0"/>
                <w:i w:val="0"/>
                <w:sz w:val="19"/>
              </w:rPr>
              <w:t>/health/live and /health/ready</w:t>
            </w:r>
          </w:p>
        </w:tc>
        <w:tc>
          <w:tcPr>
            <w:tcW w:type="dxa" w:w="3216"/>
            <w:shd w:val="clear" w:fill="EEF3F8"/>
          </w:tcPr>
          <w:p>
            <w:pPr>
              <w:spacing w:after="20" w:before="20"/>
            </w:pPr>
            <w:r/>
            <w:r>
              <w:rPr>
                <w:b w:val="0"/>
                <w:i w:val="0"/>
                <w:sz w:val="19"/>
              </w:rPr>
              <w:t>Per-service liveness and readiness probes consumed by K8s and monitoring</w:t>
            </w:r>
          </w:p>
        </w:tc>
      </w:tr>
    </w:tbl>
    <w:p>
      <w:pPr>
        <w:spacing w:after="40"/>
      </w:pPr>
    </w:p>
    <w:p>
      <w:pPr>
        <w:spacing w:after="120" w:line="259" w:lineRule="auto"/>
      </w:pPr>
      <w:r>
        <w:rPr>
          <w:b w:val="0"/>
          <w:i w:val="0"/>
        </w:rPr>
        <w:t>The six pre-built dashboards delivered at go-live cover: platform overview (all services), API gateway performance (request rates, latency percentiles by endpoint), database performance (query times, replication lag), business metrics (tickets sold per minute, payment success rate), infrastructure (node utilisation, autoscaler activity), and security (failed authentication attempts, rate limit hits, anomaly alerts).</w:t>
      </w:r>
    </w:p>
    <w:p>
      <w:pPr>
        <w:pStyle w:val="Heading2"/>
        <w:spacing w:before="200" w:after="80"/>
      </w:pPr>
      <w:r>
        <w:rPr>
          <w:b/>
          <w:color w:val="2E75B6"/>
          <w:sz w:val="28"/>
        </w:rPr>
        <w:t>6.16 Disaster Recovery</w:t>
      </w:r>
    </w:p>
    <w:p>
      <w:pPr>
        <w:spacing w:after="120" w:line="259" w:lineRule="auto"/>
      </w:pPr>
      <w:r>
        <w:rPr>
          <w:b w:val="0"/>
          <w:i w:val="0"/>
        </w:rPr>
        <w:t>The disaster recovery architecture is tiered by service criticality. Tier 1 services — the ones that must stay operational when a guest is standing at a gate — have the tightest recovery objectives. Tier 3 services — reporting and AI assistants — can tolerate longer recovery windows because their unavailability does not block revenue.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pPr>
              <w:spacing w:after="20" w:before="20"/>
            </w:pPr>
            <w:r/>
            <w:r>
              <w:rPr>
                <w:b/>
                <w:i w:val="0"/>
                <w:color w:val="FFFFFF"/>
                <w:sz w:val="19"/>
              </w:rPr>
              <w:t>Tier</w:t>
            </w:r>
          </w:p>
        </w:tc>
        <w:tc>
          <w:tcPr>
            <w:tcW w:type="dxa" w:w="1930"/>
            <w:shd w:val="clear" w:fill="1F3864"/>
          </w:tcPr>
          <w:p>
            <w:pPr>
              <w:spacing w:after="20" w:before="20"/>
            </w:pPr>
            <w:r/>
            <w:r>
              <w:rPr>
                <w:b/>
                <w:i w:val="0"/>
                <w:color w:val="FFFFFF"/>
                <w:sz w:val="19"/>
              </w:rPr>
              <w:t>Services</w:t>
            </w:r>
          </w:p>
        </w:tc>
        <w:tc>
          <w:tcPr>
            <w:tcW w:type="dxa" w:w="1930"/>
            <w:shd w:val="clear" w:fill="1F3864"/>
          </w:tcPr>
          <w:p>
            <w:pPr>
              <w:spacing w:after="20" w:before="20"/>
            </w:pPr>
            <w:r/>
            <w:r>
              <w:rPr>
                <w:b/>
                <w:i w:val="0"/>
                <w:color w:val="FFFFFF"/>
                <w:sz w:val="19"/>
              </w:rPr>
              <w:t>RPO</w:t>
            </w:r>
          </w:p>
        </w:tc>
        <w:tc>
          <w:tcPr>
            <w:tcW w:type="dxa" w:w="1930"/>
            <w:shd w:val="clear" w:fill="1F3864"/>
          </w:tcPr>
          <w:p>
            <w:pPr>
              <w:spacing w:after="20" w:before="20"/>
            </w:pPr>
            <w:r/>
            <w:r>
              <w:rPr>
                <w:b/>
                <w:i w:val="0"/>
                <w:color w:val="FFFFFF"/>
                <w:sz w:val="19"/>
              </w:rPr>
              <w:t>RTO</w:t>
            </w:r>
          </w:p>
        </w:tc>
        <w:tc>
          <w:tcPr>
            <w:tcW w:type="dxa" w:w="1930"/>
            <w:shd w:val="clear" w:fill="1F3864"/>
          </w:tcPr>
          <w:p>
            <w:pPr>
              <w:spacing w:after="20" w:before="20"/>
            </w:pPr>
            <w:r/>
            <w:r>
              <w:rPr>
                <w:b/>
                <w:i w:val="0"/>
                <w:color w:val="FFFFFF"/>
                <w:sz w:val="19"/>
              </w:rPr>
              <w:t>Backup Mechanism</w:t>
            </w:r>
          </w:p>
        </w:tc>
      </w:tr>
      <w:tr>
        <w:tc>
          <w:tcPr>
            <w:tcW w:type="dxa" w:w="1930"/>
          </w:tcPr>
          <w:p>
            <w:pPr>
              <w:spacing w:after="20" w:before="20"/>
            </w:pPr>
            <w:r/>
            <w:r>
              <w:rPr>
                <w:b w:val="0"/>
                <w:i w:val="0"/>
                <w:sz w:val="19"/>
              </w:rPr>
              <w:t>Tier 1 — Critical</w:t>
            </w:r>
          </w:p>
        </w:tc>
        <w:tc>
          <w:tcPr>
            <w:tcW w:type="dxa" w:w="1930"/>
          </w:tcPr>
          <w:p>
            <w:pPr>
              <w:spacing w:after="20" w:before="20"/>
            </w:pPr>
            <w:r/>
            <w:r>
              <w:rPr>
                <w:b w:val="0"/>
                <w:i w:val="0"/>
                <w:sz w:val="19"/>
              </w:rPr>
              <w:t>Ticketing, POS, Payments, Access Control</w:t>
            </w:r>
          </w:p>
        </w:tc>
        <w:tc>
          <w:tcPr>
            <w:tcW w:type="dxa" w:w="1930"/>
          </w:tcPr>
          <w:p>
            <w:pPr>
              <w:spacing w:after="20" w:before="20"/>
            </w:pPr>
            <w:r/>
            <w:r>
              <w:rPr>
                <w:b w:val="0"/>
                <w:i w:val="0"/>
                <w:sz w:val="19"/>
              </w:rPr>
              <w:t>15 minutes</w:t>
            </w:r>
          </w:p>
        </w:tc>
        <w:tc>
          <w:tcPr>
            <w:tcW w:type="dxa" w:w="1930"/>
          </w:tcPr>
          <w:p>
            <w:pPr>
              <w:spacing w:after="20" w:before="20"/>
            </w:pPr>
            <w:r/>
            <w:r>
              <w:rPr>
                <w:b w:val="0"/>
                <w:i w:val="0"/>
                <w:sz w:val="19"/>
              </w:rPr>
              <w:t>1 hour</w:t>
            </w:r>
          </w:p>
        </w:tc>
        <w:tc>
          <w:tcPr>
            <w:tcW w:type="dxa" w:w="1930"/>
          </w:tcPr>
          <w:p>
            <w:pPr>
              <w:spacing w:after="20" w:before="20"/>
            </w:pPr>
            <w:r/>
            <w:r>
              <w:rPr>
                <w:b w:val="0"/>
                <w:i w:val="0"/>
                <w:sz w:val="19"/>
              </w:rPr>
              <w:t>Continuous WAL archiving, multi-zone Kubernetes, Redis AOF persistence</w:t>
            </w:r>
          </w:p>
        </w:tc>
      </w:tr>
      <w:tr>
        <w:tc>
          <w:tcPr>
            <w:tcW w:type="dxa" w:w="1930"/>
            <w:shd w:val="clear" w:fill="EEF3F8"/>
          </w:tcPr>
          <w:p>
            <w:pPr>
              <w:spacing w:after="20" w:before="20"/>
            </w:pPr>
            <w:r/>
            <w:r>
              <w:rPr>
                <w:b w:val="0"/>
                <w:i w:val="0"/>
                <w:sz w:val="19"/>
              </w:rPr>
              <w:t>Tier 2 — Important</w:t>
            </w:r>
          </w:p>
        </w:tc>
        <w:tc>
          <w:tcPr>
            <w:tcW w:type="dxa" w:w="1930"/>
            <w:shd w:val="clear" w:fill="EEF3F8"/>
          </w:tcPr>
          <w:p>
            <w:pPr>
              <w:spacing w:after="20" w:before="20"/>
            </w:pPr>
            <w:r/>
            <w:r>
              <w:rPr>
                <w:b w:val="0"/>
                <w:i w:val="0"/>
                <w:sz w:val="19"/>
              </w:rPr>
              <w:t>Commerce, Finance, CRM</w:t>
            </w:r>
          </w:p>
        </w:tc>
        <w:tc>
          <w:tcPr>
            <w:tcW w:type="dxa" w:w="1930"/>
            <w:shd w:val="clear" w:fill="EEF3F8"/>
          </w:tcPr>
          <w:p>
            <w:pPr>
              <w:spacing w:after="20" w:before="20"/>
            </w:pPr>
            <w:r/>
            <w:r>
              <w:rPr>
                <w:b w:val="0"/>
                <w:i w:val="0"/>
                <w:sz w:val="19"/>
              </w:rPr>
              <w:t>1 hour</w:t>
            </w:r>
          </w:p>
        </w:tc>
        <w:tc>
          <w:tcPr>
            <w:tcW w:type="dxa" w:w="1930"/>
            <w:shd w:val="clear" w:fill="EEF3F8"/>
          </w:tcPr>
          <w:p>
            <w:pPr>
              <w:spacing w:after="20" w:before="20"/>
            </w:pPr>
            <w:r/>
            <w:r>
              <w:rPr>
                <w:b w:val="0"/>
                <w:i w:val="0"/>
                <w:sz w:val="19"/>
              </w:rPr>
              <w:t>4 hours</w:t>
            </w:r>
          </w:p>
        </w:tc>
        <w:tc>
          <w:tcPr>
            <w:tcW w:type="dxa" w:w="1930"/>
            <w:shd w:val="clear" w:fill="EEF3F8"/>
          </w:tcPr>
          <w:p>
            <w:pPr>
              <w:spacing w:after="20" w:before="20"/>
            </w:pPr>
            <w:r/>
            <w:r>
              <w:rPr>
                <w:b w:val="0"/>
                <w:i w:val="0"/>
                <w:sz w:val="19"/>
              </w:rPr>
              <w:t>Daily snapshots with WAL, read replicas, Kafka replication factor 3</w:t>
            </w:r>
          </w:p>
        </w:tc>
      </w:tr>
      <w:tr>
        <w:tc>
          <w:tcPr>
            <w:tcW w:type="dxa" w:w="1930"/>
          </w:tcPr>
          <w:p>
            <w:pPr>
              <w:spacing w:after="20" w:before="20"/>
            </w:pPr>
            <w:r/>
            <w:r>
              <w:rPr>
                <w:b w:val="0"/>
                <w:i w:val="0"/>
                <w:sz w:val="19"/>
              </w:rPr>
              <w:t>Tier 3 — Standard</w:t>
            </w:r>
          </w:p>
        </w:tc>
        <w:tc>
          <w:tcPr>
            <w:tcW w:type="dxa" w:w="1930"/>
          </w:tcPr>
          <w:p>
            <w:pPr>
              <w:spacing w:after="20" w:before="20"/>
            </w:pPr>
            <w:r/>
            <w:r>
              <w:rPr>
                <w:b w:val="0"/>
                <w:i w:val="0"/>
                <w:sz w:val="19"/>
              </w:rPr>
              <w:t>Reporting, AI assistants, Marketing</w:t>
            </w:r>
          </w:p>
        </w:tc>
        <w:tc>
          <w:tcPr>
            <w:tcW w:type="dxa" w:w="1930"/>
          </w:tcPr>
          <w:p>
            <w:pPr>
              <w:spacing w:after="20" w:before="20"/>
            </w:pPr>
            <w:r/>
            <w:r>
              <w:rPr>
                <w:b w:val="0"/>
                <w:i w:val="0"/>
                <w:sz w:val="19"/>
              </w:rPr>
              <w:t>4 hours</w:t>
            </w:r>
          </w:p>
        </w:tc>
        <w:tc>
          <w:tcPr>
            <w:tcW w:type="dxa" w:w="1930"/>
          </w:tcPr>
          <w:p>
            <w:pPr>
              <w:spacing w:after="20" w:before="20"/>
            </w:pPr>
            <w:r/>
            <w:r>
              <w:rPr>
                <w:b w:val="0"/>
                <w:i w:val="0"/>
                <w:sz w:val="19"/>
              </w:rPr>
              <w:t>8 hours</w:t>
            </w:r>
          </w:p>
        </w:tc>
        <w:tc>
          <w:tcPr>
            <w:tcW w:type="dxa" w:w="1930"/>
          </w:tcPr>
          <w:p>
            <w:pPr>
              <w:spacing w:after="20" w:before="20"/>
            </w:pPr>
            <w:r/>
            <w:r>
              <w:rPr>
                <w:b w:val="0"/>
                <w:i w:val="0"/>
                <w:sz w:val="19"/>
              </w:rPr>
              <w:t>Daily snapshots, object storage backup, rebuildable from Kafka event log</w:t>
            </w:r>
          </w:p>
        </w:tc>
      </w:tr>
    </w:tbl>
    <w:p>
      <w:pPr>
        <w:spacing w:after="40"/>
      </w:pPr>
    </w:p>
    <w:p>
      <w:pPr>
        <w:spacing w:after="80"/>
      </w:pPr>
      <w:r>
        <w:rPr>
          <w:i/>
          <w:color w:val="555555"/>
          <w:sz w:val="18"/>
        </w:rPr>
        <w:t>Figure 6.3 — Disaster Recovery Tiers: RPO and RTO by Service Criticality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Component</w:t>
            </w:r>
          </w:p>
        </w:tc>
        <w:tc>
          <w:tcPr>
            <w:tcW w:type="dxa" w:w="2412"/>
            <w:shd w:val="clear" w:fill="1F3864"/>
          </w:tcPr>
          <w:p>
            <w:pPr>
              <w:spacing w:after="20" w:before="20"/>
            </w:pPr>
            <w:r/>
            <w:r>
              <w:rPr>
                <w:b/>
                <w:i w:val="0"/>
                <w:color w:val="FFFFFF"/>
                <w:sz w:val="19"/>
              </w:rPr>
              <w:t>Backup Method</w:t>
            </w:r>
          </w:p>
        </w:tc>
        <w:tc>
          <w:tcPr>
            <w:tcW w:type="dxa" w:w="2412"/>
            <w:shd w:val="clear" w:fill="1F3864"/>
          </w:tcPr>
          <w:p>
            <w:pPr>
              <w:spacing w:after="20" w:before="20"/>
            </w:pPr>
            <w:r/>
            <w:r>
              <w:rPr>
                <w:b/>
                <w:i w:val="0"/>
                <w:color w:val="FFFFFF"/>
                <w:sz w:val="19"/>
              </w:rPr>
              <w:t>Frequency</w:t>
            </w:r>
          </w:p>
        </w:tc>
        <w:tc>
          <w:tcPr>
            <w:tcW w:type="dxa" w:w="2412"/>
            <w:shd w:val="clear" w:fill="1F3864"/>
          </w:tcPr>
          <w:p>
            <w:pPr>
              <w:spacing w:after="20" w:before="20"/>
            </w:pPr>
            <w:r/>
            <w:r>
              <w:rPr>
                <w:b/>
                <w:i w:val="0"/>
                <w:color w:val="FFFFFF"/>
                <w:sz w:val="19"/>
              </w:rPr>
              <w:t>Retention</w:t>
            </w:r>
          </w:p>
        </w:tc>
      </w:tr>
      <w:tr>
        <w:tc>
          <w:tcPr>
            <w:tcW w:type="dxa" w:w="2412"/>
          </w:tcPr>
          <w:p>
            <w:pPr>
              <w:spacing w:after="20" w:before="20"/>
            </w:pPr>
            <w:r/>
            <w:r>
              <w:rPr>
                <w:b w:val="0"/>
                <w:i w:val="0"/>
                <w:sz w:val="19"/>
              </w:rPr>
              <w:t>PostgreSQL primary</w:t>
            </w:r>
          </w:p>
        </w:tc>
        <w:tc>
          <w:tcPr>
            <w:tcW w:type="dxa" w:w="2412"/>
          </w:tcPr>
          <w:p>
            <w:pPr>
              <w:spacing w:after="20" w:before="20"/>
            </w:pPr>
            <w:r/>
            <w:r>
              <w:rPr>
                <w:b w:val="0"/>
                <w:i w:val="0"/>
                <w:sz w:val="19"/>
              </w:rPr>
              <w:t>Continuous WAL archiving + daily snapshot</w:t>
            </w:r>
          </w:p>
        </w:tc>
        <w:tc>
          <w:tcPr>
            <w:tcW w:type="dxa" w:w="2412"/>
          </w:tcPr>
          <w:p>
            <w:pPr>
              <w:spacing w:after="20" w:before="20"/>
            </w:pPr>
            <w:r/>
            <w:r>
              <w:rPr>
                <w:b w:val="0"/>
                <w:i w:val="0"/>
                <w:sz w:val="19"/>
              </w:rPr>
              <w:t>Continuous and daily</w:t>
            </w:r>
          </w:p>
        </w:tc>
        <w:tc>
          <w:tcPr>
            <w:tcW w:type="dxa" w:w="2412"/>
          </w:tcPr>
          <w:p>
            <w:pPr>
              <w:spacing w:after="20" w:before="20"/>
            </w:pPr>
            <w:r/>
            <w:r>
              <w:rPr>
                <w:b w:val="0"/>
                <w:i w:val="0"/>
                <w:sz w:val="19"/>
              </w:rPr>
              <w:t>30 days</w:t>
            </w:r>
          </w:p>
        </w:tc>
      </w:tr>
      <w:tr>
        <w:tc>
          <w:tcPr>
            <w:tcW w:type="dxa" w:w="2412"/>
            <w:shd w:val="clear" w:fill="EEF3F8"/>
          </w:tcPr>
          <w:p>
            <w:pPr>
              <w:spacing w:after="20" w:before="20"/>
            </w:pPr>
            <w:r/>
            <w:r>
              <w:rPr>
                <w:b w:val="0"/>
                <w:i w:val="0"/>
                <w:sz w:val="19"/>
              </w:rPr>
              <w:t>PostgreSQL replicas</w:t>
            </w:r>
          </w:p>
        </w:tc>
        <w:tc>
          <w:tcPr>
            <w:tcW w:type="dxa" w:w="2412"/>
            <w:shd w:val="clear" w:fill="EEF3F8"/>
          </w:tcPr>
          <w:p>
            <w:pPr>
              <w:spacing w:after="20" w:before="20"/>
            </w:pPr>
            <w:r/>
            <w:r>
              <w:rPr>
                <w:b w:val="0"/>
                <w:i w:val="0"/>
                <w:sz w:val="19"/>
              </w:rPr>
              <w:t>Synchronous replication from primary</w:t>
            </w:r>
          </w:p>
        </w:tc>
        <w:tc>
          <w:tcPr>
            <w:tcW w:type="dxa" w:w="2412"/>
            <w:shd w:val="clear" w:fill="EEF3F8"/>
          </w:tcPr>
          <w:p>
            <w:pPr>
              <w:spacing w:after="20" w:before="20"/>
            </w:pPr>
            <w:r/>
            <w:r>
              <w:rPr>
                <w:b w:val="0"/>
                <w:i w:val="0"/>
                <w:sz w:val="19"/>
              </w:rPr>
              <w:t>Continuous</w:t>
            </w:r>
          </w:p>
        </w:tc>
        <w:tc>
          <w:tcPr>
            <w:tcW w:type="dxa" w:w="2412"/>
            <w:shd w:val="clear" w:fill="EEF3F8"/>
          </w:tcPr>
          <w:p>
            <w:pPr>
              <w:spacing w:after="20" w:before="20"/>
            </w:pPr>
            <w:r/>
            <w:r>
              <w:rPr>
                <w:b w:val="0"/>
                <w:i w:val="0"/>
                <w:sz w:val="19"/>
              </w:rPr>
              <w:t>Same as primary</w:t>
            </w:r>
          </w:p>
        </w:tc>
      </w:tr>
      <w:tr>
        <w:tc>
          <w:tcPr>
            <w:tcW w:type="dxa" w:w="2412"/>
          </w:tcPr>
          <w:p>
            <w:pPr>
              <w:spacing w:after="20" w:before="20"/>
            </w:pPr>
            <w:r/>
            <w:r>
              <w:rPr>
                <w:b w:val="0"/>
                <w:i w:val="0"/>
                <w:sz w:val="19"/>
              </w:rPr>
              <w:t>Qdrant vector store</w:t>
            </w:r>
          </w:p>
        </w:tc>
        <w:tc>
          <w:tcPr>
            <w:tcW w:type="dxa" w:w="2412"/>
          </w:tcPr>
          <w:p>
            <w:pPr>
              <w:spacing w:after="20" w:before="20"/>
            </w:pPr>
            <w:r/>
            <w:r>
              <w:rPr>
                <w:b w:val="0"/>
                <w:i w:val="0"/>
                <w:sz w:val="19"/>
              </w:rPr>
              <w:t>Daily snapshot to object storage</w:t>
            </w:r>
          </w:p>
        </w:tc>
        <w:tc>
          <w:tcPr>
            <w:tcW w:type="dxa" w:w="2412"/>
          </w:tcPr>
          <w:p>
            <w:pPr>
              <w:spacing w:after="20" w:before="20"/>
            </w:pPr>
            <w:r/>
            <w:r>
              <w:rPr>
                <w:b w:val="0"/>
                <w:i w:val="0"/>
                <w:sz w:val="19"/>
              </w:rPr>
              <w:t>Daily</w:t>
            </w:r>
          </w:p>
        </w:tc>
        <w:tc>
          <w:tcPr>
            <w:tcW w:type="dxa" w:w="2412"/>
          </w:tcPr>
          <w:p>
            <w:pPr>
              <w:spacing w:after="20" w:before="20"/>
            </w:pPr>
            <w:r/>
            <w:r>
              <w:rPr>
                <w:b w:val="0"/>
                <w:i w:val="0"/>
                <w:sz w:val="19"/>
              </w:rPr>
              <w:t>14 days</w:t>
            </w:r>
          </w:p>
        </w:tc>
      </w:tr>
      <w:tr>
        <w:tc>
          <w:tcPr>
            <w:tcW w:type="dxa" w:w="2412"/>
            <w:shd w:val="clear" w:fill="EEF3F8"/>
          </w:tcPr>
          <w:p>
            <w:pPr>
              <w:spacing w:after="20" w:before="20"/>
            </w:pPr>
            <w:r/>
            <w:r>
              <w:rPr>
                <w:b w:val="0"/>
                <w:i w:val="0"/>
                <w:sz w:val="19"/>
              </w:rPr>
              <w:t>Elasticsearch</w:t>
            </w:r>
          </w:p>
        </w:tc>
        <w:tc>
          <w:tcPr>
            <w:tcW w:type="dxa" w:w="2412"/>
            <w:shd w:val="clear" w:fill="EEF3F8"/>
          </w:tcPr>
          <w:p>
            <w:pPr>
              <w:spacing w:after="20" w:before="20"/>
            </w:pPr>
            <w:r/>
            <w:r>
              <w:rPr>
                <w:b w:val="0"/>
                <w:i w:val="0"/>
                <w:sz w:val="19"/>
              </w:rPr>
              <w:t>Snapshot to object storage</w:t>
            </w:r>
          </w:p>
        </w:tc>
        <w:tc>
          <w:tcPr>
            <w:tcW w:type="dxa" w:w="2412"/>
            <w:shd w:val="clear" w:fill="EEF3F8"/>
          </w:tcPr>
          <w:p>
            <w:pPr>
              <w:spacing w:after="20" w:before="20"/>
            </w:pPr>
            <w:r/>
            <w:r>
              <w:rPr>
                <w:b w:val="0"/>
                <w:i w:val="0"/>
                <w:sz w:val="19"/>
              </w:rPr>
              <w:t>Daily</w:t>
            </w:r>
          </w:p>
        </w:tc>
        <w:tc>
          <w:tcPr>
            <w:tcW w:type="dxa" w:w="2412"/>
            <w:shd w:val="clear" w:fill="EEF3F8"/>
          </w:tcPr>
          <w:p>
            <w:pPr>
              <w:spacing w:after="20" w:before="20"/>
            </w:pPr>
            <w:r/>
            <w:r>
              <w:rPr>
                <w:b w:val="0"/>
                <w:i w:val="0"/>
                <w:sz w:val="19"/>
              </w:rPr>
              <w:t>14 days</w:t>
            </w:r>
          </w:p>
        </w:tc>
      </w:tr>
      <w:tr>
        <w:tc>
          <w:tcPr>
            <w:tcW w:type="dxa" w:w="2412"/>
          </w:tcPr>
          <w:p>
            <w:pPr>
              <w:spacing w:after="20" w:before="20"/>
            </w:pPr>
            <w:r/>
            <w:r>
              <w:rPr>
                <w:b w:val="0"/>
                <w:i w:val="0"/>
                <w:sz w:val="19"/>
              </w:rPr>
              <w:t>Redis</w:t>
            </w:r>
          </w:p>
        </w:tc>
        <w:tc>
          <w:tcPr>
            <w:tcW w:type="dxa" w:w="2412"/>
          </w:tcPr>
          <w:p>
            <w:pPr>
              <w:spacing w:after="20" w:before="20"/>
            </w:pPr>
            <w:r/>
            <w:r>
              <w:rPr>
                <w:b w:val="0"/>
                <w:i w:val="0"/>
                <w:sz w:val="19"/>
              </w:rPr>
              <w:t>RDB snapshot + AOF persistence</w:t>
            </w:r>
          </w:p>
        </w:tc>
        <w:tc>
          <w:tcPr>
            <w:tcW w:type="dxa" w:w="2412"/>
          </w:tcPr>
          <w:p>
            <w:pPr>
              <w:spacing w:after="20" w:before="20"/>
            </w:pPr>
            <w:r/>
            <w:r>
              <w:rPr>
                <w:b w:val="0"/>
                <w:i w:val="0"/>
                <w:sz w:val="19"/>
              </w:rPr>
              <w:t>Every 15 minutes</w:t>
            </w:r>
          </w:p>
        </w:tc>
        <w:tc>
          <w:tcPr>
            <w:tcW w:type="dxa" w:w="2412"/>
          </w:tcPr>
          <w:p>
            <w:pPr>
              <w:spacing w:after="20" w:before="20"/>
            </w:pPr>
            <w:r/>
            <w:r>
              <w:rPr>
                <w:b w:val="0"/>
                <w:i w:val="0"/>
                <w:sz w:val="19"/>
              </w:rPr>
              <w:t>7 days</w:t>
            </w:r>
          </w:p>
        </w:tc>
      </w:tr>
      <w:tr>
        <w:tc>
          <w:tcPr>
            <w:tcW w:type="dxa" w:w="2412"/>
            <w:shd w:val="clear" w:fill="EEF3F8"/>
          </w:tcPr>
          <w:p>
            <w:pPr>
              <w:spacing w:after="20" w:before="20"/>
            </w:pPr>
            <w:r/>
            <w:r>
              <w:rPr>
                <w:b w:val="0"/>
                <w:i w:val="0"/>
                <w:sz w:val="19"/>
              </w:rPr>
              <w:t>Kafka</w:t>
            </w:r>
          </w:p>
        </w:tc>
        <w:tc>
          <w:tcPr>
            <w:tcW w:type="dxa" w:w="2412"/>
            <w:shd w:val="clear" w:fill="EEF3F8"/>
          </w:tcPr>
          <w:p>
            <w:pPr>
              <w:spacing w:after="20" w:before="20"/>
            </w:pPr>
            <w:r/>
            <w:r>
              <w:rPr>
                <w:b w:val="0"/>
                <w:i w:val="0"/>
                <w:sz w:val="19"/>
              </w:rPr>
              <w:t>Multi-broker replication (factor 3) + topic backup</w:t>
            </w:r>
          </w:p>
        </w:tc>
        <w:tc>
          <w:tcPr>
            <w:tcW w:type="dxa" w:w="2412"/>
            <w:shd w:val="clear" w:fill="EEF3F8"/>
          </w:tcPr>
          <w:p>
            <w:pPr>
              <w:spacing w:after="20" w:before="20"/>
            </w:pPr>
            <w:r/>
            <w:r>
              <w:rPr>
                <w:b w:val="0"/>
                <w:i w:val="0"/>
                <w:sz w:val="19"/>
              </w:rPr>
              <w:t>Continuous</w:t>
            </w:r>
          </w:p>
        </w:tc>
        <w:tc>
          <w:tcPr>
            <w:tcW w:type="dxa" w:w="2412"/>
            <w:shd w:val="clear" w:fill="EEF3F8"/>
          </w:tcPr>
          <w:p>
            <w:pPr>
              <w:spacing w:after="20" w:before="20"/>
            </w:pPr>
            <w:r/>
            <w:r>
              <w:rPr>
                <w:b w:val="0"/>
                <w:i w:val="0"/>
                <w:sz w:val="19"/>
              </w:rPr>
              <w:t>7 days</w:t>
            </w:r>
          </w:p>
        </w:tc>
      </w:tr>
      <w:tr>
        <w:tc>
          <w:tcPr>
            <w:tcW w:type="dxa" w:w="2412"/>
          </w:tcPr>
          <w:p>
            <w:pPr>
              <w:spacing w:after="20" w:before="20"/>
            </w:pPr>
            <w:r/>
            <w:r>
              <w:rPr>
                <w:b w:val="0"/>
                <w:i w:val="0"/>
                <w:sz w:val="19"/>
              </w:rPr>
              <w:t>Object storage</w:t>
            </w:r>
          </w:p>
        </w:tc>
        <w:tc>
          <w:tcPr>
            <w:tcW w:type="dxa" w:w="2412"/>
          </w:tcPr>
          <w:p>
            <w:pPr>
              <w:spacing w:after="20" w:before="20"/>
            </w:pPr>
            <w:r/>
            <w:r>
              <w:rPr>
                <w:b w:val="0"/>
                <w:i w:val="0"/>
                <w:sz w:val="19"/>
              </w:rPr>
              <w:t>Cross-region replication</w:t>
            </w:r>
          </w:p>
        </w:tc>
        <w:tc>
          <w:tcPr>
            <w:tcW w:type="dxa" w:w="2412"/>
          </w:tcPr>
          <w:p>
            <w:pPr>
              <w:spacing w:after="20" w:before="20"/>
            </w:pPr>
            <w:r/>
            <w:r>
              <w:rPr>
                <w:b w:val="0"/>
                <w:i w:val="0"/>
                <w:sz w:val="19"/>
              </w:rPr>
              <w:t>Continuous</w:t>
            </w:r>
          </w:p>
        </w:tc>
        <w:tc>
          <w:tcPr>
            <w:tcW w:type="dxa" w:w="2412"/>
          </w:tcPr>
          <w:p>
            <w:pPr>
              <w:spacing w:after="20" w:before="20"/>
            </w:pPr>
            <w:r/>
            <w:r>
              <w:rPr>
                <w:b w:val="0"/>
                <w:i w:val="0"/>
                <w:sz w:val="19"/>
              </w:rPr>
              <w:t>90 days</w:t>
            </w:r>
          </w:p>
        </w:tc>
      </w:tr>
      <w:tr>
        <w:tc>
          <w:tcPr>
            <w:tcW w:type="dxa" w:w="2412"/>
            <w:shd w:val="clear" w:fill="EEF3F8"/>
          </w:tcPr>
          <w:p>
            <w:pPr>
              <w:spacing w:after="20" w:before="20"/>
            </w:pPr>
            <w:r/>
            <w:r>
              <w:rPr>
                <w:b w:val="0"/>
                <w:i w:val="0"/>
                <w:sz w:val="19"/>
              </w:rPr>
              <w:t>Kubernetes configuration</w:t>
            </w:r>
          </w:p>
        </w:tc>
        <w:tc>
          <w:tcPr>
            <w:tcW w:type="dxa" w:w="2412"/>
            <w:shd w:val="clear" w:fill="EEF3F8"/>
          </w:tcPr>
          <w:p>
            <w:pPr>
              <w:spacing w:after="20" w:before="20"/>
            </w:pPr>
            <w:r/>
            <w:r>
              <w:rPr>
                <w:b w:val="0"/>
                <w:i w:val="0"/>
                <w:sz w:val="19"/>
              </w:rPr>
              <w:t>GitOps via ArgoCD — all config in Git</w:t>
            </w:r>
          </w:p>
        </w:tc>
        <w:tc>
          <w:tcPr>
            <w:tcW w:type="dxa" w:w="2412"/>
            <w:shd w:val="clear" w:fill="EEF3F8"/>
          </w:tcPr>
          <w:p>
            <w:pPr>
              <w:spacing w:after="20" w:before="20"/>
            </w:pPr>
            <w:r/>
            <w:r>
              <w:rPr>
                <w:b w:val="0"/>
                <w:i w:val="0"/>
                <w:sz w:val="19"/>
              </w:rPr>
              <w:t>Every commit</w:t>
            </w:r>
          </w:p>
        </w:tc>
        <w:tc>
          <w:tcPr>
            <w:tcW w:type="dxa" w:w="2412"/>
            <w:shd w:val="clear" w:fill="EEF3F8"/>
          </w:tcPr>
          <w:p>
            <w:pPr>
              <w:spacing w:after="20" w:before="20"/>
            </w:pPr>
            <w:r/>
            <w:r>
              <w:rPr>
                <w:b w:val="0"/>
                <w:i w:val="0"/>
                <w:sz w:val="19"/>
              </w:rPr>
              <w:t>Indefinite</w:t>
            </w:r>
          </w:p>
        </w:tc>
      </w:tr>
    </w:tbl>
    <w:p>
      <w:pPr>
        <w:spacing w:after="40"/>
      </w:pPr>
    </w:p>
    <w:p>
      <w:pPr>
        <w:spacing w:after="120" w:line="259" w:lineRule="auto"/>
      </w:pPr>
      <w:r>
        <w:rPr>
          <w:b w:val="0"/>
          <w:i w:val="0"/>
        </w:rPr>
        <w:t>DR documentation delivered at handover covers a runbook per component (PostgreSQL failover, Redis cluster recovery, Kafka broker replacement), a full platform recovery procedure specifying the order of operations for bringing all services up from backup, a DR test schedule recommendation (quarterly full DR drill), and RTO/RPO validation test results conducted in pre-production before the go-live gate.</w:t>
      </w:r>
    </w:p>
    <w:p>
      <w:pPr>
        <w:pStyle w:val="Heading2"/>
        <w:spacing w:before="200" w:after="80"/>
      </w:pPr>
      <w:r>
        <w:rPr>
          <w:b/>
          <w:color w:val="2E75B6"/>
          <w:sz w:val="28"/>
        </w:rPr>
        <w:t>6.17 Infrastructure Handover Package</w:t>
      </w:r>
    </w:p>
    <w:p>
      <w:pPr>
        <w:spacing w:after="120" w:line="259" w:lineRule="auto"/>
      </w:pPr>
      <w:r>
        <w:rPr>
          <w:b w:val="0"/>
          <w:i w:val="0"/>
        </w:rPr>
        <w:t>The infrastructure handover package is the complete set of artefacts the client needs to operate the platform independently from month one of the Hypercare period. Nothing is withheld. Nothing requires ongoing vendor involvement to use.</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Deliverable</w:t>
            </w:r>
          </w:p>
        </w:tc>
        <w:tc>
          <w:tcPr>
            <w:tcW w:type="dxa" w:w="4824"/>
            <w:shd w:val="clear" w:fill="1F3864"/>
          </w:tcPr>
          <w:p>
            <w:pPr>
              <w:spacing w:after="20" w:before="20"/>
            </w:pPr>
            <w:r/>
            <w:r>
              <w:rPr>
                <w:b/>
                <w:i w:val="0"/>
                <w:color w:val="FFFFFF"/>
                <w:sz w:val="19"/>
              </w:rPr>
              <w:t>Format</w:t>
            </w:r>
          </w:p>
        </w:tc>
      </w:tr>
      <w:tr>
        <w:tc>
          <w:tcPr>
            <w:tcW w:type="dxa" w:w="4824"/>
          </w:tcPr>
          <w:p>
            <w:pPr>
              <w:spacing w:after="20" w:before="20"/>
            </w:pPr>
            <w:r/>
            <w:r>
              <w:rPr>
                <w:b w:val="0"/>
                <w:i w:val="0"/>
                <w:sz w:val="19"/>
              </w:rPr>
              <w:t>Terraform modules (all cloud targets)</w:t>
            </w:r>
          </w:p>
        </w:tc>
        <w:tc>
          <w:tcPr>
            <w:tcW w:type="dxa" w:w="4824"/>
          </w:tcPr>
          <w:p>
            <w:pPr>
              <w:spacing w:after="20" w:before="20"/>
            </w:pPr>
            <w:r/>
            <w:r>
              <w:rPr>
                <w:b w:val="0"/>
                <w:i w:val="0"/>
                <w:sz w:val="19"/>
              </w:rPr>
              <w:t>HCL — version-controlled in client repository</w:t>
            </w:r>
          </w:p>
        </w:tc>
      </w:tr>
      <w:tr>
        <w:tc>
          <w:tcPr>
            <w:tcW w:type="dxa" w:w="4824"/>
            <w:shd w:val="clear" w:fill="EEF3F8"/>
          </w:tcPr>
          <w:p>
            <w:pPr>
              <w:spacing w:after="20" w:before="20"/>
            </w:pPr>
            <w:r/>
            <w:r>
              <w:rPr>
                <w:b w:val="0"/>
                <w:i w:val="0"/>
                <w:sz w:val="19"/>
              </w:rPr>
              <w:t>Helm charts (all platform services)</w:t>
            </w:r>
          </w:p>
        </w:tc>
        <w:tc>
          <w:tcPr>
            <w:tcW w:type="dxa" w:w="4824"/>
            <w:shd w:val="clear" w:fill="EEF3F8"/>
          </w:tcPr>
          <w:p>
            <w:pPr>
              <w:spacing w:after="20" w:before="20"/>
            </w:pPr>
            <w:r/>
            <w:r>
              <w:rPr>
                <w:b w:val="0"/>
                <w:i w:val="0"/>
                <w:sz w:val="19"/>
              </w:rPr>
              <w:t>YAML — version-controlled in client repository</w:t>
            </w:r>
          </w:p>
        </w:tc>
      </w:tr>
      <w:tr>
        <w:tc>
          <w:tcPr>
            <w:tcW w:type="dxa" w:w="4824"/>
          </w:tcPr>
          <w:p>
            <w:pPr>
              <w:spacing w:after="20" w:before="20"/>
            </w:pPr>
            <w:r/>
            <w:r>
              <w:rPr>
                <w:b w:val="0"/>
                <w:i w:val="0"/>
                <w:sz w:val="19"/>
              </w:rPr>
              <w:t>Environment configuration overlays</w:t>
            </w:r>
          </w:p>
        </w:tc>
        <w:tc>
          <w:tcPr>
            <w:tcW w:type="dxa" w:w="4824"/>
          </w:tcPr>
          <w:p>
            <w:pPr>
              <w:spacing w:after="20" w:before="20"/>
            </w:pPr>
            <w:r/>
            <w:r>
              <w:rPr>
                <w:b w:val="0"/>
                <w:i w:val="0"/>
                <w:sz w:val="19"/>
              </w:rPr>
              <w:t>YAML — dev, pre-prod, and production variants</w:t>
            </w:r>
          </w:p>
        </w:tc>
      </w:tr>
      <w:tr>
        <w:tc>
          <w:tcPr>
            <w:tcW w:type="dxa" w:w="4824"/>
            <w:shd w:val="clear" w:fill="EEF3F8"/>
          </w:tcPr>
          <w:p>
            <w:pPr>
              <w:spacing w:after="20" w:before="20"/>
            </w:pPr>
            <w:r/>
            <w:r>
              <w:rPr>
                <w:b w:val="0"/>
                <w:i w:val="0"/>
                <w:sz w:val="19"/>
              </w:rPr>
              <w:t>CI/CD pipeline definitions</w:t>
            </w:r>
          </w:p>
        </w:tc>
        <w:tc>
          <w:tcPr>
            <w:tcW w:type="dxa" w:w="4824"/>
            <w:shd w:val="clear" w:fill="EEF3F8"/>
          </w:tcPr>
          <w:p>
            <w:pPr>
              <w:spacing w:after="20" w:before="20"/>
            </w:pPr>
            <w:r/>
            <w:r>
              <w:rPr>
                <w:b w:val="0"/>
                <w:i w:val="0"/>
                <w:sz w:val="19"/>
              </w:rPr>
              <w:t>GitHub Actions or GitLab CI YAML — ready to use</w:t>
            </w:r>
          </w:p>
        </w:tc>
      </w:tr>
      <w:tr>
        <w:tc>
          <w:tcPr>
            <w:tcW w:type="dxa" w:w="4824"/>
          </w:tcPr>
          <w:p>
            <w:pPr>
              <w:spacing w:after="20" w:before="20"/>
            </w:pPr>
            <w:r/>
            <w:r>
              <w:rPr>
                <w:b w:val="0"/>
                <w:i w:val="0"/>
                <w:sz w:val="19"/>
              </w:rPr>
              <w:t>Grafana dashboards (6 pre-built)</w:t>
            </w:r>
          </w:p>
        </w:tc>
        <w:tc>
          <w:tcPr>
            <w:tcW w:type="dxa" w:w="4824"/>
          </w:tcPr>
          <w:p>
            <w:pPr>
              <w:spacing w:after="20" w:before="20"/>
            </w:pPr>
            <w:r/>
            <w:r>
              <w:rPr>
                <w:b w:val="0"/>
                <w:i w:val="0"/>
                <w:sz w:val="19"/>
              </w:rPr>
              <w:t>JSON — deployed via Terraform; client-extensible</w:t>
            </w:r>
          </w:p>
        </w:tc>
      </w:tr>
      <w:tr>
        <w:tc>
          <w:tcPr>
            <w:tcW w:type="dxa" w:w="4824"/>
            <w:shd w:val="clear" w:fill="EEF3F8"/>
          </w:tcPr>
          <w:p>
            <w:pPr>
              <w:spacing w:after="20" w:before="20"/>
            </w:pPr>
            <w:r/>
            <w:r>
              <w:rPr>
                <w:b w:val="0"/>
                <w:i w:val="0"/>
                <w:sz w:val="19"/>
              </w:rPr>
              <w:t>Prometheus alert rules</w:t>
            </w:r>
          </w:p>
        </w:tc>
        <w:tc>
          <w:tcPr>
            <w:tcW w:type="dxa" w:w="4824"/>
            <w:shd w:val="clear" w:fill="EEF3F8"/>
          </w:tcPr>
          <w:p>
            <w:pPr>
              <w:spacing w:after="20" w:before="20"/>
            </w:pPr>
            <w:r/>
            <w:r>
              <w:rPr>
                <w:b w:val="0"/>
                <w:i w:val="0"/>
                <w:sz w:val="19"/>
              </w:rPr>
              <w:t>YAML — threshold-based; tunable by client team</w:t>
            </w:r>
          </w:p>
        </w:tc>
      </w:tr>
      <w:tr>
        <w:tc>
          <w:tcPr>
            <w:tcW w:type="dxa" w:w="4824"/>
          </w:tcPr>
          <w:p>
            <w:pPr>
              <w:spacing w:after="20" w:before="20"/>
            </w:pPr>
            <w:r/>
            <w:r>
              <w:rPr>
                <w:b w:val="0"/>
                <w:i w:val="0"/>
                <w:sz w:val="19"/>
              </w:rPr>
              <w:t>DR runbooks (per component)</w:t>
            </w:r>
          </w:p>
        </w:tc>
        <w:tc>
          <w:tcPr>
            <w:tcW w:type="dxa" w:w="4824"/>
          </w:tcPr>
          <w:p>
            <w:pPr>
              <w:spacing w:after="20" w:before="20"/>
            </w:pPr>
            <w:r/>
            <w:r>
              <w:rPr>
                <w:b w:val="0"/>
                <w:i w:val="0"/>
                <w:sz w:val="19"/>
              </w:rPr>
              <w:t>Markdown — one runbook per component with tested procedures</w:t>
            </w:r>
          </w:p>
        </w:tc>
      </w:tr>
      <w:tr>
        <w:tc>
          <w:tcPr>
            <w:tcW w:type="dxa" w:w="4824"/>
            <w:shd w:val="clear" w:fill="EEF3F8"/>
          </w:tcPr>
          <w:p>
            <w:pPr>
              <w:spacing w:after="20" w:before="20"/>
            </w:pPr>
            <w:r/>
            <w:r>
              <w:rPr>
                <w:b w:val="0"/>
                <w:i w:val="0"/>
                <w:sz w:val="19"/>
              </w:rPr>
              <w:t>Infrastructure sizing guide</w:t>
            </w:r>
          </w:p>
        </w:tc>
        <w:tc>
          <w:tcPr>
            <w:tcW w:type="dxa" w:w="4824"/>
            <w:shd w:val="clear" w:fill="EEF3F8"/>
          </w:tcPr>
          <w:p>
            <w:pPr>
              <w:spacing w:after="20" w:before="20"/>
            </w:pPr>
            <w:r/>
            <w:r>
              <w:rPr>
                <w:b w:val="0"/>
                <w:i w:val="0"/>
                <w:sz w:val="19"/>
              </w:rPr>
              <w:t>Markdown — Phase 1 baseline with Phase 2 and 3 scaling guidance</w:t>
            </w:r>
          </w:p>
        </w:tc>
      </w:tr>
      <w:tr>
        <w:tc>
          <w:tcPr>
            <w:tcW w:type="dxa" w:w="4824"/>
          </w:tcPr>
          <w:p>
            <w:pPr>
              <w:spacing w:after="20" w:before="20"/>
            </w:pPr>
            <w:r/>
            <w:r>
              <w:rPr>
                <w:b w:val="0"/>
                <w:i w:val="0"/>
                <w:sz w:val="19"/>
              </w:rPr>
              <w:t>Secret management setup guide</w:t>
            </w:r>
          </w:p>
        </w:tc>
        <w:tc>
          <w:tcPr>
            <w:tcW w:type="dxa" w:w="4824"/>
          </w:tcPr>
          <w:p>
            <w:pPr>
              <w:spacing w:after="20" w:before="20"/>
            </w:pPr>
            <w:r/>
            <w:r>
              <w:rPr>
                <w:b w:val="0"/>
                <w:i w:val="0"/>
                <w:sz w:val="19"/>
              </w:rPr>
              <w:t>Markdown — HashiCorp Vault OSS or cloud-native KMS (AWS Secrets Manager / Azure Key Vault / GCP Secret Manager)</w:t>
            </w:r>
          </w:p>
        </w:tc>
      </w:tr>
      <w:tr>
        <w:tc>
          <w:tcPr>
            <w:tcW w:type="dxa" w:w="4824"/>
            <w:shd w:val="clear" w:fill="EEF3F8"/>
          </w:tcPr>
          <w:p>
            <w:pPr>
              <w:spacing w:after="20" w:before="20"/>
            </w:pPr>
            <w:r/>
            <w:r>
              <w:rPr>
                <w:b w:val="0"/>
                <w:i w:val="0"/>
                <w:sz w:val="19"/>
              </w:rPr>
              <w:t>Network and deployment architecture diagrams</w:t>
            </w:r>
          </w:p>
        </w:tc>
        <w:tc>
          <w:tcPr>
            <w:tcW w:type="dxa" w:w="4824"/>
            <w:shd w:val="clear" w:fill="EEF3F8"/>
          </w:tcPr>
          <w:p>
            <w:pPr>
              <w:spacing w:after="20" w:before="20"/>
            </w:pPr>
            <w:r/>
            <w:r>
              <w:rPr>
                <w:b w:val="0"/>
                <w:i w:val="0"/>
                <w:sz w:val="19"/>
              </w:rPr>
              <w:t>Draw.io and PDF — for client documentation and audits</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Operational independence is the definition of done</w:t>
            </w:r>
            <w:r>
              <w:rPr>
                <w:b/>
                <w:i w:val="0"/>
                <w:color w:val="FFFFFF"/>
                <w:sz w:val="19"/>
              </w:rPr>
              <w:t xml:space="preserve"> The handover package is not a courtesy — it is the contractual definition of project completion. The client’s infrastructure and DevOps team should be able to provision a new environment, deploy a new service version, respond to an incident, and recover from a failure without contacting Softlabs Group. If they cannot do that from the delivered artefacts, the handover is not complete.</w:t>
            </w:r>
          </w:p>
        </w:tc>
      </w:tr>
    </w:tbl>
    <w:p>
      <w:pPr>
        <w:spacing w:after="40"/>
      </w:pPr>
    </w:p>
    <w:p>
      <w:pPr>
        <w:spacing w:after="120" w:line="259" w:lineRule="auto"/>
      </w:pPr>
      <w:r>
        <w:rPr>
          <w:b w:val="0"/>
          <w:i w:val="0"/>
        </w:rPr>
        <w:t>Miracle Star Trading L.L.C. | Confidential | Page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