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Dev03 Local Development Environment</w:t>
      </w:r>
    </w:p>
    <w:p>
      <w:pPr>
        <w:pStyle w:val="BodyText"/>
      </w:pPr>
      <w:r>
        <w:rPr>
          <w:iCs/>
          <w:i/>
        </w:rPr>
        <w:t xml:space="preserve">Figure 3.1 — Local Development Stack: Containerised Infrastructure, Host-Run Services and Clients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HOST["Developer machine — run on host"]</w:t>
      </w:r>
      <w:r>
        <w:br/>
      </w:r>
      <w:r>
        <w:rPr>
          <w:rStyle w:val="VerbatimChar"/>
        </w:rPr>
        <w:t xml:space="preserve">        SVCS[.NET services&lt;br/&gt;dotnet run]</w:t>
      </w:r>
      <w:r>
        <w:br/>
      </w:r>
      <w:r>
        <w:rPr>
          <w:rStyle w:val="VerbatimChar"/>
        </w:rPr>
        <w:t xml:space="preserve">        PY[Python services&lt;br/&gt;uvicorn]</w:t>
      </w:r>
      <w:r>
        <w:br/>
      </w:r>
      <w:r>
        <w:rPr>
          <w:rStyle w:val="VerbatimChar"/>
        </w:rPr>
        <w:t xml:space="preserve">        WEBAPP[tais-web&lt;br/&gt;Vite dev server]</w:t>
      </w:r>
      <w:r>
        <w:br/>
      </w:r>
      <w:r>
        <w:rPr>
          <w:rStyle w:val="VerbatimChar"/>
        </w:rPr>
        <w:t xml:space="preserve">        EDGEAPP[tais-edge&lt;br/&gt;Metro / Electron]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DOCKER["Docker Compose — infra only"]</w:t>
      </w:r>
      <w:r>
        <w:br/>
      </w:r>
      <w:r>
        <w:rPr>
          <w:rStyle w:val="VerbatimChar"/>
        </w:rPr>
        <w:t xml:space="preserve">        PG[(PostgreSQL 16&lt;br/&gt;RLS enabled)]</w:t>
      </w:r>
      <w:r>
        <w:br/>
      </w:r>
      <w:r>
        <w:rPr>
          <w:rStyle w:val="VerbatimChar"/>
        </w:rPr>
        <w:t xml:space="preserve">        RD[(Redis 7)]</w:t>
      </w:r>
      <w:r>
        <w:br/>
      </w:r>
      <w:r>
        <w:rPr>
          <w:rStyle w:val="VerbatimChar"/>
        </w:rPr>
        <w:t xml:space="preserve">        KF[Kafka]</w:t>
      </w:r>
      <w:r>
        <w:br/>
      </w:r>
      <w:r>
        <w:rPr>
          <w:rStyle w:val="VerbatimChar"/>
        </w:rPr>
        <w:t xml:space="preserve">        QD[(Qdrant)]</w:t>
      </w:r>
      <w:r>
        <w:br/>
      </w:r>
      <w:r>
        <w:rPr>
          <w:rStyle w:val="VerbatimChar"/>
        </w:rPr>
        <w:t xml:space="preserve">        ES[(Elasticsearch)]</w:t>
      </w:r>
      <w:r>
        <w:br/>
      </w:r>
      <w:r>
        <w:rPr>
          <w:rStyle w:val="VerbatimChar"/>
        </w:rPr>
        <w:t xml:space="preserve">        MN[MinIO]</w:t>
      </w:r>
      <w:r>
        <w:br/>
      </w:r>
      <w:r>
        <w:rPr>
          <w:rStyle w:val="VerbatimChar"/>
        </w:rPr>
        <w:t xml:space="preserve">        MH[Mailpit]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SVCS --&gt; PG</w:t>
      </w:r>
      <w:r>
        <w:br/>
      </w:r>
      <w:r>
        <w:rPr>
          <w:rStyle w:val="VerbatimChar"/>
        </w:rPr>
        <w:t xml:space="preserve">    SVCS --&gt; RD</w:t>
      </w:r>
      <w:r>
        <w:br/>
      </w:r>
      <w:r>
        <w:rPr>
          <w:rStyle w:val="VerbatimChar"/>
        </w:rPr>
        <w:t xml:space="preserve">    SVCS --&gt; KF</w:t>
      </w:r>
      <w:r>
        <w:br/>
      </w:r>
      <w:r>
        <w:rPr>
          <w:rStyle w:val="VerbatimChar"/>
        </w:rPr>
        <w:t xml:space="preserve">    PY --&gt; PG</w:t>
      </w:r>
      <w:r>
        <w:br/>
      </w:r>
      <w:r>
        <w:rPr>
          <w:rStyle w:val="VerbatimChar"/>
        </w:rPr>
        <w:t xml:space="preserve">    PY --&gt; QD</w:t>
      </w:r>
      <w:r>
        <w:br/>
      </w:r>
      <w:r>
        <w:rPr>
          <w:rStyle w:val="VerbatimChar"/>
        </w:rPr>
        <w:t xml:space="preserve">    WEBAPP --&gt; SVCS</w:t>
      </w:r>
      <w:r>
        <w:br/>
      </w:r>
      <w:r>
        <w:rPr>
          <w:rStyle w:val="VerbatimChar"/>
        </w:rPr>
        <w:t xml:space="preserve">    EDGEAPP --&gt; SVCS</w:t>
      </w:r>
    </w:p>
    <w:bookmarkStart w:id="32" w:name="local-development-environment"/>
    <w:p>
      <w:pPr>
        <w:pStyle w:val="Heading1"/>
      </w:pPr>
      <w:r>
        <w:t xml:space="preserve">3. Local Development Environment</w:t>
      </w:r>
    </w:p>
    <w:bookmarkStart w:id="20" w:name="overview"/>
    <w:p>
      <w:pPr>
        <w:pStyle w:val="Heading2"/>
      </w:pPr>
      <w:r>
        <w:t xml:space="preserve">3.1 Overview</w:t>
      </w:r>
    </w:p>
    <w:p>
      <w:pPr>
        <w:pStyle w:val="FirstParagraph"/>
      </w:pPr>
      <w:r>
        <w:t xml:space="preserve">The local environment runs infrastructure in containers and application code on the host. Services are not containerised locally, because container rebuild cycles destroy the debugging and hot-reload experience that makes day-to-day development tolerable. Containers are how the platform is deployed; they are not how it is developed.</w:t>
      </w:r>
    </w:p>
    <w:p>
      <w:pPr>
        <w:pStyle w:val="BodyText"/>
      </w:pPr>
      <w:r>
        <w:t xml:space="preserve">The target is a working stack in thirty minutes on a clean machine. If the procedure below takes longer, the procedure is wrong and should be corrected — do not work around it locally and leave the next engineer to discover the same problem.</w:t>
      </w:r>
    </w:p>
    <w:p>
      <w:pPr>
        <w:pStyle w:val="BodyText"/>
      </w:pPr>
      <w:r>
        <w:t xml:space="preserve">Prerequisites and pinned tool versions are listed in Dev01, section 1.5. Install those first.</w:t>
      </w:r>
    </w:p>
    <w:bookmarkEnd w:id="20"/>
    <w:bookmarkStart w:id="21" w:name="infrastructure-stack"/>
    <w:p>
      <w:pPr>
        <w:pStyle w:val="Heading2"/>
      </w:pPr>
      <w:r>
        <w:t xml:space="preserve">3.2 Infrastructure Stack</w:t>
      </w:r>
    </w:p>
    <w:p>
      <w:pPr>
        <w:pStyle w:val="FirstParagraph"/>
      </w:pPr>
      <w:r>
        <w:t xml:space="preserve">All infrastructure is defined in</w:t>
      </w:r>
      <w:r>
        <w:t xml:space="preserve"> </w:t>
      </w:r>
      <w:r>
        <w:rPr>
          <w:rStyle w:val="VerbatimChar"/>
        </w:rPr>
        <w:t xml:space="preserve">tais-backend/infra/compose/docker-compose.yml</w:t>
      </w:r>
      <w:r>
        <w:t xml:space="preserve">. It is a development-only definition and does not mirror production topology; production provisioning is in</w:t>
      </w:r>
      <w:r>
        <w:t xml:space="preserve"> </w:t>
      </w:r>
      <w:r>
        <w:rPr>
          <w:rStyle w:val="VerbatimChar"/>
        </w:rPr>
        <w:t xml:space="preserve">infra/terraform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of record, Row-Level Security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Cache, distributed locks,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redpandadata/redpanda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backbone, Kafka API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qdrant/qdrant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store for AI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elasticsearch:8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and guest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minio/minio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9000, 9001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object storage for media and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Mailpit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axllent/mailpit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outbound email; nothing leaves the machine</w:t>
            </w:r>
          </w:p>
        </w:tc>
      </w:tr>
    </w:tbl>
    <w:p>
      <w:pPr>
        <w:pStyle w:val="BodyText"/>
      </w:pPr>
      <w:r>
        <w:t xml:space="preserve">Redpanda is used locally in place of Kafka because it starts in seconds without a coordination service and speaks the same protocol. Production uses managed Kafka. Application code sees no difference; do not use Redpanda-specific administrative APIs.</w:t>
      </w:r>
    </w:p>
    <w:p>
      <w:pPr>
        <w:pStyle w:val="BodyText"/>
      </w:pPr>
      <w:r>
        <w:t xml:space="preserve">Start and stop the stack with: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up        </w:t>
      </w:r>
      <w:r>
        <w:rPr>
          <w:rStyle w:val="CommentTok"/>
        </w:rPr>
        <w:t xml:space="preserve"># start all infrastructure, wait for health checks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down      </w:t>
      </w:r>
      <w:r>
        <w:rPr>
          <w:rStyle w:val="CommentTok"/>
        </w:rPr>
        <w:t xml:space="preserve"># stop, preserving volumes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reset     </w:t>
      </w:r>
      <w:r>
        <w:rPr>
          <w:rStyle w:val="CommentTok"/>
        </w:rPr>
        <w:t xml:space="preserve"># stop and destroy volumes — full clean slate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     </w:t>
      </w:r>
      <w:r>
        <w:rPr>
          <w:rStyle w:val="CommentTok"/>
        </w:rPr>
        <w:t xml:space="preserve"># tail all infrastructure logs</w:t>
      </w:r>
    </w:p>
    <w:bookmarkEnd w:id="21"/>
    <w:bookmarkStart w:id="22" w:name="configuration"/>
    <w:p>
      <w:pPr>
        <w:pStyle w:val="Heading2"/>
      </w:pPr>
      <w:r>
        <w:t xml:space="preserve">3.3 Configuration</w:t>
      </w:r>
    </w:p>
    <w:p>
      <w:pPr>
        <w:pStyle w:val="FirstParagraph"/>
      </w:pPr>
      <w:r>
        <w:t xml:space="preserve">Every repository ships a committed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Copy it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on first setup. The example file contains complete, working, non-production values — it is not a list of placeholder names to be guessed at.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rPr>
          <w:bCs/>
          <w:b/>
        </w:rPr>
        <w:t xml:space="preserve">No real credential is ever committed, and no local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is ever committed.</w:t>
      </w:r>
      <w:r>
        <w:t xml:space="preserve"> </w:t>
      </w:r>
      <w:r>
        <w:t xml:space="preserve">Both repositories exclude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and secret scanning runs on every push. Credentials for third-party sandboxes — payment gateways, messaging providers, identity providers — are issued individually from the secrets store and pasted into the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by the engineer who needs them. They are not shared over chat.</w:t>
      </w:r>
    </w:p>
    <w:p>
      <w:pPr>
        <w:pStyle w:val="BodyText"/>
      </w:pPr>
      <w:r>
        <w:t xml:space="preserve">Where an integration has no usable sandbox, the platform’s integration layer provides a local stub, enabled with</w:t>
      </w:r>
      <w:r>
        <w:t xml:space="preserve"> </w:t>
      </w:r>
      <w:r>
        <w:rPr>
          <w:rStyle w:val="VerbatimChar"/>
        </w:rPr>
        <w:t xml:space="preserve">TAIS_INTEGRATION_MODE=stub</w:t>
      </w:r>
      <w:r>
        <w:t xml:space="preserve">. Dev13b covers the equivalent mechanism for hardware.</w:t>
      </w:r>
    </w:p>
    <w:bookmarkEnd w:id="22"/>
    <w:bookmarkStart w:id="23" w:name="database-and-seed-data"/>
    <w:p>
      <w:pPr>
        <w:pStyle w:val="Heading2"/>
      </w:pPr>
      <w:r>
        <w:t xml:space="preserve">3.4 Database and Seed Data</w:t>
      </w:r>
    </w:p>
    <w:p>
      <w:pPr>
        <w:pStyle w:val="FirstParagraph"/>
      </w:pPr>
      <w:r>
        <w:t xml:space="preserve">Run migrations and seed in that order: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migrate   </w:t>
      </w:r>
      <w:r>
        <w:rPr>
          <w:rStyle w:val="CommentTok"/>
        </w:rPr>
        <w:t xml:space="preserve"># applies all pending migrations across every service schema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      </w:t>
      </w:r>
      <w:r>
        <w:rPr>
          <w:rStyle w:val="CommentTok"/>
        </w:rPr>
        <w:t xml:space="preserve"># loads demonstration tenants and reference data</w:t>
      </w:r>
    </w:p>
    <w:p>
      <w:pPr>
        <w:pStyle w:val="FirstParagraph"/>
      </w:pPr>
      <w:r>
        <w:t xml:space="preserve">Each service group owns a schema in a single local database. In production the same schemas may be separated; locally a single instance is simpler and the isolation guarantee under test is Row-Level Security, not physical separation.</w:t>
      </w:r>
    </w:p>
    <w:p>
      <w:pPr>
        <w:pStyle w:val="BodyText"/>
      </w:pPr>
      <w:r>
        <w:t xml:space="preserve">The seed creates three tenants deliberately, not one: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demo-venue-01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development tenant — full catalogue, staff, events, POS terminals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demo-venue-02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tenant with overlapping identifiers, used to catch isolation defects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demo-group-hq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Parent-level tenant, used to exercise the hierarchy and consolidated reporting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Always develop with at least two tenants seeded.</w:t>
      </w:r>
      <w:r>
        <w:t xml:space="preserve"> </w:t>
      </w:r>
      <w:r>
        <w:t xml:space="preserve">A tenant-isolation defect is invisible when only one tenant exists, and it is the most damaging class of defect this platform can ship. Seeded data in</w:t>
      </w:r>
      <w:r>
        <w:t xml:space="preserve"> </w:t>
      </w:r>
      <w:r>
        <w:rPr>
          <w:rStyle w:val="VerbatimChar"/>
        </w:rPr>
        <w:t xml:space="preserve">demo-venue-02</w:t>
      </w:r>
      <w:r>
        <w:t xml:space="preserve"> </w:t>
      </w:r>
      <w:r>
        <w:t xml:space="preserve">intentionally reuses natural keys — the same product codes, the same ticket type names — so that a query missing its tenant predicate returns visibly wrong results rather than plausible ones.</w:t>
      </w:r>
    </w:p>
    <w:p>
      <w:pPr>
        <w:pStyle w:val="BodyText"/>
      </w:pPr>
      <w:r>
        <w:t xml:space="preserve">Seeded accounts, all with password</w:t>
      </w:r>
      <w:r>
        <w:t xml:space="preserve"> </w:t>
      </w:r>
      <w:r>
        <w:rPr>
          <w:rStyle w:val="VerbatimChar"/>
        </w:rPr>
        <w:t xml:space="preserve">Development1!</w:t>
      </w:r>
      <w:r>
        <w:t xml:space="preserve"> </w:t>
      </w:r>
      <w:r>
        <w:t xml:space="preserve">locally: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admin@demo-venue-01.test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staff@demo-venue-01.test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Frontline staff, staff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cashier@demo-venue-01.test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operator with an assigned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hq@demo-group-hq.test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Group-level administrator across both venues</w:t>
            </w:r>
          </w:p>
        </w:tc>
      </w:tr>
    </w:tbl>
    <w:bookmarkEnd w:id="23"/>
    <w:bookmarkStart w:id="24" w:name="running-backend-services"/>
    <w:p>
      <w:pPr>
        <w:pStyle w:val="Heading2"/>
      </w:pPr>
      <w:r>
        <w:t xml:space="preserve">3.5 Running Backend Services</w:t>
      </w:r>
    </w:p>
    <w:p>
      <w:pPr>
        <w:pStyle w:val="FirstParagraph"/>
      </w:pPr>
      <w:r>
        <w:t xml:space="preserve">Twelve service groups do not all need to run. Start the subset the task requires.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run-core        </w:t>
      </w:r>
      <w:r>
        <w:rPr>
          <w:rStyle w:val="CommentTok"/>
        </w:rPr>
        <w:t xml:space="preserve"># Identity, Tenant, Ticketing, Commerce — the usual baseline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run-all         </w:t>
      </w:r>
      <w:r>
        <w:rPr>
          <w:rStyle w:val="CommentTok"/>
        </w:rPr>
        <w:t xml:space="preserve"># every service; expect significant memory use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 svc=Finance </w:t>
      </w:r>
      <w:r>
        <w:rPr>
          <w:rStyle w:val="CommentTok"/>
        </w:rPr>
        <w:t xml:space="preserve"># a single service group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run-py svc=ai   </w:t>
      </w:r>
      <w:r>
        <w:rPr>
          <w:rStyle w:val="CommentTok"/>
        </w:rPr>
        <w:t xml:space="preserve"># a Python service</w:t>
      </w:r>
    </w:p>
    <w:p>
      <w:pPr>
        <w:pStyle w:val="FirstParagraph"/>
      </w:pPr>
      <w:r>
        <w:t xml:space="preserve">Services register with the local gateway on start. The aggregated OpenAPI document is served at</w:t>
      </w:r>
      <w:r>
        <w:t xml:space="preserve"> </w:t>
      </w:r>
      <w:r>
        <w:rPr>
          <w:rStyle w:val="VerbatimChar"/>
        </w:rPr>
        <w:t xml:space="preserve">http://localhost:8080/openapi</w:t>
      </w:r>
      <w:r>
        <w:t xml:space="preserve"> </w:t>
      </w:r>
      <w:r>
        <w:t xml:space="preserve">and the interactive documentation at</w:t>
      </w:r>
      <w:r>
        <w:t xml:space="preserve"> </w:t>
      </w:r>
      <w:r>
        <w:rPr>
          <w:rStyle w:val="VerbatimChar"/>
        </w:rPr>
        <w:t xml:space="preserve">http://localhost:8080/docs</w:t>
      </w:r>
      <w:r>
        <w:t xml:space="preserve">. Confirm both load before assuming a problem lies in your own code.</w:t>
      </w:r>
    </w:p>
    <w:p>
      <w:pPr>
        <w:pStyle w:val="BodyText"/>
      </w:pPr>
      <w:r>
        <w:t xml:space="preserve">Every service exposes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. A service that reports ready but behaves incorrectly is almost always missing infrastructure — check</w:t>
      </w:r>
      <w:r>
        <w:t xml:space="preserve"> </w:t>
      </w:r>
      <w:r>
        <w:rPr>
          <w:rStyle w:val="VerbatimChar"/>
        </w:rPr>
        <w:t xml:space="preserve">make logs</w:t>
      </w:r>
      <w:r>
        <w:t xml:space="preserve"> </w:t>
      </w:r>
      <w:r>
        <w:t xml:space="preserve">before debugging application code.</w:t>
      </w:r>
    </w:p>
    <w:bookmarkEnd w:id="24"/>
    <w:bookmarkStart w:id="25" w:name="running-web-clients"/>
    <w:p>
      <w:pPr>
        <w:pStyle w:val="Heading2"/>
      </w:pPr>
      <w:r>
        <w:t xml:space="preserve">3.6 Running Web Clients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tais-web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</w:t>
      </w:r>
      <w:r>
        <w:rPr>
          <w:rStyle w:val="CommentTok"/>
        </w:rPr>
        <w:t xml:space="preserve"># all three applications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admin     </w:t>
      </w:r>
      <w:r>
        <w:rPr>
          <w:rStyle w:val="CommentTok"/>
        </w:rPr>
        <w:t xml:space="preserve"># a single application</w:t>
      </w:r>
    </w:p>
    <w:p>
      <w:pPr>
        <w:pStyle w:val="FirstParagraph"/>
      </w:pPr>
      <w:r>
        <w:t xml:space="preserve">Applications resolve the API base address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defaulting to the local gateway. The generated API client is consumed from the private registry; authenticate to it once with the token issued during onboarding.</w:t>
      </w:r>
    </w:p>
    <w:p>
      <w:pPr>
        <w:pStyle w:val="BodyText"/>
      </w:pPr>
      <w:r>
        <w:t xml:space="preserve">To work against an unpublished contract, link the generated client locally: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tais-backend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generate-clients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link-clients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tais-web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link:local</w:t>
      </w:r>
    </w:p>
    <w:p>
      <w:pPr>
        <w:pStyle w:val="FirstParagraph"/>
      </w:pPr>
      <w:r>
        <w:t xml:space="preserve">Unlink before committing. A pull request that depends on a locally linked client will fail CI, which is the intended behaviour — it means the contract has not been merged, and by the rule in Dev02 the work should not have started.</w:t>
      </w:r>
    </w:p>
    <w:bookmarkEnd w:id="25"/>
    <w:bookmarkStart w:id="28" w:name="running-edge-clients"/>
    <w:p>
      <w:pPr>
        <w:pStyle w:val="Heading2"/>
      </w:pPr>
      <w:r>
        <w:t xml:space="preserve">3.7 Running Edge Clients</w:t>
      </w:r>
    </w:p>
    <w:p>
      <w:pPr>
        <w:pStyle w:val="FirstParagraph"/>
      </w:pPr>
      <w:r>
        <w:t xml:space="preserve">Edge development has the heaviest setup and is required only for the EDGE team.</w:t>
      </w:r>
    </w:p>
    <w:p>
      <w:pPr>
        <w:pStyle w:val="BodyText"/>
      </w:pPr>
      <w:r>
        <w:rPr>
          <w:bCs/>
          <w:b/>
        </w:rPr>
        <w:t xml:space="preserve">Android — POS, kiosk, staff, guest.</w:t>
      </w:r>
      <w:r>
        <w:t xml:space="preserve"> </w:t>
      </w:r>
      <w:r>
        <w:t xml:space="preserve">Install Android Studio with SDK 34 and create an emulator, or connect a physical device with USB debugging enabled. Then: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tais-edge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android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pos-android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android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staff</w:t>
      </w:r>
    </w:p>
    <w:p>
      <w:pPr>
        <w:pStyle w:val="FirstParagraph"/>
      </w:pPr>
      <w:r>
        <w:t xml:space="preserve">A physical device reaches the host stack over the local network; set</w:t>
      </w:r>
      <w:r>
        <w:t xml:space="preserve"> </w:t>
      </w:r>
      <w:r>
        <w:rPr>
          <w:rStyle w:val="VerbatimChar"/>
        </w:rPr>
        <w:t xml:space="preserve">TAIS_API_BASE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the machine’s LAN address rather than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An emulator reaches the host at</w:t>
      </w:r>
      <w:r>
        <w:t xml:space="preserve"> </w:t>
      </w:r>
      <w:r>
        <w:rPr>
          <w:rStyle w:val="VerbatimChar"/>
        </w:rPr>
        <w:t xml:space="preserve">10.0.2.2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Windows POS.</w:t>
      </w:r>
      <w:r>
        <w:t xml:space="preserve"> </w:t>
      </w:r>
      <w:r>
        <w:t xml:space="preserve">The Electron build runs on the host directly: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pos-windows</w:t>
      </w:r>
    </w:p>
    <w:p>
      <w:pPr>
        <w:pStyle w:val="FirstParagraph"/>
      </w:pPr>
      <w:r>
        <w:rPr>
          <w:bCs/>
          <w:b/>
        </w:rPr>
        <w:t xml:space="preserve">iOS — guest application only.</w:t>
      </w:r>
      <w:r>
        <w:t xml:space="preserve"> </w:t>
      </w:r>
      <w:r>
        <w:t xml:space="preserve">Requires macOS with Xcode. Android is the primary target for all staff-facing and POS surfaces at Phase 1.</w:t>
      </w:r>
    </w:p>
    <w:bookmarkStart w:id="26" w:name="hardware-simulator"/>
    <w:p>
      <w:pPr>
        <w:pStyle w:val="Heading3"/>
      </w:pPr>
      <w:r>
        <w:t xml:space="preserve">3.7.1 Hardware Simulator</w:t>
      </w:r>
    </w:p>
    <w:p>
      <w:pPr>
        <w:pStyle w:val="FirstParagraph"/>
      </w:pPr>
      <w:r>
        <w:t xml:space="preserve">No engineer is expected to hold sixteen device types. The</w:t>
      </w:r>
      <w:r>
        <w:t xml:space="preserve"> </w:t>
      </w:r>
      <w:r>
        <w:rPr>
          <w:rStyle w:val="VerbatimChar"/>
        </w:rPr>
        <w:t xml:space="preserve">@tais/hardware</w:t>
      </w:r>
      <w:r>
        <w:t xml:space="preserve"> </w:t>
      </w:r>
      <w:r>
        <w:t xml:space="preserve">package provides a simulator implementation of every adapter, enabled by default in development:</w:t>
      </w:r>
    </w:p>
    <w:p>
      <w:pPr>
        <w:pStyle w:val="SourceCode"/>
      </w:pPr>
      <w:r>
        <w:rPr>
          <w:rStyle w:val="VariableTok"/>
        </w:rPr>
        <w:t xml:space="preserve">TAIS_HARDWARE_MODE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simulator   </w:t>
      </w:r>
      <w:r>
        <w:rPr>
          <w:rStyle w:val="CommentTok"/>
        </w:rPr>
        <w:t xml:space="preserve"># default locally</w:t>
      </w:r>
      <w:r>
        <w:br/>
      </w:r>
      <w:r>
        <w:rPr>
          <w:rStyle w:val="VariableTok"/>
        </w:rPr>
        <w:t xml:space="preserve">TAIS_HARDWARE_MODE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native      </w:t>
      </w:r>
      <w:r>
        <w:rPr>
          <w:rStyle w:val="CommentTok"/>
        </w:rPr>
        <w:t xml:space="preserve"># physical devices attached</w:t>
      </w:r>
    </w:p>
    <w:p>
      <w:pPr>
        <w:pStyle w:val="FirstParagraph"/>
      </w:pPr>
      <w:r>
        <w:t xml:space="preserve">In simulator mode a control panel is available within the running application, allowing an engineer to trigger a scan, present a card, simulate a printer fault, exhaust paper, disconnect a cash drawer, or return a biometric match or mismatch. Every failure path is reachable without hardware, which matters because failure paths are where POS defects actually live.</w:t>
      </w:r>
    </w:p>
    <w:p>
      <w:pPr>
        <w:pStyle w:val="BodyText"/>
      </w:pPr>
      <w:r>
        <w:t xml:space="preserve">Physical device testing is scheduled against the shared hardware bench rather than performed ad hoc. Booking and the current device inventory are maintained in the knowledge base.</w:t>
      </w:r>
    </w:p>
    <w:bookmarkEnd w:id="26"/>
    <w:bookmarkStart w:id="27" w:name="testing-offline-behaviour"/>
    <w:p>
      <w:pPr>
        <w:pStyle w:val="Heading3"/>
      </w:pPr>
      <w:r>
        <w:t xml:space="preserve">3.7.2 Testing Offline Behaviour</w:t>
      </w:r>
    </w:p>
    <w:p>
      <w:pPr>
        <w:pStyle w:val="FirstParagraph"/>
      </w:pPr>
      <w:r>
        <w:t xml:space="preserve">Offline behaviour is not tested by switching off Wi-Fi. That is imprecise, untestable in CI, and cannot reproduce the cases that matter.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offline:on          </w:t>
      </w:r>
      <w:r>
        <w:rPr>
          <w:rStyle w:val="CommentTok"/>
        </w:rPr>
        <w:t xml:space="preserve"># sever the API transport, keep the process running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offline:off         </w:t>
      </w:r>
      <w:r>
        <w:rPr>
          <w:rStyle w:val="CommentTok"/>
        </w:rPr>
        <w:t xml:space="preserve"># restore and observe synchronisation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offline:flaky       </w:t>
      </w:r>
      <w:r>
        <w:rPr>
          <w:rStyle w:val="CommentTok"/>
        </w:rPr>
        <w:t xml:space="preserve"># intermittent loss with configurable latency and failure rate</w:t>
      </w:r>
    </w:p>
    <w:p>
      <w:pPr>
        <w:pStyle w:val="FirstParagraph"/>
      </w:pPr>
      <w:r>
        <w:t xml:space="preserve">The synchronisation behaviour under test — event log replay ordering, conflict resolution, duplicate suppression — is specified in Dev09 and covered by the test suite in Dev16. Any change to</w:t>
      </w:r>
      <w:r>
        <w:t xml:space="preserve"> </w:t>
      </w:r>
      <w:r>
        <w:rPr>
          <w:rStyle w:val="VerbatimChar"/>
        </w:rPr>
        <w:t xml:space="preserve">offline-engine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pos-core</w:t>
      </w:r>
      <w:r>
        <w:t xml:space="preserve"> </w:t>
      </w:r>
      <w:r>
        <w:t xml:space="preserve">requires those tests to pass locally before review.</w:t>
      </w:r>
    </w:p>
    <w:bookmarkEnd w:id="27"/>
    <w:bookmarkEnd w:id="28"/>
    <w:bookmarkStart w:id="29" w:name="verification-checklist"/>
    <w:p>
      <w:pPr>
        <w:pStyle w:val="Heading2"/>
      </w:pPr>
      <w:r>
        <w:t xml:space="preserve">3.8 Verification Checklist</w:t>
      </w:r>
    </w:p>
    <w:p>
      <w:pPr>
        <w:pStyle w:val="FirstParagraph"/>
      </w:pPr>
      <w:r>
        <w:t xml:space="preserve">The environment is correctly configured when all of the following succeed. Confirm each on day one, before starting the first task.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up</w:t>
            </w:r>
            <w:r>
              <w:t xml:space="preserve"> </w:t>
            </w:r>
            <w:r>
              <w:t xml:space="preserve">reports all infrastructure containers 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migrate &amp;&amp; make seed</w:t>
            </w:r>
            <w:r>
              <w:t xml:space="preserve"> </w:t>
            </w:r>
            <w:r>
              <w:t xml:space="preserve">completes without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aggregated OpenAPI document loads at the local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Sign-in succeeds in the admin application as</w:t>
            </w:r>
            <w:r>
              <w:t xml:space="preserve"> </w:t>
            </w:r>
            <w:r>
              <w:rPr>
                <w:rStyle w:val="VerbatimChar"/>
              </w:rPr>
              <w:t xml:space="preserve">admin@demo-venue-01.test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belonging to</w:t>
            </w:r>
            <w:r>
              <w:t xml:space="preserve"> </w:t>
            </w:r>
            <w:r>
              <w:rPr>
                <w:rStyle w:val="VerbatimChar"/>
              </w:rPr>
              <w:t xml:space="preserve">demo-venue-02</w:t>
            </w:r>
            <w:r>
              <w:t xml:space="preserve"> </w:t>
            </w:r>
            <w:r>
              <w:t xml:space="preserve">is not visible while signed in to</w:t>
            </w:r>
            <w:r>
              <w:t xml:space="preserve"> </w:t>
            </w:r>
            <w:r>
              <w:rPr>
                <w:rStyle w:val="VerbatimChar"/>
              </w:rPr>
              <w:t xml:space="preserve">demo-venue-01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test order placed in the storefront appears in the admin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email from that order is captured in Mailpit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only: the POS application launches, sells a ticket in simulator mode, and prints a simulated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only: the same sale completes with</w:t>
            </w:r>
            <w:r>
              <w:t xml:space="preserve"> </w:t>
            </w:r>
            <w:r>
              <w:rPr>
                <w:rStyle w:val="VerbatimChar"/>
              </w:rPr>
              <w:t xml:space="preserve">offline:on</w:t>
            </w:r>
            <w:r>
              <w:t xml:space="preserve"> </w:t>
            </w:r>
            <w:r>
              <w:t xml:space="preserve">and reconciles after</w:t>
            </w:r>
            <w:r>
              <w:t xml:space="preserve"> </w:t>
            </w:r>
            <w:r>
              <w:rPr>
                <w:rStyle w:val="VerbatimChar"/>
              </w:rPr>
              <w:t xml:space="preserve">offline:off</w:t>
            </w:r>
          </w:p>
        </w:tc>
      </w:tr>
    </w:tbl>
    <w:p>
      <w:pPr>
        <w:pStyle w:val="BodyText"/>
      </w:pPr>
      <w:r>
        <w:t xml:space="preserve">Check 5 is the one to repeat regularly. Tenant isolation is the platform’s central guarantee, and a regression in it is not something to discover in pre-production.</w:t>
      </w:r>
    </w:p>
    <w:bookmarkEnd w:id="29"/>
    <w:bookmarkStart w:id="30" w:name="troubleshooting"/>
    <w:p>
      <w:pPr>
        <w:pStyle w:val="Heading2"/>
      </w:pPr>
      <w:r>
        <w:t xml:space="preserve">3.9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and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already allocated on start-up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previous stack is running, or a local PostgreSQL or Redis service holds the port. Run</w:t>
            </w:r>
            <w:r>
              <w:t xml:space="preserve"> </w:t>
            </w:r>
            <w:r>
              <w:rPr>
                <w:rStyle w:val="VerbatimChar"/>
              </w:rPr>
              <w:t xml:space="preserve">make down</w:t>
            </w:r>
            <w:r>
              <w:t xml:space="preserve">, then check host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 fail on a schema that already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Volumes retain a prior state.</w:t>
            </w:r>
            <w:r>
              <w:t xml:space="preserve"> </w:t>
            </w:r>
            <w:r>
              <w:rPr>
                <w:rStyle w:val="VerbatimChar"/>
              </w:rPr>
              <w:t xml:space="preserve">make reset</w:t>
            </w:r>
            <w:r>
              <w:t xml:space="preserve"> </w:t>
            </w:r>
            <w:r>
              <w:t xml:space="preserve">and re-run migrate and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starts but returns 500 on every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a 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value. Compare against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field by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Queries return empty results despite seeded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context is not being set on the connection. This is a code defect, not an environment one — see Dev06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client package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authentication has expired. Re-authenticate with the onboarding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build cannot reach the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Emulator must use</w:t>
            </w:r>
            <w:r>
              <w:t xml:space="preserve"> </w:t>
            </w:r>
            <w:r>
              <w:rPr>
                <w:rStyle w:val="VerbatimChar"/>
              </w:rPr>
              <w:t xml:space="preserve">10.0.2.2</w:t>
            </w:r>
            <w:r>
              <w:t xml:space="preserve">; a physical device must use the host LAN address, not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 container exits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virtual memory limit too low. Raise</w:t>
            </w:r>
            <w:r>
              <w:t xml:space="preserve"> </w:t>
            </w:r>
            <w:r>
              <w:rPr>
                <w:rStyle w:val="VerbatimChar"/>
              </w:rPr>
              <w:t xml:space="preserve">vm.max_map_count</w:t>
            </w:r>
            <w:r>
              <w:t xml:space="preserve"> </w:t>
            </w:r>
            <w:r>
              <w:t xml:space="preserve">per the platform note in the compose file</w:t>
            </w:r>
          </w:p>
        </w:tc>
      </w:tr>
    </w:tbl>
    <w:p>
      <w:pPr>
        <w:pStyle w:val="BodyText"/>
      </w:pPr>
      <w:r>
        <w:t xml:space="preserve">Anything not listed here that costs more than an hour is escalated and then added to this table. The troubleshooting section is expected to grow through the project; a fix that lives only in one engineer’s shell history has not been delivered.</w:t>
      </w:r>
    </w:p>
    <w:bookmarkEnd w:id="30"/>
    <w:bookmarkStart w:id="31" w:name="limitations"/>
    <w:p>
      <w:pPr>
        <w:pStyle w:val="Heading2"/>
      </w:pPr>
      <w:r>
        <w:t xml:space="preserve">3.10 Limitations</w:t>
      </w:r>
    </w:p>
    <w:p>
      <w:pPr>
        <w:pStyle w:val="FirstParagraph"/>
      </w:pPr>
      <w:r>
        <w:t xml:space="preserve">The local environment deliberately omits four things. Knowing what is absent prevents false confidence in local results.</w:t>
      </w:r>
    </w:p>
    <w:p>
      <w:pPr>
        <w:pStyle w:val="BodyText"/>
      </w:pPr>
      <w:r>
        <w:t xml:space="preserve">There is no Kubernetes locally. Deployment behaviour, resource limits, autoscaling, and health-probe timing are exercised in the development cluster, not on the developer machine.</w:t>
      </w:r>
    </w:p>
    <w:p>
      <w:pPr>
        <w:pStyle w:val="BodyText"/>
      </w:pPr>
      <w:r>
        <w:t xml:space="preserve">Payment gateways run against provider sandboxes or local stubs. Card-present flows through physical terminals cannot be fully exercised locally and are validated on the hardware bench.</w:t>
      </w:r>
    </w:p>
    <w:p>
      <w:pPr>
        <w:pStyle w:val="BodyText"/>
      </w:pPr>
      <w:r>
        <w:t xml:space="preserve">Performance is not representative. A single instance with seed data will not surface query plans, index gaps, or contention that appear at venue-scale volumes. Performance work belongs in the pre-production environment against generated load.</w:t>
      </w:r>
    </w:p>
    <w:p>
      <w:pPr>
        <w:pStyle w:val="BodyText"/>
      </w:pPr>
      <w:r>
        <w:t xml:space="preserve">Multi-region and disaster-recovery behaviour has no local equivalent. Backup, replication, and failover are exercised only in provisioned environments, per Dev14.</w:t>
      </w:r>
    </w:p>
    <w:bookmarkEnd w:id="31"/>
    <w:bookmarkEnd w:id="32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95959"/>
        <w:sz w:val="16"/>
      </w:rPr>
      <w:t>Miracle Star Trading L.L.C. | Confidential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TAIS Platform — Developer Documentation | Softlabs Group | Confidential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80" w:before="180"/>
      <w:ind w:firstLine="0"/>
    </w:pPr>
    <w:rPr>
      <w:rFonts w:ascii="Calibri" w:hAnsi="Calibri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asciiTheme="majorHAnsi" w:cstheme="majorBidi" w:eastAsiaTheme="majorEastAsia" w:hAnsi="Cambria" w:hAnsiTheme="majorHAnsi"/>
      <w:b/>
      <w:bCs/>
      <w:color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mbria" w:hAnsi="Cambria"/>
      <w:b/>
      <w:color w:val="345A8A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keepNext/>
      <w:spacing w:after="120"/>
    </w:pPr>
    <w:rPr>
      <w:rFonts w:ascii="Calibri" w:hAnsi="Calibri"/>
      <w:i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2026-07-23T12:00:39Z</dcterms:created>
  <dcterms:modified xsi:type="dcterms:W3CDTF">2026-07-23T12:00:39Z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