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Dev01 Engineering Handbook &amp; Getting Started</w:t>
      </w:r>
    </w:p>
    <w:p>
      <w:pPr>
        <w:pStyle w:val="BodyText"/>
      </w:pPr>
      <w:r>
        <w:rPr>
          <w:iCs/>
          <w:i/>
        </w:rPr>
        <w:t xml:space="preserve">Figure 1.1 — TAIS Delivery Structure: Three Repositories, Four Client Surfaces, Twelve Service Groups</w:t>
      </w:r>
    </w:p>
    <w:p>
      <w:pPr>
        <w:pStyle w:val="SourceCode"/>
      </w:pPr>
      <w:r>
        <w:rPr>
          <w:rStyle w:val="VerbatimChar"/>
        </w:rPr>
        <w:t xml:space="preserve">graph TB</w:t>
      </w:r>
      <w:r>
        <w:br/>
      </w:r>
      <w:r>
        <w:rPr>
          <w:rStyle w:val="VerbatimChar"/>
        </w:rPr>
        <w:t xml:space="preserve">    subgraph EDGE["tais-edge — React Native / Electron"]</w:t>
      </w:r>
      <w:r>
        <w:br/>
      </w:r>
      <w:r>
        <w:rPr>
          <w:rStyle w:val="VerbatimChar"/>
        </w:rPr>
        <w:t xml:space="preserve">        POS[POS Terminal&lt;br/&gt;Android + Windows]</w:t>
      </w:r>
      <w:r>
        <w:br/>
      </w:r>
      <w:r>
        <w:rPr>
          <w:rStyle w:val="VerbatimChar"/>
        </w:rPr>
        <w:t xml:space="preserve">        KIOSK[Self-Service Kiosk]</w:t>
      </w:r>
      <w:r>
        <w:br/>
      </w:r>
      <w:r>
        <w:rPr>
          <w:rStyle w:val="VerbatimChar"/>
        </w:rPr>
        <w:t xml:space="preserve">        STAFF[Staff Operations App]</w:t>
      </w:r>
      <w:r>
        <w:br/>
      </w:r>
      <w:r>
        <w:rPr>
          <w:rStyle w:val="VerbatimChar"/>
        </w:rPr>
        <w:t xml:space="preserve">        GUEST[Guest App]</w:t>
      </w:r>
      <w:r>
        <w:br/>
      </w:r>
      <w:r>
        <w:rPr>
          <w:rStyle w:val="VerbatimChar"/>
        </w:rPr>
        <w:t xml:space="preserve">    end</w:t>
      </w:r>
      <w:r>
        <w:br/>
      </w:r>
      <w:r>
        <w:rPr>
          <w:rStyle w:val="VerbatimChar"/>
        </w:rPr>
        <w:t xml:space="preserve">    subgraph WEB["tais-web — React"]</w:t>
      </w:r>
      <w:r>
        <w:br/>
      </w:r>
      <w:r>
        <w:rPr>
          <w:rStyle w:val="VerbatimChar"/>
        </w:rPr>
        <w:t xml:space="preserve">        ADMIN[Admin Back-Office]</w:t>
      </w:r>
      <w:r>
        <w:br/>
      </w:r>
      <w:r>
        <w:rPr>
          <w:rStyle w:val="VerbatimChar"/>
        </w:rPr>
        <w:t xml:space="preserve">        STORE[Guest Storefront]</w:t>
      </w:r>
      <w:r>
        <w:br/>
      </w:r>
      <w:r>
        <w:rPr>
          <w:rStyle w:val="VerbatimChar"/>
        </w:rPr>
        <w:t xml:space="preserve">        OCC[Operations Command Center]</w:t>
      </w:r>
      <w:r>
        <w:br/>
      </w:r>
      <w:r>
        <w:rPr>
          <w:rStyle w:val="VerbatimChar"/>
        </w:rPr>
        <w:t xml:space="preserve">    end</w:t>
      </w:r>
      <w:r>
        <w:br/>
      </w:r>
      <w:r>
        <w:rPr>
          <w:rStyle w:val="VerbatimChar"/>
        </w:rPr>
        <w:t xml:space="preserve">    subgraph BACKEND["tais-backend — .NET 8 + Python"]</w:t>
      </w:r>
      <w:r>
        <w:br/>
      </w:r>
      <w:r>
        <w:rPr>
          <w:rStyle w:val="VerbatimChar"/>
        </w:rPr>
        <w:t xml:space="preserve">        SVC[12 Service Groups]</w:t>
      </w:r>
      <w:r>
        <w:br/>
      </w:r>
      <w:r>
        <w:rPr>
          <w:rStyle w:val="VerbatimChar"/>
        </w:rPr>
        <w:t xml:space="preserve">        CONTRACTS[OpenAPI + Event Schemas]</w:t>
      </w:r>
      <w:r>
        <w:br/>
      </w:r>
      <w:r>
        <w:rPr>
          <w:rStyle w:val="VerbatimChar"/>
        </w:rPr>
        <w:t xml:space="preserve">        INFRA[Terraform · Helm · CI]</w:t>
      </w:r>
      <w:r>
        <w:br/>
      </w:r>
      <w:r>
        <w:rPr>
          <w:rStyle w:val="VerbatimChar"/>
        </w:rPr>
        <w:t xml:space="preserve">    end</w:t>
      </w:r>
      <w:r>
        <w:br/>
      </w:r>
      <w:r>
        <w:rPr>
          <w:rStyle w:val="VerbatimChar"/>
        </w:rPr>
        <w:t xml:space="preserve">    POS --&gt; CONTRACTS</w:t>
      </w:r>
      <w:r>
        <w:br/>
      </w:r>
      <w:r>
        <w:rPr>
          <w:rStyle w:val="VerbatimChar"/>
        </w:rPr>
        <w:t xml:space="preserve">    STAFF --&gt; CONTRACTS</w:t>
      </w:r>
      <w:r>
        <w:br/>
      </w:r>
      <w:r>
        <w:rPr>
          <w:rStyle w:val="VerbatimChar"/>
        </w:rPr>
        <w:t xml:space="preserve">    ADMIN --&gt; CONTRACTS</w:t>
      </w:r>
      <w:r>
        <w:br/>
      </w:r>
      <w:r>
        <w:rPr>
          <w:rStyle w:val="VerbatimChar"/>
        </w:rPr>
        <w:t xml:space="preserve">    STORE --&gt; CONTRACTS</w:t>
      </w:r>
      <w:r>
        <w:br/>
      </w:r>
      <w:r>
        <w:rPr>
          <w:rStyle w:val="VerbatimChar"/>
        </w:rPr>
        <w:t xml:space="preserve">    CONTRACTS --&gt; SVC</w:t>
      </w:r>
      <w:r>
        <w:br/>
      </w:r>
      <w:r>
        <w:rPr>
          <w:rStyle w:val="VerbatimChar"/>
        </w:rPr>
        <w:t xml:space="preserve">    INFRA -.provisions.-&gt; SVC</w:t>
      </w:r>
    </w:p>
    <w:bookmarkStart w:id="29" w:name="engineering-handbook"/>
    <w:p>
      <w:pPr>
        <w:pStyle w:val="Heading1"/>
      </w:pPr>
      <w:r>
        <w:t xml:space="preserve">1. Engineering Handbook</w:t>
      </w:r>
    </w:p>
    <w:bookmarkStart w:id="20" w:name="purpose-and-audience"/>
    <w:p>
      <w:pPr>
        <w:pStyle w:val="Heading2"/>
      </w:pPr>
      <w:r>
        <w:t xml:space="preserve">1.1 Purpose and Audience</w:t>
      </w:r>
    </w:p>
    <w:p>
      <w:pPr>
        <w:pStyle w:val="FirstParagraph"/>
      </w:pPr>
      <w:r>
        <w:t xml:space="preserve">This handbook is the entry point for every engineer joining the TAIS platform. It answers three questions in order: what is being built, who owns which part of it, and how to get a working environment on the first day. Everything beyond that is delegated to a numbered companion document, listed in section 1.8.</w:t>
      </w:r>
    </w:p>
    <w:p>
      <w:pPr>
        <w:pStyle w:val="BodyText"/>
      </w:pPr>
      <w:r>
        <w:t xml:space="preserve">The audience is the full delivery team — backend, frontend, React Native, and any engineer joining mid-project. Read this document end to end before writing code. It is short by design.</w:t>
      </w:r>
    </w:p>
    <w:p>
      <w:pPr>
        <w:pStyle w:val="BodyText"/>
      </w:pPr>
      <w:r>
        <w:t xml:space="preserve">TAIS is the Tourism &amp; Attraction Intelligence System, a multi-tenant venue operating platform delivered by Softlabs Group for Miracle Star Trading L.L.C. It serves seven to ten entertainment and attraction venues from a single deployment, spanning twelve functional domains. The delivery baseline is 3,332 client requirements, tracked in the Delivery Baseline &amp; Traceability Register.</w:t>
      </w:r>
    </w:p>
    <w:bookmarkEnd w:id="20"/>
    <w:bookmarkStart w:id="21" w:name="the-platform-in-one-page"/>
    <w:p>
      <w:pPr>
        <w:pStyle w:val="Heading2"/>
      </w:pPr>
      <w:r>
        <w:t xml:space="preserve">1.2 The Platform in One Page</w:t>
      </w:r>
    </w:p>
    <w:p>
      <w:pPr>
        <w:pStyle w:val="FirstParagraph"/>
      </w:pPr>
      <w:r>
        <w:t xml:space="preserve">The platform is domain-driven, API-first, and offline-capable at the edge. Three constraints govern every engineering decision and none of them is negotiable at the individual developer level.</w:t>
      </w:r>
    </w:p>
    <w:p>
      <w:pPr>
        <w:pStyle w:val="BodyText"/>
      </w:pPr>
      <w:r>
        <w:rPr>
          <w:bCs/>
          <w:b/>
        </w:rPr>
        <w:t xml:space="preserve">Domain-driven</w:t>
      </w:r>
      <w:r>
        <w:t xml:space="preserve"> </w:t>
      </w:r>
      <w:r>
        <w:t xml:space="preserve">means each service group owns its data, its business logic, and its deployment lifecycle. A bug in Marketing cannot corrupt Finance. Cross-domain data access happens through published APIs or Kafka events, never through direct database reads across schema boundaries.</w:t>
      </w:r>
    </w:p>
    <w:p>
      <w:pPr>
        <w:pStyle w:val="BodyText"/>
      </w:pPr>
      <w:r>
        <w:rPr>
          <w:bCs/>
          <w:b/>
        </w:rPr>
        <w:t xml:space="preserve">API-first</w:t>
      </w:r>
      <w:r>
        <w:t xml:space="preserve"> </w:t>
      </w:r>
      <w:r>
        <w:t xml:space="preserve">means no user interface, integration, or inter-service call is built before the contract that governs it is written, reviewed, and merged. This is enforced as a hard CI gate, described in Dev02 and Dev07.</w:t>
      </w:r>
    </w:p>
    <w:p>
      <w:pPr>
        <w:pStyle w:val="BodyText"/>
      </w:pPr>
      <w:r>
        <w:rPr>
          <w:bCs/>
          <w:b/>
        </w:rPr>
        <w:t xml:space="preserve">Offline-first at the edge</w:t>
      </w:r>
      <w:r>
        <w:t xml:space="preserve"> </w:t>
      </w:r>
      <w:r>
        <w:t xml:space="preserve">means POS terminals, scanners, and the staff application continue operating at full capability with no network. They are not degraded browser pages; they are installed applications with a local event-sourced store. This is the single most technically demanding part of the platform and is documented separately in Dev09.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Notes</w:t>
            </w:r>
          </w:p>
        </w:tc>
      </w:tr>
      <w:tr>
        <w:tc>
          <w:tcPr/>
          <w:p>
            <w:pPr>
              <w:pStyle w:val="Compact"/>
              <w:jc w:val="left"/>
            </w:pPr>
            <w:r>
              <w:t xml:space="preserve">Edge clients</w:t>
            </w:r>
          </w:p>
        </w:tc>
        <w:tc>
          <w:tcPr/>
          <w:p>
            <w:pPr>
              <w:pStyle w:val="Compact"/>
              <w:jc w:val="left"/>
            </w:pPr>
            <w:r>
              <w:t xml:space="preserve">React Native (Android), Electron (Windows), shared TypeScript core</w:t>
            </w:r>
          </w:p>
        </w:tc>
        <w:tc>
          <w:tcPr/>
          <w:p>
            <w:pPr>
              <w:pStyle w:val="Compact"/>
              <w:jc w:val="left"/>
            </w:pPr>
            <w:r>
              <w:t xml:space="preserve">Thick clients, event-sourced local store</w:t>
            </w:r>
          </w:p>
        </w:tc>
      </w:tr>
      <w:tr>
        <w:tc>
          <w:tcPr/>
          <w:p>
            <w:pPr>
              <w:pStyle w:val="Compact"/>
              <w:jc w:val="left"/>
            </w:pPr>
            <w:r>
              <w:t xml:space="preserve">Web clients</w:t>
            </w:r>
          </w:p>
        </w:tc>
        <w:tc>
          <w:tcPr/>
          <w:p>
            <w:pPr>
              <w:pStyle w:val="Compact"/>
              <w:jc w:val="left"/>
            </w:pPr>
            <w:r>
              <w:t xml:space="preserve">React, TypeScript</w:t>
            </w:r>
          </w:p>
        </w:tc>
        <w:tc>
          <w:tcPr/>
          <w:p>
            <w:pPr>
              <w:pStyle w:val="Compact"/>
              <w:jc w:val="left"/>
            </w:pPr>
            <w:r>
              <w:t xml:space="preserve">Admin back-office, storefront, Command Center</w:t>
            </w:r>
          </w:p>
        </w:tc>
      </w:tr>
      <w:tr>
        <w:tc>
          <w:tcPr/>
          <w:p>
            <w:pPr>
              <w:pStyle w:val="Compact"/>
              <w:jc w:val="left"/>
            </w:pPr>
            <w:r>
              <w:t xml:space="preserve">Services</w:t>
            </w:r>
          </w:p>
        </w:tc>
        <w:tc>
          <w:tcPr/>
          <w:p>
            <w:pPr>
              <w:pStyle w:val="Compact"/>
              <w:jc w:val="left"/>
            </w:pPr>
            <w:r>
              <w:t xml:space="preserve">.NET 8 (ten service groups), Python / FastAPI (AI/ML, Operations analytics)</w:t>
            </w:r>
          </w:p>
        </w:tc>
        <w:tc>
          <w:tcPr/>
          <w:p>
            <w:pPr>
              <w:pStyle w:val="Compact"/>
              <w:jc w:val="left"/>
            </w:pPr>
            <w:r>
              <w:t xml:space="preserve">Containerised, independently deployable</w:t>
            </w:r>
          </w:p>
        </w:tc>
      </w:tr>
      <w:tr>
        <w:tc>
          <w:tcPr/>
          <w:p>
            <w:pPr>
              <w:pStyle w:val="Compact"/>
              <w:jc w:val="left"/>
            </w:pPr>
            <w:r>
              <w:t xml:space="preserve">System of record</w:t>
            </w:r>
          </w:p>
        </w:tc>
        <w:tc>
          <w:tcPr/>
          <w:p>
            <w:pPr>
              <w:pStyle w:val="Compact"/>
              <w:jc w:val="left"/>
            </w:pPr>
            <w:r>
              <w:t xml:space="preserve">PostgreSQL 16 with engine-enforced Row-Level Security</w:t>
            </w:r>
          </w:p>
        </w:tc>
        <w:tc>
          <w:tcPr/>
          <w:p>
            <w:pPr>
              <w:pStyle w:val="Compact"/>
              <w:jc w:val="left"/>
            </w:pPr>
            <w:r>
              <w:t xml:space="preserve">Tenant isolation is a database guarantee, not an application convention</w:t>
            </w:r>
          </w:p>
        </w:tc>
      </w:tr>
      <w:tr>
        <w:tc>
          <w:tcPr/>
          <w:p>
            <w:pPr>
              <w:pStyle w:val="Compact"/>
              <w:jc w:val="left"/>
            </w:pPr>
            <w:r>
              <w:t xml:space="preserve">Cache</w:t>
            </w:r>
          </w:p>
        </w:tc>
        <w:tc>
          <w:tcPr/>
          <w:p>
            <w:pPr>
              <w:pStyle w:val="Compact"/>
              <w:jc w:val="left"/>
            </w:pPr>
            <w:r>
              <w:t xml:space="preserve">Redis 7</w:t>
            </w:r>
          </w:p>
        </w:tc>
        <w:tc>
          <w:tcPr/>
          <w:p>
            <w:pPr>
              <w:pStyle w:val="Compact"/>
              <w:jc w:val="left"/>
            </w:pPr>
            <w:r>
              <w:t xml:space="preserve">Tenant-prefixed keyspaces</w:t>
            </w:r>
          </w:p>
        </w:tc>
      </w:tr>
      <w:tr>
        <w:tc>
          <w:tcPr/>
          <w:p>
            <w:pPr>
              <w:pStyle w:val="Compact"/>
              <w:jc w:val="left"/>
            </w:pPr>
            <w:r>
              <w:t xml:space="preserve">Vector store</w:t>
            </w:r>
          </w:p>
        </w:tc>
        <w:tc>
          <w:tcPr/>
          <w:p>
            <w:pPr>
              <w:pStyle w:val="Compact"/>
              <w:jc w:val="left"/>
            </w:pPr>
            <w:r>
              <w:t xml:space="preserve">Qdrant</w:t>
            </w:r>
          </w:p>
        </w:tc>
        <w:tc>
          <w:tcPr/>
          <w:p>
            <w:pPr>
              <w:pStyle w:val="Compact"/>
              <w:jc w:val="left"/>
            </w:pPr>
            <w:r>
              <w:t xml:space="preserve">Multi-tenant payload pre-filtering</w:t>
            </w:r>
          </w:p>
        </w:tc>
      </w:tr>
      <w:tr>
        <w:tc>
          <w:tcPr/>
          <w:p>
            <w:pPr>
              <w:pStyle w:val="Compact"/>
              <w:jc w:val="left"/>
            </w:pPr>
            <w:r>
              <w:t xml:space="preserve">Search</w:t>
            </w:r>
          </w:p>
        </w:tc>
        <w:tc>
          <w:tcPr/>
          <w:p>
            <w:pPr>
              <w:pStyle w:val="Compact"/>
              <w:jc w:val="left"/>
            </w:pPr>
            <w:r>
              <w:t xml:space="preserve">Elasticsearch</w:t>
            </w:r>
          </w:p>
        </w:tc>
        <w:tc>
          <w:tcPr/>
          <w:p>
            <w:pPr>
              <w:pStyle w:val="Compact"/>
              <w:jc w:val="left"/>
            </w:pPr>
            <w:r>
              <w:t xml:space="preserve">Per-tenant index routing</w:t>
            </w:r>
          </w:p>
        </w:tc>
      </w:tr>
      <w:tr>
        <w:tc>
          <w:tcPr/>
          <w:p>
            <w:pPr>
              <w:pStyle w:val="Compact"/>
              <w:jc w:val="left"/>
            </w:pPr>
            <w:r>
              <w:t xml:space="preserve">Event backbone</w:t>
            </w:r>
          </w:p>
        </w:tc>
        <w:tc>
          <w:tcPr/>
          <w:p>
            <w:pPr>
              <w:pStyle w:val="Compact"/>
              <w:jc w:val="left"/>
            </w:pPr>
            <w:r>
              <w:t xml:space="preserve">Kafka</w:t>
            </w:r>
          </w:p>
        </w:tc>
        <w:tc>
          <w:tcPr/>
          <w:p>
            <w:pPr>
              <w:pStyle w:val="Compact"/>
              <w:jc w:val="left"/>
            </w:pPr>
            <w:r>
              <w:t xml:space="preserve">Tenant ID in every event envelope</w:t>
            </w:r>
          </w:p>
        </w:tc>
      </w:tr>
      <w:tr>
        <w:tc>
          <w:tcPr/>
          <w:p>
            <w:pPr>
              <w:pStyle w:val="Compact"/>
              <w:jc w:val="left"/>
            </w:pPr>
            <w:r>
              <w:t xml:space="preserve">Orchestration</w:t>
            </w:r>
          </w:p>
        </w:tc>
        <w:tc>
          <w:tcPr/>
          <w:p>
            <w:pPr>
              <w:pStyle w:val="Compact"/>
              <w:jc w:val="left"/>
            </w:pPr>
            <w:r>
              <w:t xml:space="preserve">Docker, Kubernetes, Terraform</w:t>
            </w:r>
          </w:p>
        </w:tc>
        <w:tc>
          <w:tcPr/>
          <w:p>
            <w:pPr>
              <w:pStyle w:val="Compact"/>
              <w:jc w:val="left"/>
            </w:pPr>
            <w:r>
              <w:t xml:space="preserve">Three environments from one codebase</w:t>
            </w:r>
          </w:p>
        </w:tc>
      </w:tr>
    </w:tbl>
    <w:p>
      <w:pPr>
        <w:pStyle w:val="BodyText"/>
      </w:pPr>
      <w:r>
        <w:t xml:space="preserve">The polyglot backend is deliberately limited to two languages. The proposal’s original four-language position has been consolidated to .NET 8 and Python. Do not introduce a third runtime without an approved architecture decision record.</w:t>
      </w:r>
    </w:p>
    <w:bookmarkEnd w:id="21"/>
    <w:bookmarkStart w:id="22" w:name="team-structure-and-ownership"/>
    <w:p>
      <w:pPr>
        <w:pStyle w:val="Heading2"/>
      </w:pPr>
      <w:r>
        <w:t xml:space="preserve">1.3 Team Structure and Ownership</w:t>
      </w:r>
    </w:p>
    <w:p>
      <w:pPr>
        <w:pStyle w:val="FirstParagraph"/>
      </w:pPr>
      <w:r>
        <w:t xml:space="preserve">The team is organised by discipline, with domain ownership overlaid on top. Discipline determines which repository an engineer works in daily; domain ownership determines who answers for a requirement when the client asks.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Team</w:t>
            </w:r>
          </w:p>
        </w:tc>
        <w:tc>
          <w:tcPr/>
          <w:p>
            <w:pPr>
              <w:pStyle w:val="Compact"/>
              <w:jc w:val="left"/>
            </w:pPr>
            <w:r>
              <w:t xml:space="preserve">Discipline</w:t>
            </w:r>
          </w:p>
        </w:tc>
        <w:tc>
          <w:tcPr/>
          <w:p>
            <w:pPr>
              <w:pStyle w:val="Compact"/>
              <w:jc w:val="left"/>
            </w:pPr>
            <w:r>
              <w:t xml:space="preserve">Primary repository</w:t>
            </w:r>
          </w:p>
        </w:tc>
        <w:tc>
          <w:tcPr/>
          <w:p>
            <w:pPr>
              <w:pStyle w:val="Compact"/>
              <w:jc w:val="left"/>
            </w:pPr>
            <w:r>
              <w:t xml:space="preserve">Service groups owned</w:t>
            </w:r>
          </w:p>
        </w:tc>
      </w:tr>
      <w:tr>
        <w:tc>
          <w:tcPr/>
          <w:p>
            <w:pPr>
              <w:pStyle w:val="Compact"/>
              <w:jc w:val="left"/>
            </w:pPr>
            <w:r>
              <w:t xml:space="preserve">BE1</w:t>
            </w:r>
          </w:p>
        </w:tc>
        <w:tc>
          <w:tcPr/>
          <w:p>
            <w:pPr>
              <w:pStyle w:val="Compact"/>
              <w:jc w:val="left"/>
            </w:pPr>
            <w:r>
              <w:t xml:space="preserve">.NET</w:t>
            </w:r>
          </w:p>
        </w:tc>
        <w:tc>
          <w:tcPr/>
          <w:p>
            <w:pPr>
              <w:pStyle w:val="Compact"/>
              <w:jc w:val="left"/>
            </w:pPr>
            <w:r>
              <w:t xml:space="preserve">tais-backend</w:t>
            </w:r>
          </w:p>
        </w:tc>
        <w:tc>
          <w:tcPr/>
          <w:p>
            <w:pPr>
              <w:pStyle w:val="Compact"/>
              <w:jc w:val="left"/>
            </w:pPr>
            <w:r>
              <w:t xml:space="preserve">Identity, Tenant &amp; Config, Subscription &amp; Licensing, Notification</w:t>
            </w:r>
          </w:p>
        </w:tc>
      </w:tr>
      <w:tr>
        <w:tc>
          <w:tcPr/>
          <w:p>
            <w:pPr>
              <w:pStyle w:val="Compact"/>
              <w:jc w:val="left"/>
            </w:pPr>
            <w:r>
              <w:t xml:space="preserve">BE2</w:t>
            </w:r>
          </w:p>
        </w:tc>
        <w:tc>
          <w:tcPr/>
          <w:p>
            <w:pPr>
              <w:pStyle w:val="Compact"/>
              <w:jc w:val="left"/>
            </w:pPr>
            <w:r>
              <w:t xml:space="preserve">.NET</w:t>
            </w:r>
          </w:p>
        </w:tc>
        <w:tc>
          <w:tcPr/>
          <w:p>
            <w:pPr>
              <w:pStyle w:val="Compact"/>
              <w:jc w:val="left"/>
            </w:pPr>
            <w:r>
              <w:t xml:space="preserve">tais-backend</w:t>
            </w:r>
          </w:p>
        </w:tc>
        <w:tc>
          <w:tcPr/>
          <w:p>
            <w:pPr>
              <w:pStyle w:val="Compact"/>
              <w:jc w:val="left"/>
            </w:pPr>
            <w:r>
              <w:t xml:space="preserve">Ticketing, Commerce, Events, Seat Management</w:t>
            </w:r>
          </w:p>
        </w:tc>
      </w:tr>
      <w:tr>
        <w:tc>
          <w:tcPr/>
          <w:p>
            <w:pPr>
              <w:pStyle w:val="Compact"/>
              <w:jc w:val="left"/>
            </w:pPr>
            <w:r>
              <w:t xml:space="preserve">BE3</w:t>
            </w:r>
          </w:p>
        </w:tc>
        <w:tc>
          <w:tcPr/>
          <w:p>
            <w:pPr>
              <w:pStyle w:val="Compact"/>
              <w:jc w:val="left"/>
            </w:pPr>
            <w:r>
              <w:t xml:space="preserve">.NET</w:t>
            </w:r>
          </w:p>
        </w:tc>
        <w:tc>
          <w:tcPr/>
          <w:p>
            <w:pPr>
              <w:pStyle w:val="Compact"/>
              <w:jc w:val="left"/>
            </w:pPr>
            <w:r>
              <w:t xml:space="preserve">tais-backend</w:t>
            </w:r>
          </w:p>
        </w:tc>
        <w:tc>
          <w:tcPr/>
          <w:p>
            <w:pPr>
              <w:pStyle w:val="Compact"/>
              <w:jc w:val="left"/>
            </w:pPr>
            <w:r>
              <w:t xml:space="preserve">Finance, Payments, Integration, Developer Portal</w:t>
            </w:r>
          </w:p>
        </w:tc>
      </w:tr>
      <w:tr>
        <w:tc>
          <w:tcPr/>
          <w:p>
            <w:pPr>
              <w:pStyle w:val="Compact"/>
              <w:jc w:val="left"/>
            </w:pPr>
            <w:r>
              <w:t xml:space="preserve">BE4</w:t>
            </w:r>
          </w:p>
        </w:tc>
        <w:tc>
          <w:tcPr/>
          <w:p>
            <w:pPr>
              <w:pStyle w:val="Compact"/>
              <w:jc w:val="left"/>
            </w:pPr>
            <w:r>
              <w:t xml:space="preserve">.NET + Python</w:t>
            </w:r>
          </w:p>
        </w:tc>
        <w:tc>
          <w:tcPr/>
          <w:p>
            <w:pPr>
              <w:pStyle w:val="Compact"/>
              <w:jc w:val="left"/>
            </w:pPr>
            <w:r>
              <w:t xml:space="preserve">tais-backend</w:t>
            </w:r>
          </w:p>
        </w:tc>
        <w:tc>
          <w:tcPr/>
          <w:p>
            <w:pPr>
              <w:pStyle w:val="Compact"/>
              <w:jc w:val="left"/>
            </w:pPr>
            <w:r>
              <w:t xml:space="preserve">AI/ML, Operations, Marketing &amp; CRM</w:t>
            </w:r>
          </w:p>
        </w:tc>
      </w:tr>
      <w:tr>
        <w:tc>
          <w:tcPr/>
          <w:p>
            <w:pPr>
              <w:pStyle w:val="Compact"/>
              <w:jc w:val="left"/>
            </w:pPr>
            <w:r>
              <w:t xml:space="preserve">FE</w:t>
            </w:r>
          </w:p>
        </w:tc>
        <w:tc>
          <w:tcPr/>
          <w:p>
            <w:pPr>
              <w:pStyle w:val="Compact"/>
              <w:jc w:val="left"/>
            </w:pPr>
            <w:r>
              <w:t xml:space="preserve">React</w:t>
            </w:r>
          </w:p>
        </w:tc>
        <w:tc>
          <w:tcPr/>
          <w:p>
            <w:pPr>
              <w:pStyle w:val="Compact"/>
              <w:jc w:val="left"/>
            </w:pPr>
            <w:r>
              <w:t xml:space="preserve">tais-web</w:t>
            </w:r>
          </w:p>
        </w:tc>
        <w:tc>
          <w:tcPr/>
          <w:p>
            <w:pPr>
              <w:pStyle w:val="Compact"/>
              <w:jc w:val="left"/>
            </w:pPr>
            <w:r>
              <w:t xml:space="preserve">Admin back-office, storefront, Command Center, all dashboards</w:t>
            </w:r>
          </w:p>
        </w:tc>
      </w:tr>
      <w:tr>
        <w:tc>
          <w:tcPr/>
          <w:p>
            <w:pPr>
              <w:pStyle w:val="Compact"/>
              <w:jc w:val="left"/>
            </w:pPr>
            <w:r>
              <w:t xml:space="preserve">EDGE</w:t>
            </w:r>
          </w:p>
        </w:tc>
        <w:tc>
          <w:tcPr/>
          <w:p>
            <w:pPr>
              <w:pStyle w:val="Compact"/>
              <w:jc w:val="left"/>
            </w:pPr>
            <w:r>
              <w:t xml:space="preserve">React Native, Electron</w:t>
            </w:r>
          </w:p>
        </w:tc>
        <w:tc>
          <w:tcPr/>
          <w:p>
            <w:pPr>
              <w:pStyle w:val="Compact"/>
              <w:jc w:val="left"/>
            </w:pPr>
            <w:r>
              <w:t xml:space="preserve">tais-edge</w:t>
            </w:r>
          </w:p>
        </w:tc>
        <w:tc>
          <w:tcPr/>
          <w:p>
            <w:pPr>
              <w:pStyle w:val="Compact"/>
              <w:jc w:val="left"/>
            </w:pPr>
            <w:r>
              <w:t xml:space="preserve">POS, kiosk, scanners, staff app, guest app, offline engine</w:t>
            </w:r>
          </w:p>
        </w:tc>
      </w:tr>
    </w:tbl>
    <w:p>
      <w:pPr>
        <w:pStyle w:val="BodyText"/>
      </w:pPr>
      <w:r>
        <w:rPr>
          <w:bCs/>
          <w:b/>
        </w:rPr>
        <w:t xml:space="preserve">Every requirement has exactly one named owner.</w:t>
      </w:r>
      <w:r>
        <w:t xml:space="preserve"> </w:t>
      </w:r>
      <w:r>
        <w:t xml:space="preserve">The owner is accountable for the implementation, the acceptance criteria, and the compliance answer given to the client. Ownership is recorded in the Owner column of the Traceability Register, not in a person’s memory. A requirement with no named owner is not scheduled and will not be delivered.</w:t>
      </w:r>
    </w:p>
    <w:p>
      <w:pPr>
        <w:pStyle w:val="BodyText"/>
      </w:pPr>
      <w:r>
        <w:t xml:space="preserve">Two functions currently carry requirements without assigned headcount: platform operations (CI/CD, infrastructure, disaster recovery, training delivery — 102 requirements) and security baseline (11 requirements). Until named, these are escalated to the Solution Architect rather than absorbed silently into a feature team.</w:t>
      </w:r>
    </w:p>
    <w:bookmarkEnd w:id="22"/>
    <w:bookmarkStart w:id="23" w:name="ground-rules"/>
    <w:p>
      <w:pPr>
        <w:pStyle w:val="Heading2"/>
      </w:pPr>
      <w:r>
        <w:t xml:space="preserve">1.4 Ground Rules</w:t>
      </w:r>
    </w:p>
    <w:p>
      <w:pPr>
        <w:pStyle w:val="FirstParagraph"/>
      </w:pPr>
      <w:r>
        <w:t xml:space="preserve">These rules exist because breaking them costs the whole team, not just the engineer who broke them.</w:t>
      </w:r>
    </w:p>
    <w:p>
      <w:pPr>
        <w:pStyle w:val="BodyText"/>
      </w:pPr>
      <w:r>
        <w:rPr>
          <w:bCs/>
          <w:b/>
        </w:rPr>
        <w:t xml:space="preserve">Never bypass tenant context.</w:t>
      </w:r>
      <w:r>
        <w:t xml:space="preserve"> </w:t>
      </w:r>
      <w:r>
        <w:t xml:space="preserve">Every request carries a tenant identifier from the gateway through to the database session. No query is written that could return another tenant’s row if the application filter were removed — Row-Level Security is the backstop, not the mechanism. Dev06 covers the implementation in full.</w:t>
      </w:r>
    </w:p>
    <w:p>
      <w:pPr>
        <w:pStyle w:val="BodyText"/>
      </w:pPr>
      <w:r>
        <w:rPr>
          <w:bCs/>
          <w:b/>
        </w:rPr>
        <w:t xml:space="preserve">Never write an API client by hand.</w:t>
      </w:r>
      <w:r>
        <w:t xml:space="preserve"> </w:t>
      </w:r>
      <w:r>
        <w:t xml:space="preserve">Typed clients are generated from the published OpenAPI contract and consumed as versioned packages. A hand-written fetch call against a service endpoint will be rejected at review.</w:t>
      </w:r>
    </w:p>
    <w:p>
      <w:pPr>
        <w:pStyle w:val="BodyText"/>
      </w:pPr>
      <w:r>
        <w:rPr>
          <w:bCs/>
          <w:b/>
        </w:rPr>
        <w:t xml:space="preserve">Never commit a secret.</w:t>
      </w:r>
      <w:r>
        <w:t xml:space="preserve"> </w:t>
      </w:r>
      <w:r>
        <w:t xml:space="preserve">Not in configuration files, not in test fixtures, not in a commented-out line. Local development uses the committed</w:t>
      </w:r>
      <w:r>
        <w:t xml:space="preserve"> </w:t>
      </w:r>
      <w:r>
        <w:rPr>
          <w:rStyle w:val="VerbatimChar"/>
        </w:rPr>
        <w:t xml:space="preserve">.env.example</w:t>
      </w:r>
      <w:r>
        <w:t xml:space="preserve"> </w:t>
      </w:r>
      <w:r>
        <w:t xml:space="preserve">template with non-production values; everything else comes from the secrets store. Repository scanning runs on every push.</w:t>
      </w:r>
    </w:p>
    <w:p>
      <w:pPr>
        <w:pStyle w:val="BodyText"/>
      </w:pPr>
      <w:r>
        <w:rPr>
          <w:bCs/>
          <w:b/>
        </w:rPr>
        <w:t xml:space="preserve">Every branch and pull request references its requirement.</w:t>
      </w:r>
      <w:r>
        <w:t xml:space="preserve"> </w:t>
      </w:r>
      <w:r>
        <w:t xml:space="preserve">Branch names carry the traceability reference —</w:t>
      </w:r>
      <w:r>
        <w:t xml:space="preserve"> </w:t>
      </w:r>
      <w:r>
        <w:rPr>
          <w:rStyle w:val="VerbatimChar"/>
        </w:rPr>
        <w:t xml:space="preserve">feat/F-1.1.4-open-dated-tickets</w:t>
      </w:r>
      <w:r>
        <w:t xml:space="preserve">. This is what allows the compliance response to be generated from the codebase rather than reconstructed by hand at the end of the project.</w:t>
      </w:r>
    </w:p>
    <w:p>
      <w:pPr>
        <w:pStyle w:val="BodyText"/>
      </w:pPr>
      <w:r>
        <w:rPr>
          <w:bCs/>
          <w:b/>
        </w:rPr>
        <w:t xml:space="preserve">The contract is merged before the implementation starts.</w:t>
      </w:r>
      <w:r>
        <w:t xml:space="preserve"> </w:t>
      </w:r>
      <w:r>
        <w:t xml:space="preserve">Not alongside. Not afterwards. If the contract is not merged, the consuming team cannot begin, and parallel work stalls.</w:t>
      </w:r>
    </w:p>
    <w:bookmarkEnd w:id="23"/>
    <w:bookmarkStart w:id="24" w:name="prerequisites"/>
    <w:p>
      <w:pPr>
        <w:pStyle w:val="Heading2"/>
      </w:pPr>
      <w:r>
        <w:t xml:space="preserve">1.5 Prerequisites</w:t>
      </w:r>
    </w:p>
    <w:p>
      <w:pPr>
        <w:pStyle w:val="FirstParagraph"/>
      </w:pPr>
      <w:r>
        <w:t xml:space="preserve">Install the following before day one. Versions are pinned because version drift between engineers produces defects that reproduce on one machine and not another.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Version</w:t>
            </w:r>
          </w:p>
        </w:tc>
        <w:tc>
          <w:tcPr/>
          <w:p>
            <w:pPr>
              <w:pStyle w:val="Compact"/>
              <w:jc w:val="left"/>
            </w:pPr>
            <w:r>
              <w:t xml:space="preserve">Required for</w:t>
            </w:r>
          </w:p>
        </w:tc>
      </w:tr>
      <w:tr>
        <w:tc>
          <w:tcPr/>
          <w:p>
            <w:pPr>
              <w:pStyle w:val="Compact"/>
              <w:jc w:val="left"/>
            </w:pPr>
            <w:r>
              <w:t xml:space="preserve">.NET SDK</w:t>
            </w:r>
          </w:p>
        </w:tc>
        <w:tc>
          <w:tcPr/>
          <w:p>
            <w:pPr>
              <w:pStyle w:val="Compact"/>
              <w:jc w:val="left"/>
            </w:pPr>
            <w:r>
              <w:t xml:space="preserve">8.0.x LTS</w:t>
            </w:r>
          </w:p>
        </w:tc>
        <w:tc>
          <w:tcPr/>
          <w:p>
            <w:pPr>
              <w:pStyle w:val="Compact"/>
              <w:jc w:val="left"/>
            </w:pPr>
            <w:r>
              <w:t xml:space="preserve">tais-backend</w:t>
            </w:r>
          </w:p>
        </w:tc>
      </w:tr>
      <w:tr>
        <w:tc>
          <w:tcPr/>
          <w:p>
            <w:pPr>
              <w:pStyle w:val="Compact"/>
              <w:jc w:val="left"/>
            </w:pPr>
            <w:r>
              <w:t xml:space="preserve">Python</w:t>
            </w:r>
          </w:p>
        </w:tc>
        <w:tc>
          <w:tcPr/>
          <w:p>
            <w:pPr>
              <w:pStyle w:val="Compact"/>
              <w:jc w:val="left"/>
            </w:pPr>
            <w:r>
              <w:t xml:space="preserve">3.12.x</w:t>
            </w:r>
          </w:p>
        </w:tc>
        <w:tc>
          <w:tcPr/>
          <w:p>
            <w:pPr>
              <w:pStyle w:val="Compact"/>
              <w:jc w:val="left"/>
            </w:pPr>
            <w:r>
              <w:t xml:space="preserve">tais-backend Python services</w:t>
            </w:r>
          </w:p>
        </w:tc>
      </w:tr>
      <w:tr>
        <w:tc>
          <w:tcPr/>
          <w:p>
            <w:pPr>
              <w:pStyle w:val="Compact"/>
              <w:jc w:val="left"/>
            </w:pPr>
            <w:r>
              <w:t xml:space="preserve">Node.js</w:t>
            </w:r>
          </w:p>
        </w:tc>
        <w:tc>
          <w:tcPr/>
          <w:p>
            <w:pPr>
              <w:pStyle w:val="Compact"/>
              <w:jc w:val="left"/>
            </w:pPr>
            <w:r>
              <w:t xml:space="preserve">20.x LTS</w:t>
            </w:r>
          </w:p>
        </w:tc>
        <w:tc>
          <w:tcPr/>
          <w:p>
            <w:pPr>
              <w:pStyle w:val="Compact"/>
              <w:jc w:val="left"/>
            </w:pPr>
            <w:r>
              <w:t xml:space="preserve">tais-web, tais-edge</w:t>
            </w:r>
          </w:p>
        </w:tc>
      </w:tr>
      <w:tr>
        <w:tc>
          <w:tcPr/>
          <w:p>
            <w:pPr>
              <w:pStyle w:val="Compact"/>
              <w:jc w:val="left"/>
            </w:pPr>
            <w:r>
              <w:t xml:space="preserve">Docker Desktop or Docker Engine</w:t>
            </w:r>
          </w:p>
        </w:tc>
        <w:tc>
          <w:tcPr/>
          <w:p>
            <w:pPr>
              <w:pStyle w:val="Compact"/>
              <w:jc w:val="left"/>
            </w:pPr>
            <w:r>
              <w:t xml:space="preserve">24.x or later, with Compose v2</w:t>
            </w:r>
          </w:p>
        </w:tc>
        <w:tc>
          <w:tcPr/>
          <w:p>
            <w:pPr>
              <w:pStyle w:val="Compact"/>
              <w:jc w:val="left"/>
            </w:pPr>
            <w:r>
              <w:t xml:space="preserve">Local infrastructure stack</w:t>
            </w:r>
          </w:p>
        </w:tc>
      </w:tr>
      <w:tr>
        <w:tc>
          <w:tcPr/>
          <w:p>
            <w:pPr>
              <w:pStyle w:val="Compact"/>
              <w:jc w:val="left"/>
            </w:pPr>
            <w:r>
              <w:t xml:space="preserve">Git</w:t>
            </w:r>
          </w:p>
        </w:tc>
        <w:tc>
          <w:tcPr/>
          <w:p>
            <w:pPr>
              <w:pStyle w:val="Compact"/>
              <w:jc w:val="left"/>
            </w:pPr>
            <w:r>
              <w:t xml:space="preserve">2.40 or later</w:t>
            </w:r>
          </w:p>
        </w:tc>
        <w:tc>
          <w:tcPr/>
          <w:p>
            <w:pPr>
              <w:pStyle w:val="Compact"/>
              <w:jc w:val="left"/>
            </w:pPr>
            <w:r>
              <w:t xml:space="preserve">All repositories</w:t>
            </w:r>
          </w:p>
        </w:tc>
      </w:tr>
      <w:tr>
        <w:tc>
          <w:tcPr/>
          <w:p>
            <w:pPr>
              <w:pStyle w:val="Compact"/>
              <w:jc w:val="left"/>
            </w:pPr>
            <w:r>
              <w:t xml:space="preserve">Android Studio</w:t>
            </w:r>
          </w:p>
        </w:tc>
        <w:tc>
          <w:tcPr/>
          <w:p>
            <w:pPr>
              <w:pStyle w:val="Compact"/>
              <w:jc w:val="left"/>
            </w:pPr>
            <w:r>
              <w:t xml:space="preserve">Hedgehog or later, SDK 34</w:t>
            </w:r>
          </w:p>
        </w:tc>
        <w:tc>
          <w:tcPr/>
          <w:p>
            <w:pPr>
              <w:pStyle w:val="Compact"/>
              <w:jc w:val="left"/>
            </w:pPr>
            <w:r>
              <w:t xml:space="preserve">tais-edge only</w:t>
            </w:r>
          </w:p>
        </w:tc>
      </w:tr>
      <w:tr>
        <w:tc>
          <w:tcPr/>
          <w:p>
            <w:pPr>
              <w:pStyle w:val="Compact"/>
              <w:jc w:val="left"/>
            </w:pPr>
            <w:r>
              <w:t xml:space="preserve">JDK</w:t>
            </w:r>
          </w:p>
        </w:tc>
        <w:tc>
          <w:tcPr/>
          <w:p>
            <w:pPr>
              <w:pStyle w:val="Compact"/>
              <w:jc w:val="left"/>
            </w:pPr>
            <w:r>
              <w:t xml:space="preserve">17</w:t>
            </w:r>
          </w:p>
        </w:tc>
        <w:tc>
          <w:tcPr/>
          <w:p>
            <w:pPr>
              <w:pStyle w:val="Compact"/>
              <w:jc w:val="left"/>
            </w:pPr>
            <w:r>
              <w:t xml:space="preserve">Android builds only</w:t>
            </w:r>
          </w:p>
        </w:tc>
      </w:tr>
    </w:tbl>
    <w:p>
      <w:pPr>
        <w:pStyle w:val="BodyText"/>
      </w:pPr>
      <w:r>
        <w:t xml:space="preserve">Accounts to request from the delivery lead on day one: source control with access to the three repositories, the private package registry, the secrets store, the project tracker, the Obsidian knowledge base, and the Traceability Register.</w:t>
      </w:r>
    </w:p>
    <w:bookmarkEnd w:id="24"/>
    <w:bookmarkStart w:id="25" w:name="day-one-working-stack-in-thirty-minutes"/>
    <w:p>
      <w:pPr>
        <w:pStyle w:val="Heading2"/>
      </w:pPr>
      <w:r>
        <w:t xml:space="preserve">1.6 Day One — Working Stack in Thirty Minutes</w:t>
      </w:r>
    </w:p>
    <w:p>
      <w:pPr>
        <w:pStyle w:val="FirstParagraph"/>
      </w:pPr>
      <w:r>
        <w:t xml:space="preserve">The target is a running platform before any product knowledge is required. The full procedure, including seed data and per-surface run instructions, is in Dev03. The short path is:</w:t>
      </w:r>
    </w:p>
    <w:p>
      <w:pPr>
        <w:numPr>
          <w:ilvl w:val="0"/>
          <w:numId w:val="1001"/>
        </w:numPr>
        <w:pStyle w:val="Compact"/>
      </w:pPr>
      <w:r>
        <w:t xml:space="preserve">Clone</w:t>
      </w:r>
      <w:r>
        <w:t xml:space="preserve"> </w:t>
      </w:r>
      <w:r>
        <w:rPr>
          <w:rStyle w:val="VerbatimChar"/>
        </w:rPr>
        <w:t xml:space="preserve">tais-backend</w:t>
      </w:r>
      <w:r>
        <w:t xml:space="preserve">. 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Run</w:t>
      </w:r>
      <w:r>
        <w:t xml:space="preserve"> </w:t>
      </w:r>
      <w:r>
        <w:rPr>
          <w:rStyle w:val="VerbatimChar"/>
        </w:rPr>
        <w:t xml:space="preserve">make up</w:t>
      </w:r>
      <w:r>
        <w:t xml:space="preserve"> </w:t>
      </w:r>
      <w:r>
        <w:t xml:space="preserve">to start PostgreSQL, Redis, Kafka, Qdrant, and Elasticsearch in Docker.</w:t>
      </w:r>
    </w:p>
    <w:p>
      <w:pPr>
        <w:numPr>
          <w:ilvl w:val="0"/>
          <w:numId w:val="1001"/>
        </w:numPr>
        <w:pStyle w:val="Compact"/>
      </w:pPr>
      <w:r>
        <w:t xml:space="preserve">Run</w:t>
      </w:r>
      <w:r>
        <w:t xml:space="preserve"> </w:t>
      </w:r>
      <w:r>
        <w:rPr>
          <w:rStyle w:val="VerbatimChar"/>
        </w:rPr>
        <w:t xml:space="preserve">make migrate &amp;&amp; make seed</w:t>
      </w:r>
      <w:r>
        <w:t xml:space="preserve">. This provisions three demonstration tenants with venues, products, ticket types, and staff accounts.</w:t>
      </w:r>
    </w:p>
    <w:p>
      <w:pPr>
        <w:numPr>
          <w:ilvl w:val="0"/>
          <w:numId w:val="1001"/>
        </w:numPr>
        <w:pStyle w:val="Compact"/>
      </w:pPr>
      <w:r>
        <w:t xml:space="preserve">Run</w:t>
      </w:r>
      <w:r>
        <w:t xml:space="preserve"> </w:t>
      </w:r>
      <w:r>
        <w:rPr>
          <w:rStyle w:val="VerbatimChar"/>
        </w:rPr>
        <w:t xml:space="preserve">make run-core</w:t>
      </w:r>
      <w:r>
        <w:t xml:space="preserve"> </w:t>
      </w:r>
      <w:r>
        <w:t xml:space="preserve">to start Identity, Tenant, Ticketing, and Commerce. Confirm the aggregated OpenAPI document loads at the gateway address printed in the terminal.</w:t>
      </w:r>
    </w:p>
    <w:p>
      <w:pPr>
        <w:numPr>
          <w:ilvl w:val="0"/>
          <w:numId w:val="1001"/>
        </w:numPr>
        <w:pStyle w:val="Compact"/>
      </w:pPr>
      <w:r>
        <w:t xml:space="preserve">Clone</w:t>
      </w:r>
      <w:r>
        <w:t xml:space="preserve"> </w:t>
      </w:r>
      <w:r>
        <w:rPr>
          <w:rStyle w:val="VerbatimChar"/>
        </w:rPr>
        <w:t xml:space="preserve">tais-web</w:t>
      </w:r>
      <w:r>
        <w:t xml:space="preserve">. Run</w:t>
      </w:r>
      <w:r>
        <w:t xml:space="preserve"> </w:t>
      </w:r>
      <w:r>
        <w:rPr>
          <w:rStyle w:val="VerbatimChar"/>
        </w:rPr>
        <w:t xml:space="preserve">npm ci &amp;&amp; npm run dev</w:t>
      </w:r>
      <w:r>
        <w:t xml:space="preserve">. Sign in with the seeded administrator account for tenant</w:t>
      </w:r>
      <w:r>
        <w:t xml:space="preserve"> </w:t>
      </w:r>
      <w:r>
        <w:rPr>
          <w:rStyle w:val="VerbatimChar"/>
        </w:rPr>
        <w:t xml:space="preserve">demo-venue-01</w:t>
      </w:r>
      <w:r>
        <w:t xml:space="preserve">.</w:t>
      </w:r>
    </w:p>
    <w:p>
      <w:pPr>
        <w:numPr>
          <w:ilvl w:val="0"/>
          <w:numId w:val="1001"/>
        </w:numPr>
        <w:pStyle w:val="Compact"/>
      </w:pPr>
      <w:r>
        <w:t xml:space="preserve">Edge engineers additionally clone</w:t>
      </w:r>
      <w:r>
        <w:t xml:space="preserve"> </w:t>
      </w:r>
      <w:r>
        <w:rPr>
          <w:rStyle w:val="VerbatimChar"/>
        </w:rPr>
        <w:t xml:space="preserve">tais-edge</w:t>
      </w:r>
      <w:r>
        <w:t xml:space="preserve"> </w:t>
      </w:r>
      <w:r>
        <w:t xml:space="preserve">and follow the device and simulator setup in Dev03, section 3.7.</w:t>
      </w:r>
    </w:p>
    <w:p>
      <w:pPr>
        <w:pStyle w:val="FirstParagraph"/>
      </w:pPr>
      <w:r>
        <w:t xml:space="preserve">If any step fails, the fault is in the environment documentation, not in the engineer. Raise it and the document is corrected — do not fix it silently on your own machine.</w:t>
      </w:r>
    </w:p>
    <w:bookmarkEnd w:id="25"/>
    <w:bookmarkStart w:id="26" w:name="working-practice"/>
    <w:p>
      <w:pPr>
        <w:pStyle w:val="Heading2"/>
      </w:pPr>
      <w:r>
        <w:t xml:space="preserve">1.7 Working Practice</w:t>
      </w:r>
    </w:p>
    <w:p>
      <w:pPr>
        <w:pStyle w:val="FirstParagraph"/>
      </w:pPr>
      <w:r>
        <w:t xml:space="preserve">Development runs in two-week sprints against the backlog derived from the Traceability Register. Work is not started from the client matrix directly, because the matrix taxonomy contains mislabelled domains and reused sub-domain identifiers; the register is the corrected view and the only valid source for backlog items.</w:t>
      </w:r>
    </w:p>
    <w:p>
      <w:pPr>
        <w:pStyle w:val="BodyText"/>
      </w:pPr>
      <w:r>
        <w:t xml:space="preserve">All architectural decisions, domain specifications, API contracts, and integration notes are maintained in the Obsidian knowledge base as structured Markdown, organised by domain. When beginning a task, pull the relevant domain documents into context before writing code. Session outcomes are written back after any significant design work, so the knowledge base stays current rather than becoming an artefact of the first month.</w:t>
      </w:r>
    </w:p>
    <w:p>
      <w:pPr>
        <w:pStyle w:val="BodyText"/>
      </w:pPr>
      <w:r>
        <w:t xml:space="preserve">AI-assisted development is standard practice on this project, not an experiment. Engineering judgement, architectural decisions, and quality accountability remain with the engineer. Generated code is reviewed to the same standard as hand-written code, and the reviewer is accountable for what they approve.</w:t>
      </w:r>
    </w:p>
    <w:bookmarkEnd w:id="26"/>
    <w:bookmarkStart w:id="27" w:name="document-set"/>
    <w:p>
      <w:pPr>
        <w:pStyle w:val="Heading2"/>
      </w:pPr>
      <w:r>
        <w:t xml:space="preserve">1.8 Document Set</w:t>
      </w:r>
    </w:p>
    <w:p>
      <w:pPr>
        <w:pStyle w:val="FirstParagraph"/>
      </w:pPr>
      <w:r>
        <w:t xml:space="preserve">This handbook is the first of nineteen. Read Tier 0 before writing code; read the Tier 1 document covering your domain before writing code in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Document</w:t>
            </w:r>
          </w:p>
        </w:tc>
        <w:tc>
          <w:tcPr/>
          <w:p>
            <w:pPr>
              <w:pStyle w:val="Compact"/>
              <w:jc w:val="left"/>
            </w:pPr>
            <w:r>
              <w:t xml:space="preserve">Covers</w:t>
            </w:r>
          </w:p>
        </w:tc>
      </w:tr>
      <w:tr>
        <w:tc>
          <w:tcPr/>
          <w:p>
            <w:pPr>
              <w:pStyle w:val="Compact"/>
              <w:jc w:val="left"/>
            </w:pPr>
            <w:r>
              <w:t xml:space="preserve">0</w:t>
            </w:r>
          </w:p>
        </w:tc>
        <w:tc>
          <w:tcPr/>
          <w:p>
            <w:pPr>
              <w:pStyle w:val="Compact"/>
              <w:jc w:val="left"/>
            </w:pPr>
            <w:r>
              <w:t xml:space="preserve">Dev01 Engineering Handbook</w:t>
            </w:r>
          </w:p>
        </w:tc>
        <w:tc>
          <w:tcPr/>
          <w:p>
            <w:pPr>
              <w:pStyle w:val="Compact"/>
              <w:jc w:val="left"/>
            </w:pPr>
            <w:r>
              <w:t xml:space="preserve">This document</w:t>
            </w:r>
          </w:p>
        </w:tc>
      </w:tr>
      <w:tr>
        <w:tc>
          <w:tcPr/>
          <w:p>
            <w:pPr>
              <w:pStyle w:val="Compact"/>
              <w:jc w:val="left"/>
            </w:pPr>
            <w:r>
              <w:t xml:space="preserve">0</w:t>
            </w:r>
          </w:p>
        </w:tc>
        <w:tc>
          <w:tcPr/>
          <w:p>
            <w:pPr>
              <w:pStyle w:val="Compact"/>
              <w:jc w:val="left"/>
            </w:pPr>
            <w:r>
              <w:t xml:space="preserve">Dev02 Repository, Solution Structure &amp; Contract Pipeline</w:t>
            </w:r>
          </w:p>
        </w:tc>
        <w:tc>
          <w:tcPr/>
          <w:p>
            <w:pPr>
              <w:pStyle w:val="Compact"/>
              <w:jc w:val="left"/>
            </w:pPr>
            <w:r>
              <w:t xml:space="preserve">Repository layout, naming, contract generation and versioning</w:t>
            </w:r>
          </w:p>
        </w:tc>
      </w:tr>
      <w:tr>
        <w:tc>
          <w:tcPr/>
          <w:p>
            <w:pPr>
              <w:pStyle w:val="Compact"/>
              <w:jc w:val="left"/>
            </w:pPr>
            <w:r>
              <w:t xml:space="preserve">0</w:t>
            </w:r>
          </w:p>
        </w:tc>
        <w:tc>
          <w:tcPr/>
          <w:p>
            <w:pPr>
              <w:pStyle w:val="Compact"/>
              <w:jc w:val="left"/>
            </w:pPr>
            <w:r>
              <w:t xml:space="preserve">Dev03 Local Development Environment</w:t>
            </w:r>
          </w:p>
        </w:tc>
        <w:tc>
          <w:tcPr/>
          <w:p>
            <w:pPr>
              <w:pStyle w:val="Compact"/>
              <w:jc w:val="left"/>
            </w:pPr>
            <w:r>
              <w:t xml:space="preserve">Infrastructure stack, seed data, per-surface run instructions</w:t>
            </w:r>
          </w:p>
        </w:tc>
      </w:tr>
      <w:tr>
        <w:tc>
          <w:tcPr/>
          <w:p>
            <w:pPr>
              <w:pStyle w:val="Compact"/>
              <w:jc w:val="left"/>
            </w:pPr>
            <w:r>
              <w:t xml:space="preserve">0</w:t>
            </w:r>
          </w:p>
        </w:tc>
        <w:tc>
          <w:tcPr/>
          <w:p>
            <w:pPr>
              <w:pStyle w:val="Compact"/>
              <w:jc w:val="left"/>
            </w:pPr>
            <w:r>
              <w:t xml:space="preserve">Dev04 Coding Standards</w:t>
            </w:r>
          </w:p>
        </w:tc>
        <w:tc>
          <w:tcPr/>
          <w:p>
            <w:pPr>
              <w:pStyle w:val="Compact"/>
              <w:jc w:val="left"/>
            </w:pPr>
            <w:r>
              <w:t xml:space="preserve">.NET, Python, React, React Native conventions</w:t>
            </w:r>
          </w:p>
        </w:tc>
      </w:tr>
      <w:tr>
        <w:tc>
          <w:tcPr/>
          <w:p>
            <w:pPr>
              <w:pStyle w:val="Compact"/>
              <w:jc w:val="left"/>
            </w:pPr>
            <w:r>
              <w:t xml:space="preserve">0</w:t>
            </w:r>
          </w:p>
        </w:tc>
        <w:tc>
          <w:tcPr/>
          <w:p>
            <w:pPr>
              <w:pStyle w:val="Compact"/>
              <w:jc w:val="left"/>
            </w:pPr>
            <w:r>
              <w:t xml:space="preserve">Dev05 Branching, Pull Requests &amp; Definition of Done</w:t>
            </w:r>
          </w:p>
        </w:tc>
        <w:tc>
          <w:tcPr/>
          <w:p>
            <w:pPr>
              <w:pStyle w:val="Compact"/>
              <w:jc w:val="left"/>
            </w:pPr>
            <w:r>
              <w:t xml:space="preserve">Review gates and merge criteria</w:t>
            </w:r>
          </w:p>
        </w:tc>
      </w:tr>
      <w:tr>
        <w:tc>
          <w:tcPr/>
          <w:p>
            <w:pPr>
              <w:pStyle w:val="Compact"/>
              <w:jc w:val="left"/>
            </w:pPr>
            <w:r>
              <w:t xml:space="preserve">1</w:t>
            </w:r>
          </w:p>
        </w:tc>
        <w:tc>
          <w:tcPr/>
          <w:p>
            <w:pPr>
              <w:pStyle w:val="Compact"/>
              <w:jc w:val="left"/>
            </w:pPr>
            <w:r>
              <w:t xml:space="preserve">Dev06 Multi-Tenancy &amp; Identity</w:t>
            </w:r>
          </w:p>
        </w:tc>
        <w:tc>
          <w:tcPr/>
          <w:p>
            <w:pPr>
              <w:pStyle w:val="Compact"/>
              <w:jc w:val="left"/>
            </w:pPr>
            <w:r>
              <w:t xml:space="preserve">Tenant context, Row-Level Security, licensing and entitlement model</w:t>
            </w:r>
          </w:p>
        </w:tc>
      </w:tr>
      <w:tr>
        <w:tc>
          <w:tcPr/>
          <w:p>
            <w:pPr>
              <w:pStyle w:val="Compact"/>
              <w:jc w:val="left"/>
            </w:pPr>
            <w:r>
              <w:t xml:space="preserve">1</w:t>
            </w:r>
          </w:p>
        </w:tc>
        <w:tc>
          <w:tcPr/>
          <w:p>
            <w:pPr>
              <w:pStyle w:val="Compact"/>
              <w:jc w:val="left"/>
            </w:pPr>
            <w:r>
              <w:t xml:space="preserve">Dev07 API-First Contract Workflow</w:t>
            </w:r>
          </w:p>
        </w:tc>
        <w:tc>
          <w:tcPr/>
          <w:p>
            <w:pPr>
              <w:pStyle w:val="Compact"/>
              <w:jc w:val="left"/>
            </w:pPr>
            <w:r>
              <w:t xml:space="preserve">Contract authoring, versioning, error model, pagination</w:t>
            </w:r>
          </w:p>
        </w:tc>
      </w:tr>
      <w:tr>
        <w:tc>
          <w:tcPr/>
          <w:p>
            <w:pPr>
              <w:pStyle w:val="Compact"/>
              <w:jc w:val="left"/>
            </w:pPr>
            <w:r>
              <w:t xml:space="preserve">1</w:t>
            </w:r>
          </w:p>
        </w:tc>
        <w:tc>
          <w:tcPr/>
          <w:p>
            <w:pPr>
              <w:pStyle w:val="Compact"/>
              <w:jc w:val="left"/>
            </w:pPr>
            <w:r>
              <w:t xml:space="preserve">Dev08 Eventing &amp; Kafka</w:t>
            </w:r>
          </w:p>
        </w:tc>
        <w:tc>
          <w:tcPr/>
          <w:p>
            <w:pPr>
              <w:pStyle w:val="Compact"/>
              <w:jc w:val="left"/>
            </w:pPr>
            <w:r>
              <w:t xml:space="preserve">Topic taxonomy, event envelope, idempotency, consumer patterns</w:t>
            </w:r>
          </w:p>
        </w:tc>
      </w:tr>
      <w:tr>
        <w:tc>
          <w:tcPr/>
          <w:p>
            <w:pPr>
              <w:pStyle w:val="Compact"/>
              <w:jc w:val="left"/>
            </w:pPr>
            <w:r>
              <w:t xml:space="preserve">1</w:t>
            </w:r>
          </w:p>
        </w:tc>
        <w:tc>
          <w:tcPr/>
          <w:p>
            <w:pPr>
              <w:pStyle w:val="Compact"/>
              <w:jc w:val="left"/>
            </w:pPr>
            <w:r>
              <w:t xml:space="preserve">Dev09 Offline &amp; Sync Engine</w:t>
            </w:r>
          </w:p>
        </w:tc>
        <w:tc>
          <w:tcPr/>
          <w:p>
            <w:pPr>
              <w:pStyle w:val="Compact"/>
              <w:jc w:val="left"/>
            </w:pPr>
            <w:r>
              <w:t xml:space="preserve">Event-sourced local store, conflict resolution, ticket cryptography</w:t>
            </w:r>
          </w:p>
        </w:tc>
      </w:tr>
      <w:tr>
        <w:tc>
          <w:tcPr/>
          <w:p>
            <w:pPr>
              <w:pStyle w:val="Compact"/>
              <w:jc w:val="left"/>
            </w:pPr>
            <w:r>
              <w:t xml:space="preserve">1</w:t>
            </w:r>
          </w:p>
        </w:tc>
        <w:tc>
          <w:tcPr/>
          <w:p>
            <w:pPr>
              <w:pStyle w:val="Compact"/>
              <w:jc w:val="left"/>
            </w:pPr>
            <w:r>
              <w:t xml:space="preserve">Dev10 Shared Platform SDK</w:t>
            </w:r>
          </w:p>
        </w:tc>
        <w:tc>
          <w:tcPr/>
          <w:p>
            <w:pPr>
              <w:pStyle w:val="Compact"/>
              <w:jc w:val="left"/>
            </w:pPr>
            <w:r>
              <w:t xml:space="preserve">Cross-cutting client libraries</w:t>
            </w:r>
          </w:p>
        </w:tc>
      </w:tr>
      <w:tr>
        <w:tc>
          <w:tcPr/>
          <w:p>
            <w:pPr>
              <w:pStyle w:val="Compact"/>
              <w:jc w:val="left"/>
            </w:pPr>
            <w:r>
              <w:t xml:space="preserve">1</w:t>
            </w:r>
          </w:p>
        </w:tc>
        <w:tc>
          <w:tcPr/>
          <w:p>
            <w:pPr>
              <w:pStyle w:val="Compact"/>
              <w:jc w:val="left"/>
            </w:pPr>
            <w:r>
              <w:t xml:space="preserve">Dev17 Developer Security Baseline</w:t>
            </w:r>
          </w:p>
        </w:tc>
        <w:tc>
          <w:tcPr/>
          <w:p>
            <w:pPr>
              <w:pStyle w:val="Compact"/>
              <w:jc w:val="left"/>
            </w:pPr>
            <w:r>
              <w:t xml:space="preserve">Secrets, key rotation, security event emission, PCI boundary</w:t>
            </w:r>
          </w:p>
        </w:tc>
      </w:tr>
      <w:tr>
        <w:tc>
          <w:tcPr/>
          <w:p>
            <w:pPr>
              <w:pStyle w:val="Compact"/>
              <w:jc w:val="left"/>
            </w:pPr>
            <w:r>
              <w:t xml:space="preserve">1</w:t>
            </w:r>
          </w:p>
        </w:tc>
        <w:tc>
          <w:tcPr/>
          <w:p>
            <w:pPr>
              <w:pStyle w:val="Compact"/>
              <w:jc w:val="left"/>
            </w:pPr>
            <w:r>
              <w:t xml:space="preserve">Dev19 AI/ML Engineering Guide</w:t>
            </w:r>
          </w:p>
        </w:tc>
        <w:tc>
          <w:tcPr/>
          <w:p>
            <w:pPr>
              <w:pStyle w:val="Compact"/>
              <w:jc w:val="left"/>
            </w:pPr>
            <w:r>
              <w:t xml:space="preserve">Model lifecycle, evaluation, grounding, data pipeline</w:t>
            </w:r>
          </w:p>
        </w:tc>
      </w:tr>
      <w:tr>
        <w:tc>
          <w:tcPr/>
          <w:p>
            <w:pPr>
              <w:pStyle w:val="Compact"/>
              <w:jc w:val="left"/>
            </w:pPr>
            <w:r>
              <w:t xml:space="preserve">2</w:t>
            </w:r>
          </w:p>
        </w:tc>
        <w:tc>
          <w:tcPr/>
          <w:p>
            <w:pPr>
              <w:pStyle w:val="Compact"/>
              <w:jc w:val="left"/>
            </w:pPr>
            <w:r>
              <w:t xml:space="preserve">Dev11 Backend Service Template</w:t>
            </w:r>
          </w:p>
        </w:tc>
        <w:tc>
          <w:tcPr/>
          <w:p>
            <w:pPr>
              <w:pStyle w:val="Compact"/>
              <w:jc w:val="left"/>
            </w:pPr>
            <w:r>
              <w:t xml:space="preserve">Service scaffold and first endpoint</w:t>
            </w:r>
          </w:p>
        </w:tc>
      </w:tr>
      <w:tr>
        <w:tc>
          <w:tcPr/>
          <w:p>
            <w:pPr>
              <w:pStyle w:val="Compact"/>
              <w:jc w:val="left"/>
            </w:pPr>
            <w:r>
              <w:t xml:space="preserve">2</w:t>
            </w:r>
          </w:p>
        </w:tc>
        <w:tc>
          <w:tcPr/>
          <w:p>
            <w:pPr>
              <w:pStyle w:val="Compact"/>
              <w:jc w:val="left"/>
            </w:pPr>
            <w:r>
              <w:t xml:space="preserve">Dev12 Web Frontend Guide</w:t>
            </w:r>
          </w:p>
        </w:tc>
        <w:tc>
          <w:tcPr/>
          <w:p>
            <w:pPr>
              <w:pStyle w:val="Compact"/>
              <w:jc w:val="left"/>
            </w:pPr>
            <w:r>
              <w:t xml:space="preserve">Application structure, design system, state management</w:t>
            </w:r>
          </w:p>
        </w:tc>
      </w:tr>
      <w:tr>
        <w:tc>
          <w:tcPr/>
          <w:p>
            <w:pPr>
              <w:pStyle w:val="Compact"/>
              <w:jc w:val="left"/>
            </w:pPr>
            <w:r>
              <w:t xml:space="preserve">2</w:t>
            </w:r>
          </w:p>
        </w:tc>
        <w:tc>
          <w:tcPr/>
          <w:p>
            <w:pPr>
              <w:pStyle w:val="Compact"/>
              <w:jc w:val="left"/>
            </w:pPr>
            <w:r>
              <w:t xml:space="preserve">Dev13 Edge Client Guide</w:t>
            </w:r>
          </w:p>
        </w:tc>
        <w:tc>
          <w:tcPr/>
          <w:p>
            <w:pPr>
              <w:pStyle w:val="Compact"/>
              <w:jc w:val="left"/>
            </w:pPr>
            <w:r>
              <w:t xml:space="preserve">POS, kiosk, staff and guest application structure</w:t>
            </w:r>
          </w:p>
        </w:tc>
      </w:tr>
      <w:tr>
        <w:tc>
          <w:tcPr/>
          <w:p>
            <w:pPr>
              <w:pStyle w:val="Compact"/>
              <w:jc w:val="left"/>
            </w:pPr>
            <w:r>
              <w:t xml:space="preserve">2</w:t>
            </w:r>
          </w:p>
        </w:tc>
        <w:tc>
          <w:tcPr/>
          <w:p>
            <w:pPr>
              <w:pStyle w:val="Compact"/>
              <w:jc w:val="left"/>
            </w:pPr>
            <w:r>
              <w:t xml:space="preserve">Dev13b Hardware Integration &amp; Simulator</w:t>
            </w:r>
          </w:p>
        </w:tc>
        <w:tc>
          <w:tcPr/>
          <w:p>
            <w:pPr>
              <w:pStyle w:val="Compact"/>
              <w:jc w:val="left"/>
            </w:pPr>
            <w:r>
              <w:t xml:space="preserve">Device adapter contract, simulator harness, biometric consent controls</w:t>
            </w:r>
          </w:p>
        </w:tc>
      </w:tr>
      <w:tr>
        <w:tc>
          <w:tcPr/>
          <w:p>
            <w:pPr>
              <w:pStyle w:val="Compact"/>
              <w:jc w:val="left"/>
            </w:pPr>
            <w:r>
              <w:t xml:space="preserve">3</w:t>
            </w:r>
          </w:p>
        </w:tc>
        <w:tc>
          <w:tcPr/>
          <w:p>
            <w:pPr>
              <w:pStyle w:val="Compact"/>
              <w:jc w:val="left"/>
            </w:pPr>
            <w:r>
              <w:t xml:space="preserve">Dev14 CI/CD, Infrastructure &amp; Environments</w:t>
            </w:r>
          </w:p>
        </w:tc>
        <w:tc>
          <w:tcPr/>
          <w:p>
            <w:pPr>
              <w:pStyle w:val="Compact"/>
              <w:jc w:val="left"/>
            </w:pPr>
            <w:r>
              <w:t xml:space="preserve">Pipelines, Terraform, environment promotion</w:t>
            </w:r>
          </w:p>
        </w:tc>
      </w:tr>
      <w:tr>
        <w:tc>
          <w:tcPr/>
          <w:p>
            <w:pPr>
              <w:pStyle w:val="Compact"/>
              <w:jc w:val="left"/>
            </w:pPr>
            <w:r>
              <w:t xml:space="preserve">3</w:t>
            </w:r>
          </w:p>
        </w:tc>
        <w:tc>
          <w:tcPr/>
          <w:p>
            <w:pPr>
              <w:pStyle w:val="Compact"/>
              <w:jc w:val="left"/>
            </w:pPr>
            <w:r>
              <w:t xml:space="preserve">Dev15 Observability</w:t>
            </w:r>
          </w:p>
        </w:tc>
        <w:tc>
          <w:tcPr/>
          <w:p>
            <w:pPr>
              <w:pStyle w:val="Compact"/>
              <w:jc w:val="left"/>
            </w:pPr>
            <w:r>
              <w:t xml:space="preserve">Logging, metrics, tracing, health reporting</w:t>
            </w:r>
          </w:p>
        </w:tc>
      </w:tr>
      <w:tr>
        <w:tc>
          <w:tcPr/>
          <w:p>
            <w:pPr>
              <w:pStyle w:val="Compact"/>
              <w:jc w:val="left"/>
            </w:pPr>
            <w:r>
              <w:t xml:space="preserve">3</w:t>
            </w:r>
          </w:p>
        </w:tc>
        <w:tc>
          <w:tcPr/>
          <w:p>
            <w:pPr>
              <w:pStyle w:val="Compact"/>
              <w:jc w:val="left"/>
            </w:pPr>
            <w:r>
              <w:t xml:space="preserve">Dev16 Testing Strategy</w:t>
            </w:r>
          </w:p>
        </w:tc>
        <w:tc>
          <w:tcPr/>
          <w:p>
            <w:pPr>
              <w:pStyle w:val="Compact"/>
              <w:jc w:val="left"/>
            </w:pPr>
            <w:r>
              <w:t xml:space="preserve">Test pyramid, offline-sync tests, hardware simulation</w:t>
            </w:r>
          </w:p>
        </w:tc>
      </w:tr>
      <w:tr>
        <w:tc>
          <w:tcPr/>
          <w:p>
            <w:pPr>
              <w:pStyle w:val="Compact"/>
              <w:jc w:val="left"/>
            </w:pPr>
            <w:r>
              <w:t xml:space="preserve">—</w:t>
            </w:r>
          </w:p>
        </w:tc>
        <w:tc>
          <w:tcPr/>
          <w:p>
            <w:pPr>
              <w:pStyle w:val="Compact"/>
              <w:jc w:val="left"/>
            </w:pPr>
            <w:r>
              <w:t xml:space="preserve">Dev18 Requirement Traceability</w:t>
            </w:r>
          </w:p>
        </w:tc>
        <w:tc>
          <w:tcPr/>
          <w:p>
            <w:pPr>
              <w:pStyle w:val="Compact"/>
              <w:jc w:val="left"/>
            </w:pPr>
            <w:r>
              <w:t xml:space="preserve">Register structure and maintenance</w:t>
            </w:r>
          </w:p>
        </w:tc>
      </w:tr>
    </w:tbl>
    <w:bookmarkEnd w:id="27"/>
    <w:bookmarkStart w:id="28" w:name="escalation"/>
    <w:p>
      <w:pPr>
        <w:pStyle w:val="Heading2"/>
      </w:pPr>
      <w:r>
        <w:t xml:space="preserve">1.9 Escalation</w:t>
      </w:r>
    </w:p>
    <w:p>
      <w:pPr>
        <w:pStyle w:val="FirstParagraph"/>
      </w:pPr>
      <w:r>
        <w:t xml:space="preserve">Raise a blocker the same day it blocks you. A developer stuck for two days on an environment problem is more expensive than any interruption to a lead.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Route to</w:t>
            </w:r>
          </w:p>
        </w:tc>
      </w:tr>
      <w:tr>
        <w:tc>
          <w:tcPr/>
          <w:p>
            <w:pPr>
              <w:pStyle w:val="Compact"/>
              <w:jc w:val="left"/>
            </w:pPr>
            <w:r>
              <w:t xml:space="preserve">Environment or tooling failure</w:t>
            </w:r>
          </w:p>
        </w:tc>
        <w:tc>
          <w:tcPr/>
          <w:p>
            <w:pPr>
              <w:pStyle w:val="Compact"/>
              <w:jc w:val="left"/>
            </w:pPr>
            <w:r>
              <w:t xml:space="preserve">Platform operations, then Solution Architect if unresolved within four hours</w:t>
            </w:r>
          </w:p>
        </w:tc>
      </w:tr>
      <w:tr>
        <w:tc>
          <w:tcPr/>
          <w:p>
            <w:pPr>
              <w:pStyle w:val="Compact"/>
              <w:jc w:val="left"/>
            </w:pPr>
            <w:r>
              <w:t xml:space="preserve">Ambiguous requirement</w:t>
            </w:r>
          </w:p>
        </w:tc>
        <w:tc>
          <w:tcPr/>
          <w:p>
            <w:pPr>
              <w:pStyle w:val="Compact"/>
              <w:jc w:val="left"/>
            </w:pPr>
            <w:r>
              <w:t xml:space="preserve">Domain owner, then the client compliance response process — never resolve by assumption</w:t>
            </w:r>
          </w:p>
        </w:tc>
      </w:tr>
      <w:tr>
        <w:tc>
          <w:tcPr/>
          <w:p>
            <w:pPr>
              <w:pStyle w:val="Compact"/>
              <w:jc w:val="left"/>
            </w:pPr>
            <w:r>
              <w:t xml:space="preserve">Contract change affecting another team</w:t>
            </w:r>
          </w:p>
        </w:tc>
        <w:tc>
          <w:tcPr/>
          <w:p>
            <w:pPr>
              <w:pStyle w:val="Compact"/>
              <w:jc w:val="left"/>
            </w:pPr>
            <w:r>
              <w:t xml:space="preserve">Solution Architect before the change is merged, without exception</w:t>
            </w:r>
          </w:p>
        </w:tc>
      </w:tr>
      <w:tr>
        <w:tc>
          <w:tcPr/>
          <w:p>
            <w:pPr>
              <w:pStyle w:val="Compact"/>
              <w:jc w:val="left"/>
            </w:pPr>
            <w:r>
              <w:t xml:space="preserve">Suspected security or data-isolation defect</w:t>
            </w:r>
          </w:p>
        </w:tc>
        <w:tc>
          <w:tcPr/>
          <w:p>
            <w:pPr>
              <w:pStyle w:val="Compact"/>
              <w:jc w:val="left"/>
            </w:pPr>
            <w:r>
              <w:t xml:space="preserve">Solution Architect immediately; do not open a public issue</w:t>
            </w:r>
          </w:p>
        </w:tc>
      </w:tr>
      <w:tr>
        <w:tc>
          <w:tcPr/>
          <w:p>
            <w:pPr>
              <w:pStyle w:val="Compact"/>
              <w:jc w:val="left"/>
            </w:pPr>
            <w:r>
              <w:t xml:space="preserve">Scope that appears absent from the register</w:t>
            </w:r>
          </w:p>
        </w:tc>
        <w:tc>
          <w:tcPr/>
          <w:p>
            <w:pPr>
              <w:pStyle w:val="Compact"/>
              <w:jc w:val="left"/>
            </w:pPr>
            <w:r>
              <w:t xml:space="preserve">Solution Architect — the register is corrected centrally, never locally</w:t>
            </w:r>
          </w:p>
        </w:tc>
      </w:tr>
    </w:tbl>
    <w:bookmarkEnd w:id="28"/>
    <w:bookmarkEnd w:id="29"/>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95959"/>
        <w:sz w:val="16"/>
      </w:rPr>
      <w:t>Miracle Star Trading L.L.C. | Confidential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6"/>
      </w:rPr>
      <w:t>TAIS Platform — Developer Documentation | Softlabs Group | Confidential</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80" w:before="180"/>
      <w:ind w:firstLine="0"/>
    </w:pPr>
    <w:rPr>
      <w:rFonts w:ascii="Calibri" w:hAnsi="Calibri"/>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mbria" w:asciiTheme="majorHAnsi" w:cstheme="majorBidi" w:eastAsiaTheme="majorEastAsia" w:hAnsi="Cambria" w:hAnsiTheme="majorHAnsi"/>
      <w:b/>
      <w:bCs/>
      <w:color w:val="345A8A"/>
      <w:sz w:val="36"/>
      <w:szCs w:val="36"/>
    </w:rPr>
  </w:style>
  <w:style w:styleId="Subtitle" w:type="paragraph">
    <w:name w:val="Subtitle"/>
    <w:basedOn w:val="Title"/>
    <w:next w:val="BodyText"/>
    <w:qFormat/>
    <w:pPr>
      <w:keepNext/>
      <w:keepLines/>
      <w:spacing w:after="240" w:before="240"/>
      <w:jc w:val="center"/>
    </w:pPr>
    <w:rPr>
      <w:rFonts w:ascii="Cambria" w:hAnsi="Cambria"/>
      <w:b/>
      <w:color w:val="345A8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spacing w:after="120"/>
    </w:pPr>
    <w:rPr>
      <w:rFonts w:ascii="Calibri" w:hAnsi="Calibri"/>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2026-07-23T12:00:39Z</dcterms:created>
  <dcterms:modified xsi:type="dcterms:W3CDTF">2026-07-23T12:00:39Z</dcterms:modified>
</cp:coreProperties>
</file>

<file path=docProps/custom.xml><?xml version="1.0" encoding="utf-8"?>
<Properties xmlns="http://schemas.openxmlformats.org/officeDocument/2006/custom-properties" xmlns:vt="http://schemas.openxmlformats.org/officeDocument/2006/docPropsVTypes"/>
</file>