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474731">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172730">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2778EA">
            <w:pPr>
              <w:pStyle w:val="Dots"/>
            </w:pPr>
            <w:r>
              <w:t>Detalle de producto</w:t>
            </w:r>
          </w:p>
          <w:p w:rsidR="00EC069C" w:rsidRDefault="00EC069C" w:rsidP="00EC069C">
            <w:pPr>
              <w:pStyle w:val="Dots"/>
            </w:pPr>
            <w:r>
              <w:t>Calificación de desempeño del usuario por agregados y ediciones</w:t>
            </w:r>
          </w:p>
          <w:p w:rsidR="00EC069C" w:rsidRDefault="00EC069C" w:rsidP="00F2733D">
            <w:pPr>
              <w:pStyle w:val="Dots"/>
            </w:pPr>
            <w:r>
              <w:t>Bloqueo del usuario para inputs si está penalizado</w:t>
            </w:r>
          </w:p>
          <w:p w:rsidR="002778EA" w:rsidRDefault="002778EA" w:rsidP="002778EA">
            <w:pPr>
              <w:pStyle w:val="Dots-Pendiente"/>
            </w:pPr>
            <w:r>
              <w:t>Agregado de</w:t>
            </w:r>
            <w:r w:rsidR="00DD75B8">
              <w:t xml:space="preserve"> RCLV</w:t>
            </w:r>
            <w:r w:rsidR="008C38D3">
              <w:t xml:space="preserve"> y su</w:t>
            </w:r>
            <w:bookmarkStart w:id="0" w:name="_GoBack"/>
            <w:bookmarkEnd w:id="0"/>
            <w:r w:rsidR="008C38D3">
              <w:t xml:space="preserve"> revisión</w:t>
            </w:r>
          </w:p>
          <w:p w:rsidR="00DD75B8" w:rsidRDefault="002778EA" w:rsidP="002778EA">
            <w:pPr>
              <w:pStyle w:val="Dots-Pendiente"/>
            </w:pPr>
            <w:r>
              <w:t>Agregado y edición de</w:t>
            </w:r>
            <w:r w:rsidR="00DD75B8">
              <w:t xml:space="preserve"> links</w:t>
            </w:r>
            <w:r>
              <w:t xml:space="preserve"> y sus revisiones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2B6BAC" w:rsidRDefault="002B6BAC" w:rsidP="002B6BAC">
            <w:pPr>
              <w:pStyle w:val="Nmeros-Pend"/>
            </w:pPr>
            <w:r>
              <w:t>Productos sin links gratuitos</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w:t>
            </w:r>
            <w:r>
              <w:t xml:space="preserve"> de RCLV</w:t>
            </w:r>
            <w:r>
              <w:t xml:space="preserve"> y su revisió</w:t>
            </w:r>
            <w:r>
              <w:t>n</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474731">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474731">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975792"/>
      <w:r w:rsidRPr="000274BA">
        <w:lastRenderedPageBreak/>
        <w:t>Introducción</w:t>
      </w:r>
      <w:bookmarkEnd w:id="1"/>
    </w:p>
    <w:p w:rsidR="007566DC" w:rsidRPr="000274BA" w:rsidRDefault="007566DC" w:rsidP="00C851A1">
      <w:pPr>
        <w:pStyle w:val="Ttulo2"/>
      </w:pPr>
      <w:bookmarkStart w:id="2" w:name="_Toc102975793"/>
      <w:r w:rsidRPr="000274BA">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975794"/>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4" w:name="_Toc102975795"/>
      <w:r>
        <w:t>Status de las entidades</w:t>
      </w:r>
      <w:bookmarkEnd w:id="4"/>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5" w:name="_Toc102975796"/>
      <w:r>
        <w:t>Calificaciones</w:t>
      </w:r>
      <w:bookmarkEnd w:id="5"/>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6" w:name="_Toc102975797"/>
      <w:r>
        <w:lastRenderedPageBreak/>
        <w:t>Roles de Usuario</w:t>
      </w:r>
      <w:bookmarkEnd w:id="6"/>
    </w:p>
    <w:p w:rsidR="00711C8D" w:rsidRDefault="00711C8D" w:rsidP="00711C8D">
      <w:pPr>
        <w:pStyle w:val="Ttulo2"/>
      </w:pPr>
      <w:bookmarkStart w:id="7" w:name="_Toc102975798"/>
      <w:r>
        <w:t>Criterios</w:t>
      </w:r>
      <w:bookmarkEnd w:id="7"/>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8" w:name="_Toc102975799"/>
      <w:r>
        <w:t xml:space="preserve">Opciones y </w:t>
      </w:r>
      <w:r w:rsidR="00F5093C">
        <w:t>Alcance</w:t>
      </w:r>
      <w:bookmarkEnd w:id="8"/>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B53F98">
      <w:pPr>
        <w:pStyle w:val="Tilde-Pendiente"/>
      </w:pPr>
      <w:r w:rsidRPr="00B53F98">
        <w:t>El usuario debe ingresar su n° de documento por única vez. Una vez confirmado, no lo podrá cambiar.</w:t>
      </w:r>
    </w:p>
    <w:p w:rsidR="00711C8D" w:rsidRDefault="00711C8D" w:rsidP="00B53F98">
      <w:pPr>
        <w:pStyle w:val="Tilde-Pendient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9" w:name="_Toc102975800"/>
      <w:r>
        <w:lastRenderedPageBreak/>
        <w:t xml:space="preserve">Consultas </w:t>
      </w:r>
      <w:r w:rsidR="0053031E">
        <w:t xml:space="preserve">básicas </w:t>
      </w:r>
      <w:r>
        <w:t>sobre productos</w:t>
      </w:r>
      <w:bookmarkEnd w:id="9"/>
    </w:p>
    <w:p w:rsidR="00A06523" w:rsidRDefault="0053031E" w:rsidP="00C851A1">
      <w:pPr>
        <w:pStyle w:val="Ttulo2"/>
      </w:pPr>
      <w:bookmarkStart w:id="10" w:name="_Toc102975801"/>
      <w:r>
        <w:t>R</w:t>
      </w:r>
      <w:r w:rsidR="00A06523">
        <w:t>ol de usuario necesario</w:t>
      </w:r>
      <w:bookmarkEnd w:id="10"/>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1" w:name="_Toc102975802"/>
      <w:r w:rsidRPr="000274BA">
        <w:t>Maneras de hacer consultas para encontrar un producto</w:t>
      </w:r>
      <w:bookmarkEnd w:id="11"/>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2" w:name="_Toc102975803"/>
      <w:r>
        <w:t>Alcance</w:t>
      </w:r>
      <w:bookmarkEnd w:id="12"/>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3" w:name="_Toc102975804"/>
      <w:r>
        <w:lastRenderedPageBreak/>
        <w:t>Personalización sobre un producto</w:t>
      </w:r>
      <w:bookmarkEnd w:id="13"/>
    </w:p>
    <w:p w:rsidR="0053031E" w:rsidRDefault="0053031E" w:rsidP="0053031E">
      <w:pPr>
        <w:pStyle w:val="Ttulo2"/>
      </w:pPr>
      <w:bookmarkStart w:id="14" w:name="_Toc102975805"/>
      <w:r>
        <w:t>Rol de usuario necesario</w:t>
      </w:r>
      <w:bookmarkEnd w:id="14"/>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5" w:name="_Toc102975806"/>
      <w:r>
        <w:t>Alcance</w:t>
      </w:r>
      <w:bookmarkEnd w:id="15"/>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6" w:name="_Toc102975807"/>
      <w:r>
        <w:lastRenderedPageBreak/>
        <w:t xml:space="preserve">Agregado de </w:t>
      </w:r>
      <w:r w:rsidR="0033046E">
        <w:t>entidades</w:t>
      </w:r>
      <w:r>
        <w:t xml:space="preserve"> a nuestra base de datos</w:t>
      </w:r>
      <w:bookmarkEnd w:id="16"/>
    </w:p>
    <w:p w:rsidR="00C34713" w:rsidRDefault="00C34713" w:rsidP="00C34713">
      <w:pPr>
        <w:pStyle w:val="Ttulo2"/>
      </w:pPr>
      <w:bookmarkStart w:id="17" w:name="_Toc102975808"/>
      <w:r>
        <w:t>Rol de usuario necesario</w:t>
      </w:r>
      <w:bookmarkEnd w:id="17"/>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8" w:name="_Toc102975809"/>
      <w:r>
        <w:t>Criterios</w:t>
      </w:r>
      <w:bookmarkEnd w:id="18"/>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9" w:name="_Toc102975810"/>
      <w:r>
        <w:lastRenderedPageBreak/>
        <w:t>Edición de entidades</w:t>
      </w:r>
      <w:bookmarkEnd w:id="19"/>
    </w:p>
    <w:p w:rsidR="00A73972" w:rsidRDefault="00A73972" w:rsidP="00A73972">
      <w:pPr>
        <w:pStyle w:val="Ttulo2"/>
      </w:pPr>
      <w:bookmarkStart w:id="20" w:name="_Toc102975811"/>
      <w:r>
        <w:t>Rol de usuario necesario</w:t>
      </w:r>
      <w:bookmarkEnd w:id="20"/>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1" w:name="_Toc102975812"/>
      <w:r>
        <w:t>Criterios</w:t>
      </w:r>
      <w:bookmarkEnd w:id="21"/>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2" w:name="_Toc102975813"/>
      <w:r>
        <w:lastRenderedPageBreak/>
        <w:t>Revisión de las entidades agregadas</w:t>
      </w:r>
      <w:r w:rsidR="0033046E">
        <w:t xml:space="preserve"> y editadas</w:t>
      </w:r>
      <w:bookmarkEnd w:id="22"/>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551159" w:rsidRDefault="00551159" w:rsidP="00551159">
      <w:pPr>
        <w:pStyle w:val="Nmeros"/>
      </w:pPr>
      <w:r>
        <w:t xml:space="preserve">Si se rechaza, el producto regresa al status </w:t>
      </w:r>
      <w:r w:rsidRPr="00884514">
        <w:rPr>
          <w:i/>
        </w:rPr>
        <w:t>inactivado</w:t>
      </w:r>
      <w:r w:rsidR="00CA11E1">
        <w:t xml:space="preserve">, y además se marca al producto como </w:t>
      </w:r>
      <w:r w:rsidR="00CA11E1" w:rsidRPr="00CA11E1">
        <w:rPr>
          <w:i/>
        </w:rPr>
        <w:t>inactivado_reincidente</w:t>
      </w:r>
      <w:r w:rsidR="00CA11E1">
        <w:t>.</w:t>
      </w:r>
    </w:p>
    <w:p w:rsidR="00CA11E1" w:rsidRDefault="00CA11E1" w:rsidP="00551159">
      <w:pPr>
        <w:pStyle w:val="Nmeros"/>
      </w:pPr>
      <w:r>
        <w:t xml:space="preserve">Un producto con la marca </w:t>
      </w:r>
      <w:r w:rsidRPr="00CA11E1">
        <w:rPr>
          <w:i/>
        </w:rPr>
        <w:t>inactivado_reincidente</w:t>
      </w:r>
      <w:r>
        <w:t xml:space="preserve"> no se puede volver a recuperar. Esto busca evitar la sobrecarga de revisiones.</w:t>
      </w:r>
    </w:p>
    <w:p w:rsidR="007F2830" w:rsidRDefault="007F2830" w:rsidP="007F2830">
      <w:pPr>
        <w:pStyle w:val="Ttulo2"/>
      </w:pPr>
      <w:bookmarkStart w:id="26" w:name="_Toc102975817"/>
      <w:r>
        <w:t>Revisión de RCLV</w:t>
      </w:r>
      <w:bookmarkEnd w:id="26"/>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D33615">
      <w:pPr>
        <w:pStyle w:val="Tilde"/>
        <w:numPr>
          <w:ilvl w:val="0"/>
          <w:numId w:val="7"/>
        </w:numPr>
        <w:spacing w:after="60" w:line="240" w:lineRule="auto"/>
        <w:ind w:left="1701" w:hanging="283"/>
      </w:pPr>
      <w:r>
        <w:t>Se revisa si tiene alg</w:t>
      </w:r>
      <w:r w:rsidR="000A30AA">
        <w:t>ún producto aprobado y se asienta en es</w:t>
      </w:r>
      <w:r w:rsidR="00AD73D9">
        <w:t>t</w:t>
      </w:r>
      <w:r w:rsidR="000A30AA">
        <w:t>e registro.</w:t>
      </w:r>
    </w:p>
    <w:p w:rsidR="00D33615" w:rsidRDefault="00D33615" w:rsidP="00D33615">
      <w:pPr>
        <w:pStyle w:val="Tilde"/>
        <w:numPr>
          <w:ilvl w:val="0"/>
          <w:numId w:val="7"/>
        </w:numPr>
        <w:spacing w:after="60" w:line="240" w:lineRule="auto"/>
      </w:pPr>
      <w:r>
        <w:t xml:space="preserve">Se le pasa su </w:t>
      </w:r>
      <w:r w:rsidRPr="00D33615">
        <w:rPr>
          <w:i/>
        </w:rPr>
        <w:t>dia_del_ano_id</w:t>
      </w:r>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Tilde"/>
        <w:numPr>
          <w:ilvl w:val="0"/>
          <w:numId w:val="7"/>
        </w:numPr>
        <w:spacing w:after="60" w:line="240" w:lineRule="auto"/>
        <w:ind w:left="1701" w:hanging="283"/>
      </w:pPr>
      <w:r w:rsidRPr="00AB075B">
        <w:t xml:space="preserve">Se guarda en la BD </w:t>
      </w:r>
      <w:r>
        <w:t>un registro con los datos provistos por el proveedor, y un registro de editados con los datos provistos por el usuario.</w:t>
      </w:r>
    </w:p>
    <w:p w:rsidR="00C11AA0" w:rsidRPr="00AB075B" w:rsidRDefault="00C11AA0" w:rsidP="00AB075B">
      <w:pPr>
        <w:pStyle w:val="Tilde"/>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Tilde"/>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Tilde"/>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731" w:rsidRDefault="00474731" w:rsidP="007566DC">
      <w:pPr>
        <w:spacing w:after="0" w:line="240" w:lineRule="auto"/>
      </w:pPr>
      <w:r>
        <w:separator/>
      </w:r>
    </w:p>
  </w:endnote>
  <w:endnote w:type="continuationSeparator" w:id="0">
    <w:p w:rsidR="00474731" w:rsidRDefault="00474731"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8C38D3" w:rsidRPr="008C38D3">
      <w:rPr>
        <w:noProof/>
        <w:lang w:val="es-ES"/>
      </w:rPr>
      <w:t>1</w:t>
    </w:r>
    <w:r>
      <w:fldChar w:fldCharType="end"/>
    </w:r>
    <w:r>
      <w:t>/</w:t>
    </w:r>
    <w:fldSimple w:instr=" NUMPAGES   \* MERGEFORMAT ">
      <w:r w:rsidR="008C38D3">
        <w:rPr>
          <w:noProof/>
        </w:rPr>
        <w:t>15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731" w:rsidRDefault="00474731" w:rsidP="007566DC">
      <w:pPr>
        <w:spacing w:after="0" w:line="240" w:lineRule="auto"/>
      </w:pPr>
      <w:r>
        <w:separator/>
      </w:r>
    </w:p>
  </w:footnote>
  <w:footnote w:type="continuationSeparator" w:id="0">
    <w:p w:rsidR="00474731" w:rsidRDefault="00474731"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33301DCC"/>
    <w:lvl w:ilvl="0" w:tplc="928EE57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8"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0"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8"/>
  </w:num>
  <w:num w:numId="2">
    <w:abstractNumId w:val="0"/>
  </w:num>
  <w:num w:numId="3">
    <w:abstractNumId w:val="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7"/>
  </w:num>
  <w:num w:numId="9">
    <w:abstractNumId w:val="0"/>
    <w:lvlOverride w:ilvl="0">
      <w:startOverride w:val="1"/>
    </w:lvlOverride>
  </w:num>
  <w:num w:numId="10">
    <w:abstractNumId w:val="5"/>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B4580"/>
    <w:rsid w:val="001D4337"/>
    <w:rsid w:val="00213AE0"/>
    <w:rsid w:val="0024261F"/>
    <w:rsid w:val="00270E20"/>
    <w:rsid w:val="00272F2D"/>
    <w:rsid w:val="00275A4D"/>
    <w:rsid w:val="002778EA"/>
    <w:rsid w:val="00285520"/>
    <w:rsid w:val="00286D46"/>
    <w:rsid w:val="002B6BAC"/>
    <w:rsid w:val="003057A1"/>
    <w:rsid w:val="0033046E"/>
    <w:rsid w:val="003449A5"/>
    <w:rsid w:val="00363A28"/>
    <w:rsid w:val="003943F5"/>
    <w:rsid w:val="003D56A0"/>
    <w:rsid w:val="00453DA3"/>
    <w:rsid w:val="00474731"/>
    <w:rsid w:val="004C25C7"/>
    <w:rsid w:val="004C74B3"/>
    <w:rsid w:val="004E18B0"/>
    <w:rsid w:val="004E6670"/>
    <w:rsid w:val="0053031E"/>
    <w:rsid w:val="00547EBF"/>
    <w:rsid w:val="00551159"/>
    <w:rsid w:val="0057438A"/>
    <w:rsid w:val="00660129"/>
    <w:rsid w:val="006C6A49"/>
    <w:rsid w:val="006E5D5B"/>
    <w:rsid w:val="007015B9"/>
    <w:rsid w:val="00711C8D"/>
    <w:rsid w:val="00715869"/>
    <w:rsid w:val="007566DC"/>
    <w:rsid w:val="007C0A3F"/>
    <w:rsid w:val="007F2830"/>
    <w:rsid w:val="008218C1"/>
    <w:rsid w:val="00825F65"/>
    <w:rsid w:val="0085024C"/>
    <w:rsid w:val="00884514"/>
    <w:rsid w:val="008C38D3"/>
    <w:rsid w:val="00954929"/>
    <w:rsid w:val="0096612C"/>
    <w:rsid w:val="009966D3"/>
    <w:rsid w:val="009A5FFF"/>
    <w:rsid w:val="00A06523"/>
    <w:rsid w:val="00A35090"/>
    <w:rsid w:val="00A51486"/>
    <w:rsid w:val="00A70C71"/>
    <w:rsid w:val="00A73972"/>
    <w:rsid w:val="00A82528"/>
    <w:rsid w:val="00AB075B"/>
    <w:rsid w:val="00AC399C"/>
    <w:rsid w:val="00AD73D9"/>
    <w:rsid w:val="00B53F98"/>
    <w:rsid w:val="00B6210E"/>
    <w:rsid w:val="00BD412A"/>
    <w:rsid w:val="00C11AA0"/>
    <w:rsid w:val="00C169B7"/>
    <w:rsid w:val="00C3269C"/>
    <w:rsid w:val="00C34713"/>
    <w:rsid w:val="00C56ED8"/>
    <w:rsid w:val="00C66A12"/>
    <w:rsid w:val="00C82EE7"/>
    <w:rsid w:val="00C851A1"/>
    <w:rsid w:val="00CA11E1"/>
    <w:rsid w:val="00CD2834"/>
    <w:rsid w:val="00D13D6F"/>
    <w:rsid w:val="00D33615"/>
    <w:rsid w:val="00D528B5"/>
    <w:rsid w:val="00DD75B8"/>
    <w:rsid w:val="00E310B0"/>
    <w:rsid w:val="00E6101D"/>
    <w:rsid w:val="00E76285"/>
    <w:rsid w:val="00EA2019"/>
    <w:rsid w:val="00EC069C"/>
    <w:rsid w:val="00EC221C"/>
    <w:rsid w:val="00F2733D"/>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696"/>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Sinespaciado">
    <w:name w:val="No Spacing"/>
    <w:link w:val="SinespaciadoCar"/>
    <w:uiPriority w:val="1"/>
    <w:qFormat/>
    <w:rsid w:val="00B6210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10E"/>
    <w:rPr>
      <w:rFonts w:eastAsiaTheme="minorEastAsia"/>
      <w:lang w:eastAsia="es-AR"/>
    </w:rPr>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711C8D"/>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numPr>
        <w:numId w:val="7"/>
      </w:numPr>
      <w:shd w:val="clear" w:color="auto" w:fill="FBE4D5" w:themeFill="accent2" w:themeFillTint="33"/>
      <w:spacing w:after="60" w:line="240" w:lineRule="auto"/>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B2545-9D2B-49C6-8DE3-5FBD01E0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TotalTime>
  <Pages>16</Pages>
  <Words>3123</Words>
  <Characters>17178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33</cp:revision>
  <cp:lastPrinted>2022-05-06T21:35:00Z</cp:lastPrinted>
  <dcterms:created xsi:type="dcterms:W3CDTF">2022-05-06T19:12:00Z</dcterms:created>
  <dcterms:modified xsi:type="dcterms:W3CDTF">2022-05-11T02:51:00Z</dcterms:modified>
</cp:coreProperties>
</file>