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401CD6" w14:textId="77777777" w:rsidR="00C4684B" w:rsidRPr="00C4684B" w:rsidRDefault="00C4684B" w:rsidP="00F90A5D">
      <w:pPr>
        <w:pStyle w:val="MStitle"/>
      </w:pPr>
      <w:r w:rsidRPr="00C4684B">
        <w:t>Automated identification and separation of quartz CW-OSL signal components with R</w:t>
      </w:r>
    </w:p>
    <w:p w14:paraId="538659D3" w14:textId="5CBE50AA" w:rsidR="00B4015F" w:rsidRPr="00C26311" w:rsidRDefault="00E54BB7" w:rsidP="00450DB9">
      <w:pPr>
        <w:pStyle w:val="Authors"/>
      </w:pPr>
      <w:r>
        <w:t>Dirk Mittelstraß</w:t>
      </w:r>
      <w:r w:rsidRPr="00C26311">
        <w:rPr>
          <w:vertAlign w:val="superscript"/>
        </w:rPr>
        <w:t>1</w:t>
      </w:r>
      <w:r w:rsidR="00662594">
        <w:rPr>
          <w:vertAlign w:val="superscript"/>
        </w:rPr>
        <w:t>,*</w:t>
      </w:r>
      <w:r w:rsidR="00B4015F" w:rsidRPr="00C26311">
        <w:t xml:space="preserve">, </w:t>
      </w:r>
      <w:r>
        <w:t>Christoph Schmidt</w:t>
      </w:r>
      <w:r>
        <w:rPr>
          <w:vertAlign w:val="superscript"/>
        </w:rPr>
        <w:t>2</w:t>
      </w:r>
      <w:r w:rsidR="00B4015F" w:rsidRPr="00C26311">
        <w:t xml:space="preserve">, </w:t>
      </w:r>
      <w:r>
        <w:t>Jan Beyer</w:t>
      </w:r>
      <w:r>
        <w:rPr>
          <w:vertAlign w:val="superscript"/>
        </w:rPr>
        <w:t>3</w:t>
      </w:r>
      <w:r>
        <w:t>, Johannes Heitmann</w:t>
      </w:r>
      <w:r>
        <w:rPr>
          <w:vertAlign w:val="superscript"/>
        </w:rPr>
        <w:t>3</w:t>
      </w:r>
      <w:r>
        <w:t>, Arno Straessner</w:t>
      </w:r>
      <w:r>
        <w:rPr>
          <w:vertAlign w:val="superscript"/>
        </w:rPr>
        <w:t>1</w:t>
      </w:r>
    </w:p>
    <w:p w14:paraId="19A6AD2F" w14:textId="6D279675" w:rsidR="00E54BB7" w:rsidRPr="00E54BB7" w:rsidRDefault="00B4015F" w:rsidP="00E54BB7">
      <w:pPr>
        <w:pStyle w:val="Affiliation"/>
      </w:pPr>
      <w:r w:rsidRPr="000A1B66">
        <w:rPr>
          <w:vertAlign w:val="superscript"/>
        </w:rPr>
        <w:t>1</w:t>
      </w:r>
      <w:r w:rsidR="00E54BB7" w:rsidRPr="00E54BB7">
        <w:t xml:space="preserve">Institut </w:t>
      </w:r>
      <w:proofErr w:type="spellStart"/>
      <w:r w:rsidR="00E54BB7" w:rsidRPr="00E54BB7">
        <w:t>für</w:t>
      </w:r>
      <w:proofErr w:type="spellEnd"/>
      <w:r w:rsidR="00E54BB7" w:rsidRPr="00E54BB7">
        <w:t xml:space="preserve"> Kern- und </w:t>
      </w:r>
      <w:proofErr w:type="spellStart"/>
      <w:r w:rsidR="00E54BB7" w:rsidRPr="00E54BB7">
        <w:t>Teilchenphysik</w:t>
      </w:r>
      <w:proofErr w:type="spellEnd"/>
      <w:r w:rsidR="00E54BB7" w:rsidRPr="00E54BB7">
        <w:t xml:space="preserve">, </w:t>
      </w:r>
      <w:proofErr w:type="spellStart"/>
      <w:r w:rsidR="00E54BB7" w:rsidRPr="00E54BB7">
        <w:t>Technische</w:t>
      </w:r>
      <w:proofErr w:type="spellEnd"/>
      <w:r w:rsidR="00E54BB7" w:rsidRPr="00E54BB7">
        <w:t xml:space="preserve"> </w:t>
      </w:r>
      <w:proofErr w:type="spellStart"/>
      <w:r w:rsidR="00E54BB7" w:rsidRPr="00E54BB7">
        <w:t>Universität</w:t>
      </w:r>
      <w:proofErr w:type="spellEnd"/>
      <w:r w:rsidR="00E54BB7" w:rsidRPr="00E54BB7">
        <w:t xml:space="preserve"> Dresden, 01062 Dresden, Germany</w:t>
      </w:r>
    </w:p>
    <w:p w14:paraId="3DBE5E2A" w14:textId="49EC12BB" w:rsidR="000A1B66" w:rsidRPr="00D97ED5" w:rsidRDefault="000A1B66" w:rsidP="00450DB9">
      <w:pPr>
        <w:pStyle w:val="Affiliation"/>
      </w:pPr>
      <w:r w:rsidRPr="000A1B66">
        <w:rPr>
          <w:vertAlign w:val="superscript"/>
        </w:rPr>
        <w:t>2</w:t>
      </w:r>
      <w:r w:rsidR="00D97ED5" w:rsidRPr="00D97ED5">
        <w:t>Institute o</w:t>
      </w:r>
      <w:r w:rsidR="00D97ED5" w:rsidRPr="00D97ED5">
        <w:rPr>
          <w:lang w:val="en-US"/>
        </w:rPr>
        <w:t>f Earth Surface Dynamics</w:t>
      </w:r>
      <w:r w:rsidR="00D97ED5">
        <w:rPr>
          <w:lang w:val="en-US"/>
        </w:rPr>
        <w:t xml:space="preserve">, </w:t>
      </w:r>
      <w:r w:rsidR="00662594" w:rsidRPr="00662594">
        <w:t>University of Lausanne</w:t>
      </w:r>
      <w:r w:rsidR="00662594">
        <w:t xml:space="preserve">, </w:t>
      </w:r>
      <w:r w:rsidR="00662594" w:rsidRPr="00662594">
        <w:rPr>
          <w:lang w:val="en-US"/>
        </w:rPr>
        <w:t>1015 Lausanne</w:t>
      </w:r>
      <w:r w:rsidR="00662594">
        <w:rPr>
          <w:lang w:val="en-US"/>
        </w:rPr>
        <w:t>,</w:t>
      </w:r>
      <w:r w:rsidR="00662594" w:rsidRPr="00662594">
        <w:rPr>
          <w:lang w:val="en-US"/>
        </w:rPr>
        <w:t xml:space="preserve"> Switzerland</w:t>
      </w:r>
    </w:p>
    <w:p w14:paraId="52B23B2D" w14:textId="169C058C" w:rsidR="00E54BB7" w:rsidRPr="00026B89" w:rsidRDefault="00E54BB7" w:rsidP="00FB54AB">
      <w:pPr>
        <w:pStyle w:val="Affiliation"/>
        <w:rPr>
          <w:rFonts w:cs="Calibri"/>
          <w:szCs w:val="22"/>
        </w:rPr>
      </w:pPr>
      <w:r>
        <w:rPr>
          <w:vertAlign w:val="superscript"/>
        </w:rPr>
        <w:t>3</w:t>
      </w:r>
      <w:r w:rsidRPr="00026B89">
        <w:rPr>
          <w:rFonts w:cs="Calibri"/>
          <w:szCs w:val="22"/>
        </w:rPr>
        <w:t xml:space="preserve">Department of Applied Physics, TU </w:t>
      </w:r>
      <w:proofErr w:type="spellStart"/>
      <w:r w:rsidRPr="00026B89">
        <w:rPr>
          <w:rFonts w:cs="Calibri"/>
          <w:szCs w:val="22"/>
        </w:rPr>
        <w:t>Bergakademie</w:t>
      </w:r>
      <w:proofErr w:type="spellEnd"/>
      <w:r w:rsidRPr="00026B89">
        <w:rPr>
          <w:rFonts w:cs="Calibri"/>
          <w:szCs w:val="22"/>
        </w:rPr>
        <w:t xml:space="preserve"> Freiberg, 09599 Freiberg,</w:t>
      </w:r>
      <w:r>
        <w:rPr>
          <w:rFonts w:cs="Calibri"/>
          <w:szCs w:val="22"/>
        </w:rPr>
        <w:t xml:space="preserve"> Germany</w:t>
      </w:r>
    </w:p>
    <w:p w14:paraId="076ED9A8" w14:textId="6B70F49D" w:rsidR="00E54BB7" w:rsidRPr="00E54BB7" w:rsidRDefault="00E54BB7" w:rsidP="00450DB9">
      <w:pPr>
        <w:pStyle w:val="Affiliation"/>
      </w:pPr>
    </w:p>
    <w:p w14:paraId="4B2F3FC8" w14:textId="370D68B9" w:rsidR="000A1B66" w:rsidRDefault="000A1B66" w:rsidP="008E213F">
      <w:pPr>
        <w:pStyle w:val="Correspondence"/>
      </w:pPr>
      <w:r w:rsidRPr="000A1B66">
        <w:rPr>
          <w:i/>
        </w:rPr>
        <w:t>Correspondence to</w:t>
      </w:r>
      <w:r>
        <w:t xml:space="preserve">: </w:t>
      </w:r>
      <w:r w:rsidR="00E54BB7">
        <w:t>Dirk Mittelstraß</w:t>
      </w:r>
      <w:r>
        <w:t xml:space="preserve"> (</w:t>
      </w:r>
      <w:hyperlink r:id="rId9" w:history="1">
        <w:r w:rsidR="00E54BB7" w:rsidRPr="00421E85">
          <w:rPr>
            <w:rStyle w:val="Hyperlink"/>
          </w:rPr>
          <w:t>dirk.mittelstrass@luminescence.de</w:t>
        </w:r>
      </w:hyperlink>
      <w:r>
        <w:t>)</w:t>
      </w:r>
    </w:p>
    <w:p w14:paraId="592C0189" w14:textId="77777777" w:rsidR="00C4684B" w:rsidRDefault="000A1B66" w:rsidP="00C4684B">
      <w:pPr>
        <w:rPr>
          <w:rFonts w:cs="Calibri"/>
          <w:szCs w:val="22"/>
        </w:rPr>
      </w:pPr>
      <w:r w:rsidRPr="000A1B66">
        <w:rPr>
          <w:b/>
        </w:rPr>
        <w:t>Abstract.</w:t>
      </w:r>
      <w:r>
        <w:t xml:space="preserve"> </w:t>
      </w:r>
      <w:r w:rsidR="00C4684B" w:rsidRPr="00CE31F7">
        <w:rPr>
          <w:rFonts w:cs="Calibri"/>
          <w:szCs w:val="22"/>
        </w:rPr>
        <w:t>The accuracy of quartz OSL dating results relies strongly on the dominance of the thermally stable and easy-to-bleach ‘fast’ signal component. If this component does not dominate the initial OSL signal in a given data set, systematic errors are likely. These originate in the signal contribution of insufficiently bleached or thermally unstable traps.  To solve this issue, a new approach for mathematical component separation is presented. First, we identify the number of signal components and their decay constants. We do this by creating one global OSL decay curve from all records of a given data set and apply a multi-component exponential decay fitting method. Second, we deploy the found decay constants in an algebraic decomposition algorithm and divide every single OSL record into its signal components. We test the accuracy, precision and robustness of the proposed procedures by comprehensive simulations and evaluate the results by statistical methods. The simulations demonstrate the mathematical reliability of the method in the majority of scenarios. The usefulness of the method as reliable and rapid data analysis tool in qu</w:t>
      </w:r>
      <w:r w:rsidR="00C4684B">
        <w:rPr>
          <w:rFonts w:cs="Calibri"/>
          <w:szCs w:val="22"/>
        </w:rPr>
        <w:t xml:space="preserve">artz OSL dating is demonstrated though the re-evaluation of some previously obtained standard SAR data sets. </w:t>
      </w:r>
      <w:r w:rsidR="00C4684B" w:rsidRPr="00CE31F7">
        <w:rPr>
          <w:rFonts w:cs="Calibri"/>
          <w:szCs w:val="22"/>
        </w:rPr>
        <w:t>The new approach</w:t>
      </w:r>
      <w:r w:rsidR="00C4684B">
        <w:rPr>
          <w:rFonts w:cs="Calibri"/>
          <w:szCs w:val="22"/>
        </w:rPr>
        <w:t xml:space="preserve"> is freely available as </w:t>
      </w:r>
      <w:r w:rsidR="00C4684B" w:rsidRPr="00516098">
        <w:rPr>
          <w:rFonts w:cs="Calibri"/>
          <w:b/>
          <w:szCs w:val="22"/>
        </w:rPr>
        <w:t>R</w:t>
      </w:r>
      <w:r w:rsidR="00C4684B">
        <w:rPr>
          <w:rFonts w:cs="Calibri"/>
          <w:szCs w:val="22"/>
        </w:rPr>
        <w:t xml:space="preserve"> package ‘OSLdecomposition’. </w:t>
      </w:r>
    </w:p>
    <w:p w14:paraId="6EAEC348" w14:textId="4C32EFF2" w:rsidR="00C82F79" w:rsidRDefault="00C82F79" w:rsidP="00B4015F"/>
    <w:p w14:paraId="41868303" w14:textId="2E9A02F2" w:rsidR="00C82F79" w:rsidRDefault="00C82F79" w:rsidP="00C82F79">
      <w:pPr>
        <w:pStyle w:val="berschrift1"/>
      </w:pPr>
      <w:r>
        <w:t xml:space="preserve">1 </w:t>
      </w:r>
      <w:r w:rsidR="00E54BB7">
        <w:t>Introduction</w:t>
      </w:r>
    </w:p>
    <w:p w14:paraId="3A1A87D2" w14:textId="4FB60CF2" w:rsidR="00E54BB7" w:rsidRDefault="00E54BB7" w:rsidP="00E54BB7">
      <w:pPr>
        <w:rPr>
          <w:rFonts w:cs="Calibri"/>
          <w:szCs w:val="22"/>
        </w:rPr>
      </w:pPr>
      <w:r w:rsidRPr="00026B89">
        <w:rPr>
          <w:rFonts w:cs="Calibri"/>
          <w:szCs w:val="22"/>
        </w:rPr>
        <w:t xml:space="preserve">The optically stimulated luminescence (OSL) signal of natural quartz minerals is routinely used to date Quaternary sediments and archaeological materials </w:t>
      </w:r>
      <w:r>
        <w:rPr>
          <w:rFonts w:cs="Calibri"/>
          <w:szCs w:val="22"/>
        </w:rPr>
        <w:fldChar w:fldCharType="begin"/>
      </w:r>
      <w:r>
        <w:rPr>
          <w:rFonts w:cs="Calibri"/>
          <w:szCs w:val="22"/>
        </w:rPr>
        <w:instrText xml:space="preserve"> ADDIN ZOTERO_ITEM CSL_CITATION {"citationID":"inWcnmmS","properties":{"formattedCitation":"(Aitken, 1998; Preusser et al., 2009; Roberts et al., 2015)","plainCitation":"(Aitken, 1998; Preusser et al., 2009; Roberts et al., 2015)","noteIndex":0},"citationItems":[{"id":577,"uris":["http://zotero.org/users/local/TzHpb2Bo/items/UW5Z4H7D"],"uri":["http://zotero.org/users/local/TzHpb2Bo/items/UW5Z4H7D"],"itemData":{"id":577,"type":"book","call-number":"QE508 .A35 1998","event-place":"Oxford ; New York","ISBN":"978-0-19-854092-2","number-of-pages":"267","publisher":"Oxford University Press","publisher-place":"Oxford ; New York","source":"Library of Congress ISBN","title":"An introduction to optical dating: the dating of Quaternary sediments by the use of photon-stimulated luminescence","title-short":"An introduction to optical dating","author":[{"family":"Aitken","given":"M. J."}],"issued":{"date-parts":[["1998"]]}}},{"id":173,"uris":["http://zotero.org/users/local/TzHpb2Bo/items/2ICW5RTC"],"uri":["http://zotero.org/users/local/TzHpb2Bo/items/2ICW5RTC"],"itemData":{"id":173,"type":"article-journal","container-title":"Earth-Science Reviews","DOI":"10.1016/j.earscirev.2009.09.006","ISSN":"00128252","issue":"1-4","language":"en","page":"184-214","source":"CrossRef","title":"Quartz as a natural luminescence dosimeter","volume":"97","author":[{"family":"Preusser","given":"Frank"},{"family":"Chithambo","given":"Makaiko L."},{"family":"Götte","given":"Thomas"},{"family":"Martini","given":"Marco"},{"family":"Ramseyer","given":"Karl"},{"family":"Sendezera","given":"Emmanuel J."},{"family":"Susino","given":"George J."},{"family":"Wintle","given":"Ann G."}],"issued":{"date-parts":[["2009",12]]}}},{"id":701,"uris":["http://zotero.org/users/local/TzHpb2Bo/items/4YKPT92G"],"uri":["http://zotero.org/users/local/TzHpb2Bo/items/4YKPT92G"],"itemData":{"id":701,"type":"article-journal","container-title":"Journal of Archaeological Science","DOI":"10.1016/j.jas.2015.02.028","ISSN":"03054403","journalAbbreviation":"Journal of Archaeological Science","language":"en","page":"41-60","source":"DOI.org (Crossref)","title":"Optical dating in archaeology: thirty years in retrospect and grand challenges for the future","title-short":"Optical dating in archaeology","volume":"56","author":[{"family":"Roberts","given":"Richard G."},{"family":"Jacobs","given":"Zenobia"},{"family":"Li","given":"Bo"},{"family":"Jankowski","given":"Nathan R."},{"family":"Cunningham","given":"Alastair C."},{"family":"Rosenfeld","given":"Anatoly B."}],"issued":{"date-parts":[["2015",4]]}}}],"schema":"https://github.com/citation-style-language/schema/raw/master/csl-citation.json"} </w:instrText>
      </w:r>
      <w:r>
        <w:rPr>
          <w:rFonts w:cs="Calibri"/>
          <w:szCs w:val="22"/>
        </w:rPr>
        <w:fldChar w:fldCharType="separate"/>
      </w:r>
      <w:r w:rsidR="006A1AAE" w:rsidRPr="006A1AAE">
        <w:t>(Aitken, 1998; Preusser et al., 2009; Roberts et al., 2015)</w:t>
      </w:r>
      <w:r>
        <w:rPr>
          <w:rFonts w:cs="Calibri"/>
          <w:szCs w:val="22"/>
        </w:rPr>
        <w:fldChar w:fldCharType="end"/>
      </w:r>
      <w:r w:rsidRPr="00026B89">
        <w:rPr>
          <w:rFonts w:cs="Calibri"/>
          <w:szCs w:val="22"/>
        </w:rPr>
        <w:t xml:space="preserve">. </w:t>
      </w:r>
      <w:r>
        <w:rPr>
          <w:rFonts w:cs="Calibri"/>
          <w:szCs w:val="22"/>
        </w:rPr>
        <w:t>Under the assumption of</w:t>
      </w:r>
      <w:r w:rsidRPr="00026B89">
        <w:rPr>
          <w:rFonts w:cs="Calibri"/>
          <w:szCs w:val="22"/>
        </w:rPr>
        <w:t xml:space="preserve"> first-order kinetic processes of charge redistribution upon illumination, it was suggested that the bulk OSL signal</w:t>
      </w:r>
      <w:r>
        <w:rPr>
          <w:rFonts w:cs="Calibri"/>
          <w:szCs w:val="22"/>
        </w:rPr>
        <w:t xml:space="preserve"> </w:t>
      </w:r>
      <w:r w:rsidRPr="00026B89">
        <w:rPr>
          <w:rFonts w:cs="Calibri"/>
          <w:szCs w:val="22"/>
        </w:rPr>
        <w:t>of quartz is composed of several individual components</w:t>
      </w:r>
      <w:r w:rsidR="005B0921">
        <w:rPr>
          <w:rFonts w:cs="Calibri"/>
          <w:szCs w:val="22"/>
        </w:rPr>
        <w:t xml:space="preserve"> </w:t>
      </w:r>
      <w:r w:rsidR="005B0921">
        <w:rPr>
          <w:rFonts w:cs="Calibri"/>
          <w:szCs w:val="22"/>
        </w:rPr>
        <w:fldChar w:fldCharType="begin"/>
      </w:r>
      <w:r w:rsidR="005B0921">
        <w:rPr>
          <w:rFonts w:cs="Calibri"/>
          <w:szCs w:val="22"/>
        </w:rPr>
        <w:instrText xml:space="preserve"> ADDIN ZOTERO_ITEM CSL_CITATION {"citationID":"SGWL8TPT","properties":{"formattedCitation":"(Bailey et al., 1997; Huntley et al., 1985; Smith and Rhodes, 1994)","plainCitation":"(Bailey et al., 1997; Huntley et al., 1985; Smith and Rhodes, 1994)","noteIndex":0},"citationItems":[{"id":603,"uris":["http://zotero.org/users/local/TzHpb2Bo/items/HSUVXICR"],"uri":["http://zotero.org/users/local/TzHpb2Bo/items/HSUVXICR"],"itemData":{"id":603,"type":"article-journal","abstract":"Three exponential components have been isolated from observed high temperature OSL decay data of quartz. These components have been found to display differential bleaching and growth characteristics. It is postulated that changes in the ratio of the first two components (the “fast” and the “medium”) are responsible for the changes in decay form observed in partially bleached samples. Measurements have shown that a comparison of the observed ratios to the expected ratios (had a sample been fully bleached) may be able to differentiate sediments for which the OSL has only been partially reset prior to deposition.","collection-title":"Proceedings of the 8th International Conference on Luminescence and Electron Spin Resonance Dating","container-title":"Radiation Measurements","DOI":"10.1016/S1350-4487(96)00157-6","ISSN":"1350-4487","issue":"2","journalAbbreviation":"Radiation Measurements","page":"123-136","source":"ScienceDirect","title":"Partial bleaching and the decay form characteristics of quartz OSL","volume":"27","author":[{"family":"Bailey","given":"R. M."},{"family":"Smith","given":"B. W."},{"family":"Rhodes","given":"E. J."}],"issued":{"date-parts":[["1997",4,1]]}}},{"id":486,"uris":["http://zotero.org/users/local/TzHpb2Bo/items/A4GVVYJ6"],"uri":["http://zotero.org/users/local/TzHpb2Bo/items/A4GVVYJ6"],"itemData":{"id":486,"type":"article-journal","container-title":"Nature","DOI":"10.1038/313105a0","ISSN":"0028-0836, 1476-4687","issue":"5998","journalAbbreviation":"Nature","language":"en","page":"105-107","source":"DOI.org (Crossref)","title":"Optical dating of sediments","volume":"313","author":[{"family":"Huntley","given":"D. J."},{"family":"Godfrey-Smith","given":"D. I."},{"family":"Thewalt","given":"M. L. W."}],"issued":{"date-parts":[["1985",1]]}}},{"id":463,"uris":["http://zotero.org/users/local/TzHpb2Bo/items/VKA2NNKI"],"uri":["http://zotero.org/users/local/TzHpb2Bo/items/VKA2NNKI"],"itemData":{"id":463,"type":"article-journal","abstract":"Combined thermoluminescence (TL), phosphorescence and optically stimulated luminescence (OSL) measurements have been used to trace the movement of charge within the lattice of a geological quartz sample when it is exposed to light (514 nm from an Ar ion laser). The evidence suggests that optical stimulation evicts charge from traps in the crystal lattice associated with the 325°C thermoluminescence (TL) emission and elevates it to the conduction band. Part of the charge recombines with luminescence centres to produce the observed optically stimulated luminescence (OSL), and a significant portion is re-trapped at the same or different localities in the lattice. Important implications for the optical dating of quartz are discussed, including the necessity of a pre-heat, the interpretation of the equivalent dose as a function of OSL measurement time and the ramifications of OSL recuperation.","container-title":"Radiation Measurements","DOI":"10.1016/1350-4487(94)90060-4","ISSN":"1350-4487","issue":"2","journalAbbreviation":"Radiation Measurements","page":"329-333","source":"ScienceDirect","title":"Charge movements in quartz and their relevance to optical dating","volume":"23","author":[{"family":"Smith","given":"B. W."},{"family":"Rhodes","given":"E. J."}],"issued":{"date-parts":[["1994",4,1]]}}}],"schema":"https://github.com/citation-style-language/schema/raw/master/csl-citation.json"} </w:instrText>
      </w:r>
      <w:r w:rsidR="005B0921">
        <w:rPr>
          <w:rFonts w:cs="Calibri"/>
          <w:szCs w:val="22"/>
        </w:rPr>
        <w:fldChar w:fldCharType="separate"/>
      </w:r>
      <w:r w:rsidR="005B0921" w:rsidRPr="006A1AAE">
        <w:t>(Bailey et al., 1997; Huntley et al., 1985; Smith and Rhodes, 1994)</w:t>
      </w:r>
      <w:r w:rsidR="005B0921">
        <w:rPr>
          <w:rFonts w:cs="Calibri"/>
          <w:szCs w:val="22"/>
        </w:rPr>
        <w:fldChar w:fldCharType="end"/>
      </w:r>
      <w:r>
        <w:rPr>
          <w:rFonts w:cs="Calibri"/>
          <w:szCs w:val="22"/>
        </w:rPr>
        <w:t>. E</w:t>
      </w:r>
      <w:r w:rsidRPr="00026B89">
        <w:rPr>
          <w:rFonts w:cs="Calibri"/>
          <w:szCs w:val="22"/>
        </w:rPr>
        <w:t xml:space="preserve">ach </w:t>
      </w:r>
      <w:r>
        <w:rPr>
          <w:rFonts w:cs="Calibri"/>
          <w:szCs w:val="22"/>
        </w:rPr>
        <w:t xml:space="preserve">signal component </w:t>
      </w:r>
      <w:r w:rsidR="00AC309B">
        <w:rPr>
          <w:rFonts w:cs="Calibri"/>
          <w:szCs w:val="22"/>
        </w:rPr>
        <w:t>decays</w:t>
      </w:r>
      <w:r w:rsidRPr="00026B89">
        <w:rPr>
          <w:rFonts w:cs="Calibri"/>
          <w:szCs w:val="22"/>
        </w:rPr>
        <w:t xml:space="preserve"> exponential</w:t>
      </w:r>
      <w:r w:rsidR="00AC309B">
        <w:rPr>
          <w:rFonts w:cs="Calibri"/>
          <w:szCs w:val="22"/>
        </w:rPr>
        <w:t>ly</w:t>
      </w:r>
      <w:r>
        <w:rPr>
          <w:rFonts w:cs="Calibri"/>
          <w:szCs w:val="22"/>
        </w:rPr>
        <w:t xml:space="preserve"> </w:t>
      </w:r>
      <w:r w:rsidR="005B0921">
        <w:rPr>
          <w:rFonts w:cs="Calibri"/>
          <w:szCs w:val="22"/>
        </w:rPr>
        <w:t>under</w:t>
      </w:r>
      <w:r w:rsidRPr="00026B89">
        <w:rPr>
          <w:rFonts w:cs="Calibri"/>
          <w:szCs w:val="22"/>
        </w:rPr>
        <w:t xml:space="preserve"> continuous wave stimulation</w:t>
      </w:r>
      <w:r>
        <w:rPr>
          <w:rFonts w:cs="Calibri"/>
          <w:szCs w:val="22"/>
        </w:rPr>
        <w:t xml:space="preserve"> (CW-OSL) </w:t>
      </w:r>
      <w:r w:rsidR="005B0921">
        <w:rPr>
          <w:rFonts w:cs="Calibri"/>
          <w:szCs w:val="22"/>
        </w:rPr>
        <w:t>and i</w:t>
      </w:r>
      <w:r>
        <w:t xml:space="preserve">n dependence to the </w:t>
      </w:r>
      <w:r w:rsidR="005B0921">
        <w:t xml:space="preserve">speed of </w:t>
      </w:r>
      <w:r>
        <w:t>decay, the</w:t>
      </w:r>
      <w:r w:rsidRPr="00066AE9">
        <w:t xml:space="preserve"> components </w:t>
      </w:r>
      <w:r>
        <w:t>are</w:t>
      </w:r>
      <w:r w:rsidRPr="00066AE9">
        <w:t xml:space="preserve"> termed 'fast', 'medium' and 'slow'</w:t>
      </w:r>
      <w:r>
        <w:t xml:space="preserve"> </w:t>
      </w:r>
      <w:r>
        <w:fldChar w:fldCharType="begin"/>
      </w:r>
      <w:r>
        <w:instrText xml:space="preserve"> ADDIN ZOTERO_ITEM CSL_CITATION {"citationID":"GP3zbUou","properties":{"formattedCitation":"(Bailey et al., 1997; Smith and Rhodes, 1994)","plainCitation":"(Bailey et al., 1997; Smith and Rhodes, 1994)","noteIndex":0},"citationItems":[{"id":603,"uris":["http://zotero.org/users/local/TzHpb2Bo/items/HSUVXICR"],"uri":["http://zotero.org/users/local/TzHpb2Bo/items/HSUVXICR"],"itemData":{"id":603,"type":"article-journal","abstract":"Three exponential components have been isolated from observed high temperature OSL decay data of quartz. These components have been found to display differential bleaching and growth characteristics. It is postulated that changes in the ratio of the first two components (the “fast” and the “medium”) are responsible for the changes in decay form observed in partially bleached samples. Measurements have shown that a comparison of the observed ratios to the expected ratios (had a sample been fully bleached) may be able to differentiate sediments for which the OSL has only been partially reset prior to deposition.","collection-title":"Proceedings of the 8th International Conference on Luminescence and Electron Spin Resonance Dating","container-title":"Radiation Measurements","DOI":"10.1016/S1350-4487(96)00157-6","ISSN":"1350-4487","issue":"2","journalAbbreviation":"Radiation Measurements","page":"123-136","source":"ScienceDirect","title":"Partial bleaching and the decay form characteristics of quartz OSL","volume":"27","author":[{"family":"Bailey","given":"R. M."},{"family":"Smith","given":"B. W."},{"family":"Rhodes","given":"E. J."}],"issued":{"date-parts":[["1997",4,1]]}}},{"id":463,"uris":["http://zotero.org/users/local/TzHpb2Bo/items/VKA2NNKI"],"uri":["http://zotero.org/users/local/TzHpb2Bo/items/VKA2NNKI"],"itemData":{"id":463,"type":"article-journal","abstract":"Combined thermoluminescence (TL), phosphorescence and optically stimulated luminescence (OSL) measurements have been used to trace the movement of charge within the lattice of a geological quartz sample when it is exposed to light (514 nm from an Ar ion laser). The evidence suggests that optical stimulation evicts charge from traps in the crystal lattice associated with the 325°C thermoluminescence (TL) emission and elevates it to the conduction band. Part of the charge recombines with luminescence centres to produce the observed optically stimulated luminescence (OSL), and a significant portion is re-trapped at the same or different localities in the lattice. Important implications for the optical dating of quartz are discussed, including the necessity of a pre-heat, the interpretation of the equivalent dose as a function of OSL measurement time and the ramifications of OSL recuperation.","container-title":"Radiation Measurements","DOI":"10.1016/1350-4487(94)90060-4","ISSN":"1350-4487","issue":"2","journalAbbreviation":"Radiation Measurements","page":"329-333","source":"ScienceDirect","title":"Charge movements in quartz and their relevance to optical dating","volume":"23","author":[{"family":"Smith","given":"B. W."},{"family":"Rhodes","given":"E. J."}],"issued":{"date-parts":[["1994",4,1]]}}}],"schema":"https://github.com/citation-style-language/schema/raw/master/csl-citation.json"} </w:instrText>
      </w:r>
      <w:r>
        <w:fldChar w:fldCharType="separate"/>
      </w:r>
      <w:r w:rsidR="006A1AAE" w:rsidRPr="006A1AAE">
        <w:t>(Bailey et al., 1997; Smith and Rhodes, 1994)</w:t>
      </w:r>
      <w:r>
        <w:fldChar w:fldCharType="end"/>
      </w:r>
      <w:r w:rsidRPr="00066AE9">
        <w:t xml:space="preserve">. </w:t>
      </w:r>
      <w:r>
        <w:t xml:space="preserve">For quartz OSL signals, multiple slow decaying components are known, which are enumerated </w:t>
      </w:r>
      <w:r w:rsidRPr="00DD29D4">
        <w:rPr>
          <w:rFonts w:cs="Calibri"/>
          <w:szCs w:val="22"/>
        </w:rPr>
        <w:t>'s</w:t>
      </w:r>
      <w:r>
        <w:rPr>
          <w:rFonts w:cs="Calibri"/>
          <w:szCs w:val="22"/>
        </w:rPr>
        <w:t>low</w:t>
      </w:r>
      <w:r w:rsidRPr="00DD29D4">
        <w:rPr>
          <w:rFonts w:cs="Calibri"/>
          <w:szCs w:val="22"/>
        </w:rPr>
        <w:t>1', 's</w:t>
      </w:r>
      <w:r>
        <w:rPr>
          <w:rFonts w:cs="Calibri"/>
          <w:szCs w:val="22"/>
        </w:rPr>
        <w:t>low</w:t>
      </w:r>
      <w:r w:rsidRPr="00DD29D4">
        <w:rPr>
          <w:rFonts w:cs="Calibri"/>
          <w:szCs w:val="22"/>
        </w:rPr>
        <w:t xml:space="preserve">2' etc. </w:t>
      </w:r>
      <w:r>
        <w:rPr>
          <w:rFonts w:cs="Calibri"/>
          <w:szCs w:val="22"/>
        </w:rPr>
        <w:fldChar w:fldCharType="begin"/>
      </w:r>
      <w:r>
        <w:rPr>
          <w:rFonts w:cs="Calibri"/>
          <w:szCs w:val="22"/>
        </w:rPr>
        <w:instrText xml:space="preserve"> ADDIN ZOTERO_ITEM CSL_CITATION {"citationID":"qIwNucm7","properties":{"formattedCitation":"(Bailey, 2002; Jain et al., 2003; Singarayer and Bailey, 2003)","plainCitation":"(Bailey, 2002; Jain et al., 2003; Singarayer and Bailey, 2003)","noteIndex":0},"citationItems":[{"id":2,"uris":["http://zotero.org/users/local/TzHpb2Bo/items/8V3Y2IBR"],"uri":["http://zotero.org/users/local/TzHpb2Bo/items/8V3Y2IBR"],"itemData":{"id":2,"type":"article-journal","container-title":"Radiation Protection Dosimetry","DOI":"10.1093/oxfordjournals.rpd.a005881","ISSN":"0144-8420, 1742-3406","issue":"1","language":"en","page":"33-38","source":"CrossRef","title":"Simulations of Variability in the Luminescence Characteristics of Natural Quartz and its Implications for Estimates of Absorbed Dose","volume":"100","author":[{"family":"Bailey","given":"R."}],"issued":{"date-parts":[["2002",7,1]]}}},{"id":613,"uris":["http://zotero.org/users/local/TzHpb2Bo/items/2LKI7GRW"],"uri":["http://zotero.org/users/local/TzHpb2Bo/items/2LKI7GRW"],"itemData":{"id":613,"type":"article-journal","container-title":"Radiation Measurements","page":"441-449","title":"Characterisation of blue-light stimulated luminescence components in different quartz samples: implications for dose measurement","volume":"37","author":[{"family":"Jain","given":"M."},{"family":"Murray","given":"A. S"},{"family":"Bøtter-Jensen","given":"L."}],"issued":{"date-parts":[["2003"]]}}},{"id":512,"uris":["http://zotero.org/users/local/TzHpb2Bo/items/HLK2UKCT"],"uri":["http://zotero.org/users/local/TzHpb2Bo/items/HLK2UKCT"],"itemData":{"id":512,"type":"article-journal","abstract":"The optically stimulated luminescence (OSL) from quartz is known to be the sum of several components with different rates of charge loss, originating from different trap types. The OSL components are clearly distinguished using the linear modulation (LM OSL) technique. A variety of pre-treatment and measurement conditions have been used on sedimentary samples in conjunction with linearly modulated optical stimulation to study in detail the behaviour of the OSL components of quartz. Single aliquots of different quartz samples have been found to contain typically five or six common LM OSL components when stimulated at 470nm. The components have been parameterised in terms of thermal stability (i.e. E and s), photoionisation cross-section energy dependence and dose response. The results of studies concerning applications of component-resolved LM OSL measurements on quartz are also presented. These include the detection of partial bleaching in young samples, use of ‘stepped wavelength’ stimulation to observe OSL from single components and attempts to extend the age range of quartz OSL dating.","collection-title":"Proceedings of the 10th international Conference on Luminescence and Electron-Spin Resonance Dating (LED 2002)","container-title":"Radiation Measurements","DOI":"10.1016/S1350-4487(03)00062-3","ISSN":"1350-4487","issue":"4","journalAbbreviation":"Radiation Measurements","page":"451-458","source":"ScienceDirect","title":"Further investigations of the quartz optically stimulated luminescence components using linear modulation","volume":"37","author":[{"family":"Singarayer","given":"J. S."},{"family":"Bailey","given":"R. M."}],"issued":{"date-parts":[["2003",8,1]]}}}],"schema":"https://github.com/citation-style-language/schema/raw/master/csl-citation.json"} </w:instrText>
      </w:r>
      <w:r>
        <w:rPr>
          <w:rFonts w:cs="Calibri"/>
          <w:szCs w:val="22"/>
        </w:rPr>
        <w:fldChar w:fldCharType="separate"/>
      </w:r>
      <w:r w:rsidR="006A1AAE" w:rsidRPr="006A1AAE">
        <w:t>(Bailey, 2002; Jain et al., 2003; Singarayer and Bailey, 2003)</w:t>
      </w:r>
      <w:r>
        <w:rPr>
          <w:rFonts w:cs="Calibri"/>
          <w:szCs w:val="22"/>
        </w:rPr>
        <w:fldChar w:fldCharType="end"/>
      </w:r>
      <w:r w:rsidRPr="00DD29D4">
        <w:rPr>
          <w:rFonts w:cs="Calibri"/>
          <w:szCs w:val="22"/>
        </w:rPr>
        <w:t>.</w:t>
      </w:r>
      <w:r>
        <w:rPr>
          <w:rFonts w:cs="Calibri"/>
          <w:szCs w:val="22"/>
        </w:rPr>
        <w:t xml:space="preserve"> In addition, an ‘ultrafast’ component was found in some quartz samples </w:t>
      </w:r>
      <w:r>
        <w:rPr>
          <w:rFonts w:cs="Calibri"/>
          <w:szCs w:val="22"/>
        </w:rPr>
        <w:fldChar w:fldCharType="begin"/>
      </w:r>
      <w:r w:rsidR="006A1AAE">
        <w:rPr>
          <w:rFonts w:cs="Calibri"/>
          <w:szCs w:val="22"/>
        </w:rPr>
        <w:instrText xml:space="preserve"> ADDIN ZOTERO_ITEM CSL_CITATION {"citationID":"HdmzrQce","properties":{"formattedCitation":"(Goble and Rittenour, 2006; Jain et al., 2003, 2008)","plainCitation":"(Goble and Rittenour, 2006; Jain et al., 2003, 2008)","noteIndex":0},"citationItems":[{"id":705,"uris":["http://zotero.org/users/local/TzHpb2Bo/items/8QMSITHQ"],"uri":["http://zotero.org/users/local/TzHpb2Bo/items/8QMSITHQ"],"itemData":{"id":705,"type":"article-journal","container-title":"Ancient TL","issue":"2","language":"en","source":"Zotero","title":"A  Linear  Modulation  OSL  Study  of  the  Unstable  Ultrafast  Component   in   Samples   from   Glacial   Lake   Hitchcock,   Massachusetts, USA","URL":"https://www.researchgate.net/publication/268359162_A_Linear_Modulation_OSL_Study_of_the_Unstable_Ultrafast_Component_in_Samples_from_Glacial_Lake_Hitchcock_Massachusetts_USA","volume":"24","author":[{"family":"Goble","given":"R. J."},{"family":"Rittenour","given":"T. M."}],"issued":{"date-parts":[["2006"]]}}},{"id":641,"uris":["http://zotero.org/users/local/TzHpb2Bo/items/NH5YYXIB"],"uri":["http://zotero.org/users/local/TzHpb2Bo/items/NH5YYXIB"],"itemData":{"id":641,"type":"article-journal","abstract":"Most irradiated quartz samples show a fast decaying CW-OSL (continuous-wave optically stimulated luminescence) signal known as the fast component (FC, σ470nm</w:instrText>
      </w:r>
      <w:r w:rsidR="006A1AAE">
        <w:rPr>
          <w:rFonts w:ascii="Cambria Math" w:hAnsi="Cambria Math" w:cs="Cambria Math"/>
          <w:szCs w:val="22"/>
        </w:rPr>
        <w:instrText>∼</w:instrText>
      </w:r>
      <w:r w:rsidR="006A1AAE">
        <w:rPr>
          <w:rFonts w:cs="Calibri"/>
          <w:szCs w:val="22"/>
        </w:rPr>
        <w:instrText>2.3</w:instrText>
      </w:r>
      <w:r w:rsidR="006A1AAE">
        <w:rPr>
          <w:szCs w:val="22"/>
        </w:rPr>
        <w:instrText>×</w:instrText>
      </w:r>
      <w:r w:rsidR="006A1AAE">
        <w:rPr>
          <w:rFonts w:cs="Calibri"/>
          <w:szCs w:val="22"/>
        </w:rPr>
        <w:instrText>1017cm2) which is well separated from the more slowly decaying components and is commonly used for dosimetry. Some quartz samples additionally show an OSL signal that decays much more rapidly than the FC, termed as the ultrafast component (UFC). In this paper we report on the physical characteristics of the UFC in two different sets of samples from South Korea and Sweden using various measurement techniques. We conclude that the UFC arises from a shallow electron trap distinct from the FC. Since it rapidly depletes (thermally) at the room temperature, the presence of UFC in the OSL signal can lead to significant dose underestimation; it is recommended that UFC be removed by high temperature preheat (&gt;200</w:instrText>
      </w:r>
      <w:r w:rsidR="006A1AAE">
        <w:rPr>
          <w:rFonts w:ascii="Cambria Math" w:hAnsi="Cambria Math" w:cs="Cambria Math"/>
          <w:szCs w:val="22"/>
        </w:rPr>
        <w:instrText>∘</w:instrText>
      </w:r>
      <w:r w:rsidR="006A1AAE">
        <w:rPr>
          <w:rFonts w:cs="Calibri"/>
          <w:szCs w:val="22"/>
        </w:rPr>
        <w:instrText xml:space="preserve">C) and/or rejection of the very initial OSL signal.","collection-title":"Proceedings of the 15th Solid State Dosimetry (SSD15)","container-title":"Radiation Measurements","DOI":"10.1016/j.radmeas.2008.01.005","ISSN":"1350-4487","issue":"2","journalAbbreviation":"Radiation Measurements","language":"en","page":"709-714","source":"ScienceDirect","title":"The ultrafast OSL component in quartz: Origins and implications","title-short":"The ultrafast OSL component in quartz","volume":"43","author":[{"family":"Jain","given":"M."},{"family":"Choi","given":"J. H."},{"family":"Thomas","given":"P. J."}],"issued":{"date-parts":[["2008",2,1]]}}},{"id":613,"uris":["http://zotero.org/users/local/TzHpb2Bo/items/2LKI7GRW"],"uri":["http://zotero.org/users/local/TzHpb2Bo/items/2LKI7GRW"],"itemData":{"id":613,"type":"article-journal","container-title":"Radiation Measurements","page":"441-449","title":"Characterisation of blue-light stimulated luminescence components in different quartz samples: implications for dose measurement","volume":"37","author":[{"family":"Jain","given":"M."},{"family":"Murray","given":"A. S"},{"family":"Bøtter-Jensen","given":"L."}],"issued":{"date-parts":[["2003"]]}}}],"schema":"https://github.com/citation-style-language/schema/raw/master/csl-citation.json"} </w:instrText>
      </w:r>
      <w:r>
        <w:rPr>
          <w:rFonts w:cs="Calibri"/>
          <w:szCs w:val="22"/>
        </w:rPr>
        <w:fldChar w:fldCharType="separate"/>
      </w:r>
      <w:r w:rsidR="006A1AAE" w:rsidRPr="006A1AAE">
        <w:t>(Goble and Rittenour, 2006; Jain et al., 2003, 2008)</w:t>
      </w:r>
      <w:r>
        <w:rPr>
          <w:rFonts w:cs="Calibri"/>
          <w:szCs w:val="22"/>
        </w:rPr>
        <w:fldChar w:fldCharType="end"/>
      </w:r>
      <w:r>
        <w:rPr>
          <w:rFonts w:cs="Calibri"/>
          <w:szCs w:val="22"/>
        </w:rPr>
        <w:t>.</w:t>
      </w:r>
    </w:p>
    <w:p w14:paraId="61D58DC7" w14:textId="00B7B175" w:rsidR="00C4684B" w:rsidRDefault="00C4684B" w:rsidP="00C4684B">
      <w:pPr>
        <w:rPr>
          <w:rFonts w:cs="Calibri"/>
          <w:szCs w:val="22"/>
        </w:rPr>
      </w:pPr>
      <w:r w:rsidRPr="00026B89">
        <w:rPr>
          <w:rFonts w:cs="Calibri"/>
          <w:szCs w:val="22"/>
        </w:rPr>
        <w:lastRenderedPageBreak/>
        <w:t xml:space="preserve">Due to its fast optical resetting and its thermal stability, the 'fast' component commonly represents the target signal for dating and dosimetry purposes (see review by </w:t>
      </w:r>
      <w:r>
        <w:rPr>
          <w:rFonts w:cs="Calibri"/>
          <w:szCs w:val="22"/>
        </w:rPr>
        <w:fldChar w:fldCharType="begin"/>
      </w:r>
      <w:r>
        <w:rPr>
          <w:rFonts w:cs="Calibri"/>
          <w:szCs w:val="22"/>
        </w:rPr>
        <w:instrText xml:space="preserve"> ADDIN ZOTERO_ITEM CSL_CITATION {"citationID":"z7OXieJ3","properties":{"formattedCitation":"(Wintle and Murray, 2006)","plainCitation":"(Wintle and Murray, 2006)","dontUpdate":true,"noteIndex":0},"citationItems":[{"id":444,"uris":["http://zotero.org/users/local/TzHpb2Bo/items/KWFBP95N"],"uri":["http://zotero.org/users/local/TzHpb2Bo/items/KWFBP95N"],"itemData":{"id":444,"type":"article-journal","container-title":"Radiation Measurements","page":"369–391","title":"A review of quartz optically stimulated luminescence characteristics and their relevance in single-aliquot regeneration dating protocols","volume":"41","author":[{"family":"Wintle","given":"A.G."},{"family":"Murray","given":"A. S"}],"issued":{"date-parts":[["2006"]]}}}],"schema":"https://github.com/citation-style-language/schema/raw/master/csl-citation.json"} </w:instrText>
      </w:r>
      <w:r>
        <w:rPr>
          <w:rFonts w:cs="Calibri"/>
          <w:szCs w:val="22"/>
        </w:rPr>
        <w:fldChar w:fldCharType="separate"/>
      </w:r>
      <w:r w:rsidRPr="00D06A81">
        <w:t>Wintle and Murray, 2006)</w:t>
      </w:r>
      <w:r>
        <w:rPr>
          <w:rFonts w:cs="Calibri"/>
          <w:szCs w:val="22"/>
        </w:rPr>
        <w:fldChar w:fldCharType="end"/>
      </w:r>
      <w:r w:rsidRPr="00026B89">
        <w:rPr>
          <w:rFonts w:cs="Calibri"/>
          <w:szCs w:val="22"/>
        </w:rPr>
        <w:t>. The significant presence of other than the 'fast' component in the initial portion of the CW-OSL curve entails inaccuracies in the determined equivalent dose (</w:t>
      </w:r>
      <w:r w:rsidRPr="00026B89">
        <w:rPr>
          <w:rFonts w:cs="Calibri"/>
          <w:i/>
          <w:szCs w:val="22"/>
        </w:rPr>
        <w:t>D</w:t>
      </w:r>
      <w:r w:rsidRPr="00026B89">
        <w:rPr>
          <w:rFonts w:cs="Calibri"/>
          <w:szCs w:val="22"/>
          <w:vertAlign w:val="subscript"/>
        </w:rPr>
        <w:t>e</w:t>
      </w:r>
      <w:r w:rsidRPr="00026B89">
        <w:rPr>
          <w:rFonts w:cs="Calibri"/>
          <w:szCs w:val="22"/>
        </w:rPr>
        <w:t>). First, the comparatively low thermal stability of the 'ultrafast', 'medium' and one or more of the 'slow' components may lead to dose underestimation due to drainage of trapped charge over the dating period</w:t>
      </w:r>
      <w:r>
        <w:rPr>
          <w:rFonts w:cs="Calibri"/>
          <w:szCs w:val="22"/>
        </w:rPr>
        <w:t xml:space="preserve"> </w:t>
      </w:r>
      <w:r>
        <w:rPr>
          <w:rFonts w:cs="Calibri"/>
          <w:szCs w:val="22"/>
        </w:rPr>
        <w:fldChar w:fldCharType="begin"/>
      </w:r>
      <w:r>
        <w:rPr>
          <w:rFonts w:cs="Calibri"/>
          <w:szCs w:val="22"/>
        </w:rPr>
        <w:instrText xml:space="preserve"> ADDIN ZOTERO_ITEM CSL_CITATION {"citationID":"GDSvjMTj","properties":{"formattedCitation":"(Choi et al., 2003; Goble and Rittenour, 2006; Klasen et al., 2015; Li and Li, 2006; Solongo et al., 2006; Steffen et al., 2009)","plainCitation":"(Choi et al., 2003; Goble and Rittenour, 2006; Klasen et al., 2015; Li and Li, 2006; Solongo et al., 2006; Steffen et al., 2009)","noteIndex":0},"citationItems":[{"id":710,"uris":["http://zotero.org/users/local/TzHpb2Bo/items/GHKFVUJZ"],"uri":["http://zotero.org/users/local/TzHpb2Bo/items/GHKFVUJZ"],"itemData":{"id":710,"type":"article-journal","container-title":"Quaternary Science Reviews","DOI":"10.1016/S0277-3791(03)00022-2","ISSN":"02773791","issue":"10-13","journalAbbreviation":"Quaternary Science Reviews","language":"en","page":"1201-1206","source":"DOI.org (Crossref)","title":"The resolution of stratigraphic inconsistency in the luminescence ages of marine terrace sediments from Korea","volume":"22","author":[{"family":"Choi","given":"J.H."},{"family":"Murray","given":"A.S."},{"family":"Cheong","given":"C.S."},{"family":"Hong","given":"D.G."},{"family":"Chang","given":"H.W."}],"issued":{"date-parts":[["2003",5]]}}},{"id":705,"uris":["http://zotero.org/users/local/TzHpb2Bo/items/8QMSITHQ"],"uri":["http://zotero.org/users/local/TzHpb2Bo/items/8QMSITHQ"],"itemData":{"id":705,"type":"article-journal","container-title":"Ancient TL","issue":"2","language":"en","source":"Zotero","title":"A  Linear  Modulation  OSL  Study  of  the  Unstable  Ultrafast  Component   in   Samples   from   Glacial   Lake   Hitchcock,   Massachusetts, USA","URL":"https://www.researchgate.net/publication/268359162_A_Linear_Modulation_OSL_Study_of_the_Unstable_Ultrafast_Component_in_Samples_from_Glacial_Lake_Hitchcock_Massachusetts_USA","volume":"24","author":[{"family":"Goble","given":"R. J."},{"family":"Rittenour","given":"T. M."}],"issued":{"date-parts":[["2006"]]}}},{"id":707,"uris":["http://zotero.org/users/local/TzHpb2Bo/items/BBQK2VK9"],"uri":["http://zotero.org/users/local/TzHpb2Bo/items/BBQK2VK9"],"itemData":{"id":707,"type":"article-journal","abstract":"Abstract\n            This study describes the luminescence characteristics of quartz of Upper Pleistocene loess of the Middle Rhine area. The loess/palaeosol sequence of the Schwalbenberg near Remagen com-prises a multitude of interstadial soils and soil sediments that have been dedicated to the Marine Iso-tope Stage 3 (MIS 3). These weak calcaric cambisols and their derivates are underlain by loess and soil sediments of MIS 4 to MIS 5 and covered by loess sediments and intercalated gelic gleysols of MIS 2. We applied luminescence dating of quartz and feldspar of drill core samples and observed an age discrepancy within both data sets. The quartz ages were clearly younger than the feldspar ages, because of thermally unstable signal components of the quartz luminescence signal. Therefore, we re-garded the quartz samples of the lower parts of the drill core as unsuitable for luminescence dating. This underestimation did not affect the quartz samples of the upper part of the drill core which was indicated by age control that was provided by the Eltville tephra layer. Geochemical analysis based on X-ray fluorescence showed that the sediments in the upper part and the lower part of the drill core have different geogenic finger prints most likely due to changing source areas of dust and sediment allocation. We assumed that these different facies types were the reason for the luminescence behav-ior of the quartz samples.","container-title":"Geochronometria","DOI":"10.1515/geochr-2015-0008","ISSN":"1897-1695","issue":"1","source":"DOI.org (Crossref)","title":"Luminescence dating of loess deposits from the Remagen-Schwalbenberg site, Western Germany","URL":"http://content.sciendo.com/view/journals/geochr/42/1/article-geochr-2015-0008.xml.xml","volume":"42","author":[{"family":"Klasen","given":"Nicole"},{"family":"Fischer","given":"Peter"},{"family":"Lehmkuhl","given":"Frank"},{"family":"Hilgers","given":"Alexandra"}],"accessed":{"date-parts":[["2020",6,4]]},"issued":{"date-parts":[["2015",3,27]]}}},{"id":424,"uris":["http://zotero.org/users/local/TzHpb2Bo/items/MMICTNIQ"],"uri":["http://zotero.org/users/local/TzHpb2Bo/items/MMICTNIQ"],"itemData":{"id":424,"type":"article-journal","container-title":"Radiation Measurements","DOI":"10.1016/j.radmeas.2005.06.037","ISSN":"13504487","issue":"2","language":"en","page":"125-136","source":"Crossref","title":"Comparison of De estimates using the fast component and the medium component of quartz OSL","volume":"41","author":[{"family":"Li","given":"Bo"},{"family":"Li","given":"Sheng-Hua"}],"issued":{"date-parts":[["2006",2]]}}},{"id":706,"uris":["http://zotero.org/users/local/TzHpb2Bo/items/7HA6998G"],"uri":["http://zotero.org/users/local/TzHpb2Bo/items/7HA6998G"],"itemData":{"id":706,"type":"article-journal","container-title":"Radiation Measurements","DOI":"10.1016/j.radmeas.2006.05.023","ISSN":"13504487","issue":"7-8","journalAbbreviation":"Radiation Measurements","language":"en","page":"1001-1008","source":"DOI.org (Crossref)","title":"The estimation of using the fast and medium components in fired quartz from archaeological site Karakorum, Mongolia","volume":"41","author":[{"family":"Solongo","given":"S."},{"family":"Wagner","given":"G.A."},{"family":"Galbaatar","given":"T."}],"issued":{"date-parts":[["2006",8]]}}},{"id":425,"uris":["http://zotero.org/users/local/TzHpb2Bo/items/4NKZ7MB6"],"uri":["http://zotero.org/users/local/TzHpb2Bo/items/4NKZ7MB6"],"itemData":{"id":425,"type":"article-journal","container-title":"Quaternary Geochronology","DOI":"10.1016/j.quageo.2009.05.015","ISSN":"18711014","issue":"5","language":"en","page":"353-362","source":"Crossref","title":"OSL quartz age underestimation due to unstable signal components","volume":"4","author":[{"family":"Steffen","given":"Damian"},{"family":"Preusser","given":"Frank"},{"family":"Schlunegger","given":"Fritz"}],"issued":{"date-parts":[["2009",10]]}}}],"schema":"https://github.com/citation-style-language/schema/raw/master/csl-citation.json"} </w:instrText>
      </w:r>
      <w:r>
        <w:rPr>
          <w:rFonts w:cs="Calibri"/>
          <w:szCs w:val="22"/>
        </w:rPr>
        <w:fldChar w:fldCharType="separate"/>
      </w:r>
      <w:r w:rsidR="006A1AAE" w:rsidRPr="006A1AAE">
        <w:t>(Choi et al., 2003; Goble and Rittenour, 2006; Klasen et al., 2015; Li and Li, 2006; Solongo et al., 2006; Steffen et al., 2009)</w:t>
      </w:r>
      <w:r>
        <w:rPr>
          <w:rFonts w:cs="Calibri"/>
          <w:szCs w:val="22"/>
        </w:rPr>
        <w:fldChar w:fldCharType="end"/>
      </w:r>
      <w:r>
        <w:rPr>
          <w:rFonts w:cs="Calibri"/>
          <w:szCs w:val="22"/>
        </w:rPr>
        <w:t xml:space="preserve">. </w:t>
      </w:r>
      <w:r w:rsidRPr="00026B89">
        <w:rPr>
          <w:rFonts w:cs="Calibri"/>
          <w:szCs w:val="22"/>
        </w:rPr>
        <w:t xml:space="preserve">Second, the lower bleaching rate of 'non-fast' signals could result in overestimated doses, especially in environments where light exposure of quartz grains during transport is temporally limited (e.g., </w:t>
      </w:r>
      <w:proofErr w:type="spellStart"/>
      <w:r w:rsidRPr="00026B89">
        <w:rPr>
          <w:rFonts w:cs="Calibri"/>
          <w:szCs w:val="22"/>
        </w:rPr>
        <w:t>colluvial</w:t>
      </w:r>
      <w:proofErr w:type="spellEnd"/>
      <w:r w:rsidRPr="00026B89">
        <w:rPr>
          <w:rFonts w:cs="Calibri"/>
          <w:szCs w:val="22"/>
        </w:rPr>
        <w:t xml:space="preserve"> deposition) or spectrally restricted (e.g., lack of UV during transport under water) </w:t>
      </w:r>
      <w:r>
        <w:rPr>
          <w:rFonts w:cs="Calibri"/>
          <w:szCs w:val="22"/>
        </w:rPr>
        <w:fldChar w:fldCharType="begin"/>
      </w:r>
      <w:r>
        <w:rPr>
          <w:rFonts w:cs="Calibri"/>
          <w:szCs w:val="22"/>
        </w:rPr>
        <w:instrText xml:space="preserve"> ADDIN ZOTERO_ITEM CSL_CITATION {"citationID":"i5sU2v4m","properties":{"formattedCitation":"(Aitken, 1998; Bailey et al., 1997; Fuchs and Lang, 2009; Singarayer and Bailey, 2004)","plainCitation":"(Aitken, 1998; Bailey et al., 1997; Fuchs and Lang, 2009; Singarayer and Bailey, 2004)","noteIndex":0},"citationItems":[{"id":577,"uris":["http://zotero.org/users/local/TzHpb2Bo/items/UW5Z4H7D"],"uri":["http://zotero.org/users/local/TzHpb2Bo/items/UW5Z4H7D"],"itemData":{"id":577,"type":"book","call-number":"QE508 .A35 1998","event-place":"Oxford ; New York","ISBN":"978-0-19-854092-2","number-of-pages":"267","publisher":"Oxford University Press","publisher-place":"Oxford ; New York","source":"Library of Congress ISBN","title":"An introduction to optical dating: the dating of Quaternary sediments by the use of photon-stimulated luminescence","title-short":"An introduction to optical dating","author":[{"family":"Aitken","given":"M. J."}],"issued":{"date-parts":[["1998"]]}}},{"id":603,"uris":["http://zotero.org/users/local/TzHpb2Bo/items/HSUVXICR"],"uri":["http://zotero.org/users/local/TzHpb2Bo/items/HSUVXICR"],"itemData":{"id":603,"type":"article-journal","abstract":"Three exponential components have been isolated from observed high temperature OSL decay data of quartz. These components have been found to display differential bleaching and growth characteristics. It is postulated that changes in the ratio of the first two components (the “fast” and the “medium”) are responsible for the changes in decay form observed in partially bleached samples. Measurements have shown that a comparison of the observed ratios to the expected ratios (had a sample been fully bleached) may be able to differentiate sediments for which the OSL has only been partially reset prior to deposition.","collection-title":"Proceedings of the 8th International Conference on Luminescence and Electron Spin Resonance Dating","container-title":"Radiation Measurements","DOI":"10.1016/S1350-4487(96)00157-6","ISSN":"1350-4487","issue":"2","journalAbbreviation":"Radiation Measurements","page":"123-136","source":"ScienceDirect","title":"Partial bleaching and the decay form characteristics of quartz OSL","volume":"27","author":[{"family":"Bailey","given":"R. M."},{"family":"Smith","given":"B. W."},{"family":"Rhodes","given":"E. J."}],"issued":{"date-parts":[["1997",4,1]]}}},{"id":711,"uris":["http://zotero.org/users/local/TzHpb2Bo/items/ZZCRSJP7"],"uri":["http://zotero.org/users/local/TzHpb2Bo/items/ZZCRSJP7"],"itemData":{"id":711,"type":"article-journal","container-title":"Geomorphology","DOI":"10.1016/j.geomorph.2008.08.025","ISSN":"0169555X","issue":"1-2","journalAbbreviation":"Geomorphology","language":"en","page":"17-26","source":"DOI.org (Crossref)","title":"Luminescence dating of hillslope deposits—A review","volume":"109","author":[{"family":"Fuchs","given":"M."},{"family":"Lang","given":"A."}],"issued":{"date-parts":[["2009",8]]}}},{"id":461,"uris":["http://zotero.org/users/local/TzHpb2Bo/items/K553XBGG"],"uri":["http://zotero.org/users/local/TzHpb2Bo/items/K553XBGG"],"itemData":{"id":461,"type":"article-journal","container-title":"Radiation Measurements","DOI":"10.1016/S1350-4487(03)00250-6","ISSN":"13504487","issue":"1","journalAbbreviation":"Radiation Measurements","language":"en","page":"111-118","source":"DOI.org (Crossref)","title":"Component-resolved bleaching spectra of quartz optically stimulated luminescence: preliminary results and implications for dating","title-short":"Component-resolved bleaching spectra of quartz optically stimulated luminescence","volume":"38","author":[{"family":"Singarayer","given":"J.S."},{"family":"Bailey","given":"R.M."}],"issued":{"date-parts":[["2004",2]]}}}],"schema":"https://github.com/citation-style-language/schema/raw/master/csl-citation.json"} </w:instrText>
      </w:r>
      <w:r>
        <w:rPr>
          <w:rFonts w:cs="Calibri"/>
          <w:szCs w:val="22"/>
        </w:rPr>
        <w:fldChar w:fldCharType="separate"/>
      </w:r>
      <w:r w:rsidR="006A1AAE" w:rsidRPr="006A1AAE">
        <w:t>(Aitken, 1998; Bailey et al., 1997; Fuchs and Lang, 2009; Singarayer and Bailey, 2004)</w:t>
      </w:r>
      <w:r>
        <w:rPr>
          <w:rFonts w:cs="Calibri"/>
          <w:szCs w:val="22"/>
        </w:rPr>
        <w:fldChar w:fldCharType="end"/>
      </w:r>
      <w:r>
        <w:rPr>
          <w:rFonts w:cs="Calibri"/>
          <w:szCs w:val="22"/>
        </w:rPr>
        <w:t>.</w:t>
      </w:r>
    </w:p>
    <w:p w14:paraId="58ACE402" w14:textId="77777777" w:rsidR="00C4684B" w:rsidRPr="00026B89" w:rsidRDefault="00C4684B" w:rsidP="00C4684B">
      <w:pPr>
        <w:rPr>
          <w:rFonts w:cs="Calibri"/>
          <w:szCs w:val="22"/>
        </w:rPr>
      </w:pPr>
    </w:p>
    <w:p w14:paraId="7BB3FCF6" w14:textId="55B64364" w:rsidR="00C4684B" w:rsidRDefault="00C4684B" w:rsidP="00C4684B">
      <w:pPr>
        <w:rPr>
          <w:rFonts w:cs="Calibri"/>
          <w:szCs w:val="22"/>
        </w:rPr>
      </w:pPr>
      <w:r>
        <w:rPr>
          <w:rFonts w:cs="Calibri"/>
          <w:szCs w:val="22"/>
        </w:rPr>
        <w:t>More reliable and accurate dating results for quartz samples are achieved if the</w:t>
      </w:r>
      <w:r w:rsidRPr="00026B89">
        <w:rPr>
          <w:rFonts w:cs="Calibri"/>
          <w:szCs w:val="22"/>
        </w:rPr>
        <w:t xml:space="preserve"> 'fast' component </w:t>
      </w:r>
      <w:r>
        <w:rPr>
          <w:rFonts w:cs="Calibri"/>
          <w:szCs w:val="22"/>
        </w:rPr>
        <w:t xml:space="preserve">is isolated </w:t>
      </w:r>
      <w:r w:rsidRPr="00026B89">
        <w:rPr>
          <w:rFonts w:cs="Calibri"/>
          <w:szCs w:val="22"/>
        </w:rPr>
        <w:t xml:space="preserve">from the bulk OSL signal. </w:t>
      </w:r>
      <w:r>
        <w:rPr>
          <w:rFonts w:cs="Calibri"/>
          <w:szCs w:val="22"/>
        </w:rPr>
        <w:t xml:space="preserve">Various approaches to do so were proposed in the past two decades, from which a common one is the application of the LM-OSL technique </w:t>
      </w:r>
      <w:r>
        <w:rPr>
          <w:rFonts w:cs="Calibri"/>
          <w:szCs w:val="22"/>
        </w:rPr>
        <w:fldChar w:fldCharType="begin"/>
      </w:r>
      <w:r>
        <w:rPr>
          <w:rFonts w:cs="Calibri"/>
          <w:szCs w:val="22"/>
        </w:rPr>
        <w:instrText xml:space="preserve"> ADDIN ZOTERO_ITEM CSL_CITATION {"citationID":"bzmPspSH","properties":{"formattedCitation":"(Bulur, 1996; Bulur et al., 2000)","plainCitation":"(Bulur, 1996; Bulur et al., 2000)","noteIndex":0},"citationItems":[{"id":215,"uris":["http://zotero.org/users/local/TzHpb2Bo/items/TL5JE2PG"],"uri":["http://zotero.org/users/local/TzHpb2Bo/items/TL5JE2PG"],"itemData":{"id":215,"type":"article-journal","container-title":"Radiation Measurements","DOI":"10.1016/S1350-4487(97)82884-3","ISSN":"13504487","issue":"5","language":"en","page":"701-709","source":"CrossRef","title":"An alternative technique for optically stimulated luminescence (OSL) experiment","volume":"26","author":[{"family":"Bulur","given":"Enver"}],"issued":{"date-parts":[["1996",9]]}}},{"id":116,"uris":["http://zotero.org/users/local/TzHpb2Bo/items/5ZVWXENX"],"uri":["http://zotero.org/users/local/TzHpb2Bo/items/5ZVWXENX"],"itemData":{"id":116,"type":"article-journal","container-title":"Radiation Measurements","DOI":"10.1016/S1350-4487(00)00115-3","ISSN":"13504487","issue":"5-6","language":"en","page":"407-411","source":"CrossRef","title":"Optically stimulated luminescence from quartz measured using the linear modulation technique","volume":"32","author":[{"family":"Bulur","given":"E"},{"family":"Bøtter-Jensen","given":"L"},{"family":"Murray","given":"A.S"}],"issued":{"date-parts":[["2000",12]]}}}],"schema":"https://github.com/citation-style-language/schema/raw/master/csl-citation.json"} </w:instrText>
      </w:r>
      <w:r>
        <w:rPr>
          <w:rFonts w:cs="Calibri"/>
          <w:szCs w:val="22"/>
        </w:rPr>
        <w:fldChar w:fldCharType="separate"/>
      </w:r>
      <w:r w:rsidR="006A1AAE" w:rsidRPr="006A1AAE">
        <w:t>(Bulur, 1996; Bulur et al., 2000)</w:t>
      </w:r>
      <w:r>
        <w:rPr>
          <w:rFonts w:cs="Calibri"/>
          <w:szCs w:val="22"/>
        </w:rPr>
        <w:fldChar w:fldCharType="end"/>
      </w:r>
      <w:r>
        <w:rPr>
          <w:rFonts w:cs="Calibri"/>
          <w:szCs w:val="22"/>
        </w:rPr>
        <w:t>. Here, individual OSL components occur in a peak-like shape, achieved b</w:t>
      </w:r>
      <w:r w:rsidRPr="00026B89">
        <w:rPr>
          <w:rFonts w:cs="Calibri"/>
          <w:szCs w:val="22"/>
        </w:rPr>
        <w:t>y linearly increasing</w:t>
      </w:r>
      <w:r>
        <w:rPr>
          <w:rFonts w:cs="Calibri"/>
          <w:szCs w:val="22"/>
        </w:rPr>
        <w:t xml:space="preserve"> the optical stimulation power </w:t>
      </w:r>
      <w:r w:rsidRPr="00026B89">
        <w:rPr>
          <w:rFonts w:cs="Calibri"/>
          <w:szCs w:val="22"/>
        </w:rPr>
        <w:t>over the measurement</w:t>
      </w:r>
      <w:r>
        <w:rPr>
          <w:rFonts w:cs="Calibri"/>
          <w:szCs w:val="22"/>
        </w:rPr>
        <w:t xml:space="preserve"> period (in analogue to thermoluminescence measurements). Assuming first-order kinetics, the maximum of a peak is directly related with the decay rate (i.e., photo-ionisation cross-section) of the component </w:t>
      </w:r>
      <w:r>
        <w:rPr>
          <w:rFonts w:cs="Calibri"/>
          <w:szCs w:val="22"/>
        </w:rPr>
        <w:fldChar w:fldCharType="begin"/>
      </w:r>
      <w:r>
        <w:rPr>
          <w:rFonts w:cs="Calibri"/>
          <w:szCs w:val="22"/>
        </w:rPr>
        <w:instrText xml:space="preserve"> ADDIN ZOTERO_ITEM CSL_CITATION {"citationID":"nAHDKwE4","properties":{"formattedCitation":"(Bulur, 2000)","plainCitation":"(Bulur, 2000)","noteIndex":0},"citationItems":[{"id":169,"uris":["http://zotero.org/users/local/TzHpb2Bo/items/VQTKX5AP"],"uri":["http://zotero.org/users/local/TzHpb2Bo/items/VQTKX5AP"],"itemData":{"id":169,"type":"article-journal","container-title":"Radiation Measurements","DOI":"10.1016/S1350-4487(99)00247-4","ISSN":"13504487","issue":"2","language":"en","page":"141-145","source":"CrossRef","title":"A simple transformation for converting CW-OSL curves to LM-OSL curves","volume":"32","author":[{"family":"Bulur","given":"E."}],"issued":{"date-parts":[["2000",4]]}}}],"schema":"https://github.com/citation-style-language/schema/raw/master/csl-citation.json"} </w:instrText>
      </w:r>
      <w:r>
        <w:rPr>
          <w:rFonts w:cs="Calibri"/>
          <w:szCs w:val="22"/>
        </w:rPr>
        <w:fldChar w:fldCharType="separate"/>
      </w:r>
      <w:r w:rsidR="006A1AAE" w:rsidRPr="006A1AAE">
        <w:t>(Bulur, 2000)</w:t>
      </w:r>
      <w:r>
        <w:rPr>
          <w:rFonts w:cs="Calibri"/>
          <w:szCs w:val="22"/>
        </w:rPr>
        <w:fldChar w:fldCharType="end"/>
      </w:r>
      <w:r>
        <w:rPr>
          <w:rFonts w:cs="Calibri"/>
          <w:szCs w:val="22"/>
        </w:rPr>
        <w:t xml:space="preserve">. Thus, LM-OSL measurements allow to identify the OSL components and by simply looking at the diagrams. This ‘looking-at’ approach can also be performed at CW-OSL measurements which offer better signal-to-noise ratio (SNR), shorter measurement periods and higher stochastic signal variability </w:t>
      </w:r>
      <w:r>
        <w:rPr>
          <w:rFonts w:cs="Calibri"/>
          <w:szCs w:val="22"/>
        </w:rPr>
        <w:fldChar w:fldCharType="begin"/>
      </w:r>
      <w:r>
        <w:rPr>
          <w:rFonts w:cs="Calibri"/>
          <w:szCs w:val="22"/>
        </w:rPr>
        <w:instrText xml:space="preserve"> ADDIN ZOTERO_ITEM CSL_CITATION {"citationID":"4vJ579MS","properties":{"formattedCitation":"(Pagonis et al., 2020)","plainCitation":"(Pagonis et al., 2020)","noteIndex":0},"citationItems":[{"id":712,"uris":["http://zotero.org/users/local/TzHpb2Bo/items/LI2ZJJME"],"uri":["http://zotero.org/users/local/TzHpb2Bo/items/LI2ZJJME"],"itemData":{"id":712,"type":"article-journal","container-title":"Journal of Luminescence","DOI":"10.1016/j.jlumin.2019.116945","ISSN":"00222313","journalAbbreviation":"Journal of Luminescence","language":"en","page":"116945","source":"DOI.org (Crossref)","title":"On the stochastic uncertainties of thermally and optically stimulated luminescence signals: A Monte Carlo approach","title-short":"On the stochastic uncertainties of thermally and optically stimulated luminescence signals","volume":"219","author":[{"family":"Pagonis","given":"Vasilis"},{"family":"Kreutzer","given":"Sebastian"},{"family":"Duncan","given":"Alex Roy"},{"family":"Rajovic","given":"Ena"},{"family":"Laag","given":"Christian"},{"family":"Schmidt","given":"Christoph"}],"issued":{"date-parts":[["2020",3]]}}}],"schema":"https://github.com/citation-style-language/schema/raw/master/csl-citation.json"} </w:instrText>
      </w:r>
      <w:r>
        <w:rPr>
          <w:rFonts w:cs="Calibri"/>
          <w:szCs w:val="22"/>
        </w:rPr>
        <w:fldChar w:fldCharType="separate"/>
      </w:r>
      <w:r w:rsidR="006A1AAE" w:rsidRPr="006A1AAE">
        <w:t>(Pagonis et al., 2020)</w:t>
      </w:r>
      <w:r>
        <w:rPr>
          <w:rFonts w:cs="Calibri"/>
          <w:szCs w:val="22"/>
        </w:rPr>
        <w:fldChar w:fldCharType="end"/>
      </w:r>
      <w:r>
        <w:rPr>
          <w:rFonts w:cs="Calibri"/>
          <w:szCs w:val="22"/>
        </w:rPr>
        <w:t>. This is enabled by the mathematical transformation of</w:t>
      </w:r>
      <w:r w:rsidRPr="00026B89">
        <w:rPr>
          <w:rFonts w:cs="Calibri"/>
          <w:szCs w:val="22"/>
        </w:rPr>
        <w:t xml:space="preserve"> CW-OSL into 'pseudo'-LM-OSL curve</w:t>
      </w:r>
      <w:r>
        <w:rPr>
          <w:rFonts w:cs="Calibri"/>
          <w:szCs w:val="22"/>
        </w:rPr>
        <w:t xml:space="preserve">s </w:t>
      </w:r>
      <w:r>
        <w:rPr>
          <w:rFonts w:cs="Calibri"/>
          <w:szCs w:val="22"/>
        </w:rPr>
        <w:fldChar w:fldCharType="begin"/>
      </w:r>
      <w:r>
        <w:rPr>
          <w:rFonts w:cs="Calibri"/>
          <w:szCs w:val="22"/>
        </w:rPr>
        <w:instrText xml:space="preserve"> ADDIN ZOTERO_ITEM CSL_CITATION {"citationID":"RCWw0Dt7","properties":{"formattedCitation":"(Bos and Wallinga, 2012; Bulur, 2000; Kitis et al., 2011)","plainCitation":"(Bos and Wallinga, 2012; Bulur, 2000; Kitis et al., 2011)","noteIndex":0},"citationItems":[{"id":272,"uris":["http://zotero.org/users/local/TzHpb2Bo/items/GPW74K5A"],"uri":["http://zotero.org/users/local/TzHpb2Bo/items/GPW74K5A"],"itemData":{"id":272,"type":"article-journal","container-title":"Radiation Measurements","DOI":"10.1016/j.radmeas.2012.01.013","ISSN":"13504487","issue":"9","language":"en","page":"752-758","source":"CrossRef","title":"How to visualize quartz OSL signal components","volume":"47","author":[{"family":"Bos","given":"Adrie J.J."},{"family":"Wallinga","given":"Jakob"}],"issued":{"date-parts":[["2012",9]]}}},{"id":169,"uris":["http://zotero.org/users/local/TzHpb2Bo/items/VQTKX5AP"],"uri":["http://zotero.org/users/local/TzHpb2Bo/items/VQTKX5AP"],"itemData":{"id":169,"type":"article-journal","container-title":"Radiation Measurements","DOI":"10.1016/S1350-4487(99)00247-4","ISSN":"13504487","issue":"2","language":"en","page":"141-145","source":"CrossRef","title":"A simple transformation for converting CW-OSL curves to LM-OSL curves","volume":"32","author":[{"family":"Bulur","given":"E."}],"issued":{"date-parts":[["2000",4]]}}},{"id":477,"uris":["http://zotero.org/users/local/TzHpb2Bo/items/R56AQRC7"],"uri":["http://zotero.org/users/local/TzHpb2Bo/items/R56AQRC7"],"itemData":{"id":477,"type":"article-journal","abstract":"Abstract\n            The present paper presents a comparative experimental study of two commonly measured Optically Stimulated Luminescence (OSL) signals in quartz. The experimental study measures both the continuous wave OSL (CW-OSL) and the linearly modulated (LM-OSL) signals from the same quartz sample for a range of stimulation temperatures between 180 and 280°C, while the former is transformed to pseudo LM-OSL (ps LM-OSL). A computerized deconvolution curve analysis of the LM-OSL and ps LM-OSL signals was carried out, and the contributions of several OSL components to the initial OSL signal (0.1 s) were shown to be independent of the stimulation temperature used during the measurement. It was also found that the composite OSL (0.1 s) signal consists mainly of the first two OSL components present in the OSL curves. The equivalence of the ps LM-OSL (transformed CW-OSL) and of LM-OSL measurements was also examined by an appropriate choice of the experimental stimulation times, and of the stimulation power of the blue LEDs used during the measurement.","container-title":"Geochronometria","DOI":"10.2478/s13386-011-0031-8","ISSN":"1897-1695","issue":"3","page":"209-216","source":"DOI.org (Crossref)","title":"Preliminary results towards the equivalence of transformed continuous-wave Optically Stimulated Luminescence (CW-OSL) and linearly-modulated (LM-OSL) signals in quartz","volume":"38","author":[{"family":"Kitis","given":"George"},{"family":"Polymeris","given":"George"},{"family":"Kiyak","given":"Nafiye"},{"family":"Pagonis","given":"Vasilis"}],"issued":{"date-parts":[["2011",9,1]]}}}],"schema":"https://github.com/citation-style-language/schema/raw/master/csl-citation.json"} </w:instrText>
      </w:r>
      <w:r>
        <w:rPr>
          <w:rFonts w:cs="Calibri"/>
          <w:szCs w:val="22"/>
        </w:rPr>
        <w:fldChar w:fldCharType="separate"/>
      </w:r>
      <w:r w:rsidR="006A1AAE" w:rsidRPr="006A1AAE">
        <w:t>(Bos and Wallinga, 2012; Bulur, 2000; Kitis et al., 2011)</w:t>
      </w:r>
      <w:r>
        <w:rPr>
          <w:rFonts w:cs="Calibri"/>
          <w:szCs w:val="22"/>
        </w:rPr>
        <w:fldChar w:fldCharType="end"/>
      </w:r>
      <w:r w:rsidRPr="00026B89">
        <w:rPr>
          <w:rFonts w:cs="Calibri"/>
          <w:szCs w:val="22"/>
        </w:rPr>
        <w:t>.</w:t>
      </w:r>
      <w:r>
        <w:rPr>
          <w:rFonts w:cs="Calibri"/>
          <w:szCs w:val="22"/>
        </w:rPr>
        <w:t xml:space="preserve"> But, the ‘looking-at’ analysis of LM-OSL and pseudo-LM-OSL measurements is time-consuming and requires sufficient user experience and is therefore not applicable for routine dating.</w:t>
      </w:r>
    </w:p>
    <w:p w14:paraId="42FC5A36" w14:textId="77777777" w:rsidR="00C4684B" w:rsidRDefault="00C4684B" w:rsidP="00C4684B">
      <w:pPr>
        <w:rPr>
          <w:rFonts w:cs="Calibri"/>
          <w:szCs w:val="22"/>
        </w:rPr>
      </w:pPr>
    </w:p>
    <w:p w14:paraId="661D9239" w14:textId="7065A6B1" w:rsidR="00C4684B" w:rsidRDefault="00C4684B" w:rsidP="00C4684B">
      <w:pPr>
        <w:rPr>
          <w:rFonts w:cs="Calibri"/>
          <w:szCs w:val="22"/>
        </w:rPr>
      </w:pPr>
      <w:r>
        <w:rPr>
          <w:rFonts w:cs="Calibri"/>
          <w:szCs w:val="22"/>
        </w:rPr>
        <w:t>For separating the OSL components accurately and efficiently in routine dating, a procedure is required which does not rely on user interaction. To be applicable for standard measurement protocols, such a procedure needs to work with PMT-measured CW-OSL curves.  However, as an ill-posed</w:t>
      </w:r>
      <w:r w:rsidRPr="00026B89">
        <w:rPr>
          <w:rFonts w:cs="Calibri"/>
          <w:szCs w:val="22"/>
        </w:rPr>
        <w:t xml:space="preserve"> problem</w:t>
      </w:r>
      <w:r>
        <w:rPr>
          <w:rFonts w:cs="Calibri"/>
          <w:szCs w:val="22"/>
        </w:rPr>
        <w:t xml:space="preserve"> </w:t>
      </w:r>
      <w:r>
        <w:rPr>
          <w:rFonts w:cs="Calibri"/>
          <w:szCs w:val="22"/>
        </w:rPr>
        <w:fldChar w:fldCharType="begin"/>
      </w:r>
      <w:r>
        <w:rPr>
          <w:rFonts w:cs="Calibri"/>
          <w:szCs w:val="22"/>
        </w:rPr>
        <w:instrText xml:space="preserve"> ADDIN ZOTERO_ITEM CSL_CITATION {"citationID":"ls2yesWV","properties":{"formattedCitation":"(Istratov and Vyvenko, 1999)","plainCitation":"(Istratov and Vyvenko, 1999)","noteIndex":0},"citationItems":[{"id":713,"uris":["http://zotero.org/users/local/TzHpb2Bo/items/7VGJA2AG"],"uri":["http://zotero.org/users/local/TzHpb2Bo/items/7VGJA2AG"],"itemData":{"id":713,"type":"article-journal","container-title":"Review of Scientific Instruments","DOI":"10.1063/1.1149581","ISSN":"0034-6748, 1089-7623","issue":"2","journalAbbreviation":"Review of Scientific Instruments","language":"en","page":"1233-1257","source":"DOI.org (Crossref)","title":"Exponential analysis in physical phenomena","volume":"70","author":[{"family":"Istratov","given":"Andrei A."},{"family":"Vyvenko","given":"Oleg F."}],"issued":{"date-parts":[["1999",2]]}}}],"schema":"https://github.com/citation-style-language/schema/raw/master/csl-citation.json"} </w:instrText>
      </w:r>
      <w:r>
        <w:rPr>
          <w:rFonts w:cs="Calibri"/>
          <w:szCs w:val="22"/>
        </w:rPr>
        <w:fldChar w:fldCharType="separate"/>
      </w:r>
      <w:r w:rsidR="006A1AAE" w:rsidRPr="006A1AAE">
        <w:t>(Istratov and Vyvenko, 1999)</w:t>
      </w:r>
      <w:r>
        <w:rPr>
          <w:rFonts w:cs="Calibri"/>
          <w:szCs w:val="22"/>
        </w:rPr>
        <w:fldChar w:fldCharType="end"/>
      </w:r>
      <w:r w:rsidRPr="00026B89">
        <w:rPr>
          <w:rFonts w:cs="Calibri"/>
          <w:szCs w:val="22"/>
        </w:rPr>
        <w:t xml:space="preserve">, the </w:t>
      </w:r>
      <w:r>
        <w:rPr>
          <w:rFonts w:cs="Calibri"/>
          <w:szCs w:val="22"/>
        </w:rPr>
        <w:t>decomposition</w:t>
      </w:r>
      <w:r w:rsidRPr="00026B89">
        <w:rPr>
          <w:rFonts w:cs="Calibri"/>
          <w:szCs w:val="22"/>
        </w:rPr>
        <w:t xml:space="preserve"> of</w:t>
      </w:r>
      <w:r>
        <w:rPr>
          <w:rFonts w:cs="Calibri"/>
          <w:szCs w:val="22"/>
        </w:rPr>
        <w:t xml:space="preserve"> multi-</w:t>
      </w:r>
      <w:r w:rsidRPr="00026B89">
        <w:rPr>
          <w:rFonts w:cs="Calibri"/>
          <w:szCs w:val="22"/>
        </w:rPr>
        <w:t xml:space="preserve">exponential </w:t>
      </w:r>
      <w:r>
        <w:rPr>
          <w:rFonts w:cs="Calibri"/>
          <w:szCs w:val="22"/>
        </w:rPr>
        <w:t xml:space="preserve">decay </w:t>
      </w:r>
      <w:r w:rsidRPr="00026B89">
        <w:rPr>
          <w:rFonts w:cs="Calibri"/>
          <w:szCs w:val="22"/>
        </w:rPr>
        <w:t>functions</w:t>
      </w:r>
      <w:r>
        <w:rPr>
          <w:rFonts w:cs="Calibri"/>
          <w:szCs w:val="22"/>
        </w:rPr>
        <w:t>, like CW-OSL curves,</w:t>
      </w:r>
      <w:r w:rsidRPr="00026B89">
        <w:rPr>
          <w:rFonts w:cs="Calibri"/>
          <w:szCs w:val="22"/>
        </w:rPr>
        <w:t xml:space="preserve"> is not </w:t>
      </w:r>
      <w:r>
        <w:rPr>
          <w:rFonts w:cs="Calibri"/>
          <w:szCs w:val="22"/>
        </w:rPr>
        <w:t>straightforward. D</w:t>
      </w:r>
      <w:r w:rsidRPr="00026B89">
        <w:rPr>
          <w:rFonts w:cs="Calibri"/>
          <w:szCs w:val="22"/>
        </w:rPr>
        <w:t xml:space="preserve">eterministic fitting </w:t>
      </w:r>
      <w:r>
        <w:rPr>
          <w:rFonts w:cs="Calibri"/>
          <w:szCs w:val="22"/>
        </w:rPr>
        <w:t>algorithms</w:t>
      </w:r>
      <w:r w:rsidRPr="00026B89">
        <w:rPr>
          <w:rFonts w:cs="Calibri"/>
          <w:szCs w:val="22"/>
        </w:rPr>
        <w:t xml:space="preserve"> are prone to find local minima instead of global ones</w:t>
      </w:r>
      <w:r>
        <w:rPr>
          <w:rFonts w:cs="Calibri"/>
          <w:szCs w:val="22"/>
        </w:rPr>
        <w:t>. It may also occur that they stop before achieving results due to diverging parameters, which might happen if the SNR is not sufficiently high or the start parameters are chosen badly</w:t>
      </w:r>
      <w:r w:rsidRPr="00026B89">
        <w:rPr>
          <w:rFonts w:cs="Calibri"/>
          <w:szCs w:val="22"/>
        </w:rPr>
        <w:t xml:space="preserve">. </w:t>
      </w:r>
      <w:r>
        <w:rPr>
          <w:rFonts w:cs="Calibri"/>
          <w:szCs w:val="22"/>
        </w:rPr>
        <w:t xml:space="preserve">These problems become more severe with an increasing number of OSL components. </w:t>
      </w:r>
    </w:p>
    <w:p w14:paraId="177F6EEC" w14:textId="77777777" w:rsidR="00C4684B" w:rsidRDefault="00C4684B" w:rsidP="00C4684B">
      <w:pPr>
        <w:rPr>
          <w:rFonts w:cs="Calibri"/>
          <w:szCs w:val="22"/>
        </w:rPr>
      </w:pPr>
    </w:p>
    <w:p w14:paraId="0ECF21E3" w14:textId="77777777" w:rsidR="00C4684B" w:rsidRDefault="00C4684B" w:rsidP="00C4684B">
      <w:pPr>
        <w:rPr>
          <w:rFonts w:cs="Calibri"/>
          <w:szCs w:val="22"/>
        </w:rPr>
      </w:pPr>
      <w:r>
        <w:rPr>
          <w:rFonts w:cs="Calibri"/>
          <w:szCs w:val="22"/>
        </w:rPr>
        <w:fldChar w:fldCharType="begin"/>
      </w:r>
      <w:r>
        <w:rPr>
          <w:rFonts w:cs="Calibri"/>
          <w:szCs w:val="22"/>
        </w:rPr>
        <w:instrText xml:space="preserve"> ADDIN ZOTERO_ITEM CSL_CITATION {"citationID":"GUhBCiAP","properties":{"formattedCitation":"(Bluszcz and Adamiec, 2006)","plainCitation":"(Bluszcz and Adamiec, 2006)","dontUpdate":true,"noteIndex":0},"citationItems":[{"id":72,"uris":["http://zotero.org/users/local/TzHpb2Bo/items/D3MHGTFZ"],"uri":["http://zotero.org/users/local/TzHpb2Bo/items/D3MHGTFZ"],"itemData":{"id":72,"type":"article-journal","container-title":"Radiation Measurements","DOI":"10.1016/j.radmeas.2006.05.016","ISSN":"13504487","issue":"7-8","language":"en","page":"886-891","source":"CrossRef","title":"Application of differential evolution to fitting OSL decay curves","volume":"41","author":[{"family":"Bluszcz","given":"A."},{"family":"Adamiec","given":"G."}],"issued":{"date-parts":[["2006",8]]}}}],"schema":"https://github.com/citation-style-language/schema/raw/master/csl-citation.json"} </w:instrText>
      </w:r>
      <w:r>
        <w:rPr>
          <w:rFonts w:cs="Calibri"/>
          <w:szCs w:val="22"/>
        </w:rPr>
        <w:fldChar w:fldCharType="separate"/>
      </w:r>
      <w:r>
        <w:t>Bluszcz and Adamiec (</w:t>
      </w:r>
      <w:r w:rsidRPr="003A495D">
        <w:t>2006)</w:t>
      </w:r>
      <w:r>
        <w:rPr>
          <w:rFonts w:cs="Calibri"/>
          <w:szCs w:val="22"/>
        </w:rPr>
        <w:fldChar w:fldCharType="end"/>
      </w:r>
      <w:r>
        <w:rPr>
          <w:rFonts w:cs="Calibri"/>
          <w:szCs w:val="22"/>
        </w:rPr>
        <w:t xml:space="preserve"> presented a sophisticated strategy</w:t>
      </w:r>
      <w:r w:rsidRPr="00E92323">
        <w:rPr>
          <w:rFonts w:cs="Calibri"/>
          <w:szCs w:val="22"/>
        </w:rPr>
        <w:t>:</w:t>
      </w:r>
      <w:r>
        <w:rPr>
          <w:rFonts w:cs="Calibri"/>
          <w:szCs w:val="22"/>
        </w:rPr>
        <w:t xml:space="preserve"> They fitted experimental data in multiple cycles with an increasing number of components. The fitting quality after each cycle is compared with the outcome from the previous cycle by a statistical criterion (F-test). If this test cannot detect a significant improvement in fitting quality by adding an additional </w:t>
      </w:r>
      <w:r>
        <w:rPr>
          <w:rFonts w:cs="Calibri"/>
          <w:szCs w:val="22"/>
        </w:rPr>
        <w:lastRenderedPageBreak/>
        <w:t xml:space="preserve">component, the previous fitting cycle with one component less is defined as sufficient. The starting parameter issue, still relevant for each fitting cycle, is solved by applying a parameter-evolution-based algorithm which finds global minimum fittings from multiple random sets of starting parameters. </w:t>
      </w:r>
      <w:r>
        <w:rPr>
          <w:rFonts w:cs="Calibri"/>
          <w:szCs w:val="22"/>
        </w:rPr>
        <w:fldChar w:fldCharType="begin"/>
      </w:r>
      <w:r>
        <w:rPr>
          <w:rFonts w:cs="Calibri"/>
          <w:szCs w:val="22"/>
        </w:rPr>
        <w:instrText xml:space="preserve"> ADDIN ZOTERO_ITEM CSL_CITATION {"citationID":"Gf7H3r1X","properties":{"formattedCitation":"(Peng et al., 2014)","plainCitation":"(Peng et al., 2014)","dontUpdate":true,"noteIndex":0},"citationItems":[{"id":714,"uris":["http://zotero.org/users/local/TzHpb2Bo/items/8PIJZJYC"],"uri":["http://zotero.org/users/local/TzHpb2Bo/items/8PIJZJYC"],"itemData":{"id":714,"type":"article-journal","abstract":"Abstract\n            The optically stimulated luminescence (OSL) decay curve is assumed to consist of a number of first-order exponential components. Improper estimation of the number of components leads to under-or over-fitting of the curve under consideration. Hence, correct estimation of the number of components is important to accurately analyze an OSL decay curve. In this study, we investigated the possibility of using the Bayesian Information Criterion to estimate the optimal number of components in an OSL decay curve. We tested the reliability of this method using several hundred measured decay curves and three simulation scenarios. Our results demonstrate that the quality of the identification can be influenced by several factors: the measurement time and the number of channels; the variability of the decay constants; and the signal-to-noise ratios of a decaying component. The results also suggest that the Bayesian Information Criterion has great potential to estimate the number of components in an OSL decay curve with a moderate to high signal-to-noise ratio.","container-title":"Geochronometria","DOI":"10.2478/s13386-013-0166-x","ISSN":"1897-1695","issue":"4","page":"334-341","source":"DOI.org (Crossref)","title":"Estimating the number of components in an OSL decay curve using the Bayesian Information Criterion","volume":"41","author":[{"family":"Peng","given":"Jun"},{"family":"Dong","given":"Zhibao"},{"family":"Han","given":"Fengqing"},{"family":"Han","given":"Yuanhong"},{"family":"Dai","given":"Xueling"}],"issued":{"date-parts":[["2014",12,1]]}}}],"schema":"https://github.com/citation-style-language/schema/raw/master/csl-citation.json"} </w:instrText>
      </w:r>
      <w:r>
        <w:rPr>
          <w:rFonts w:cs="Calibri"/>
          <w:szCs w:val="22"/>
        </w:rPr>
        <w:fldChar w:fldCharType="separate"/>
      </w:r>
      <w:r>
        <w:t>Peng et al.</w:t>
      </w:r>
      <w:r w:rsidRPr="00D544F2">
        <w:t xml:space="preserve"> </w:t>
      </w:r>
      <w:r>
        <w:t>(</w:t>
      </w:r>
      <w:r w:rsidRPr="00D544F2">
        <w:t>2014)</w:t>
      </w:r>
      <w:r>
        <w:rPr>
          <w:rFonts w:cs="Calibri"/>
          <w:szCs w:val="22"/>
        </w:rPr>
        <w:fldChar w:fldCharType="end"/>
      </w:r>
      <w:r>
        <w:rPr>
          <w:rFonts w:cs="Calibri"/>
          <w:szCs w:val="22"/>
        </w:rPr>
        <w:t xml:space="preserve"> substituted the F-test with the Bayesian Information Criterion and studied through a large number of simulations the accuracy in finding the correct number of OSL components and their decay constants. They found that despite accurate overall results, the algorithm becomes inaccurate for dim signals and short measurement times.</w:t>
      </w:r>
    </w:p>
    <w:p w14:paraId="3B53C640" w14:textId="77777777" w:rsidR="00C4684B" w:rsidRDefault="00C4684B" w:rsidP="00C4684B">
      <w:pPr>
        <w:rPr>
          <w:rFonts w:cs="Calibri"/>
          <w:szCs w:val="22"/>
        </w:rPr>
      </w:pPr>
    </w:p>
    <w:p w14:paraId="17E9555A" w14:textId="6B46E734" w:rsidR="00C4684B" w:rsidRDefault="00C4684B" w:rsidP="00C4684B">
      <w:pPr>
        <w:rPr>
          <w:rFonts w:cs="Calibri"/>
          <w:szCs w:val="22"/>
        </w:rPr>
      </w:pPr>
      <w:r>
        <w:rPr>
          <w:rFonts w:cs="Calibri"/>
          <w:szCs w:val="22"/>
        </w:rPr>
        <w:t>This means, des</w:t>
      </w:r>
      <w:r w:rsidRPr="00026B89">
        <w:rPr>
          <w:rFonts w:cs="Calibri"/>
          <w:szCs w:val="22"/>
        </w:rPr>
        <w:t xml:space="preserve">pite the progress made by </w:t>
      </w:r>
      <w:r>
        <w:rPr>
          <w:rFonts w:cs="Calibri"/>
          <w:szCs w:val="22"/>
        </w:rPr>
        <w:fldChar w:fldCharType="begin"/>
      </w:r>
      <w:r>
        <w:rPr>
          <w:rFonts w:cs="Calibri"/>
          <w:szCs w:val="22"/>
        </w:rPr>
        <w:instrText xml:space="preserve"> ADDIN ZOTERO_ITEM CSL_CITATION {"citationID":"ZkuN3Alr","properties":{"formattedCitation":"(Bluszcz and Adamiec, 2006)","plainCitation":"(Bluszcz and Adamiec, 2006)","dontUpdate":true,"noteIndex":0},"citationItems":[{"id":72,"uris":["http://zotero.org/users/local/TzHpb2Bo/items/D3MHGTFZ"],"uri":["http://zotero.org/users/local/TzHpb2Bo/items/D3MHGTFZ"],"itemData":{"id":72,"type":"article-journal","container-title":"Radiation Measurements","DOI":"10.1016/j.radmeas.2006.05.016","ISSN":"13504487","issue":"7-8","language":"en","page":"886-891","source":"CrossRef","title":"Application of differential evolution to fitting OSL decay curves","volume":"41","author":[{"family":"Bluszcz","given":"A."},{"family":"Adamiec","given":"G."}],"issued":{"date-parts":[["2006",8]]}}}],"schema":"https://github.com/citation-style-language/schema/raw/master/csl-citation.json"} </w:instrText>
      </w:r>
      <w:r>
        <w:rPr>
          <w:rFonts w:cs="Calibri"/>
          <w:szCs w:val="22"/>
        </w:rPr>
        <w:fldChar w:fldCharType="separate"/>
      </w:r>
      <w:r>
        <w:t>Bluszcz and Adamiec (</w:t>
      </w:r>
      <w:r w:rsidRPr="003A495D">
        <w:t>2006)</w:t>
      </w:r>
      <w:r>
        <w:rPr>
          <w:rFonts w:cs="Calibri"/>
          <w:szCs w:val="22"/>
        </w:rPr>
        <w:fldChar w:fldCharType="end"/>
      </w:r>
      <w:r>
        <w:rPr>
          <w:rFonts w:cs="Calibri"/>
          <w:szCs w:val="22"/>
        </w:rPr>
        <w:t xml:space="preserve"> and </w:t>
      </w:r>
      <w:r>
        <w:rPr>
          <w:rFonts w:cs="Calibri"/>
          <w:szCs w:val="22"/>
        </w:rPr>
        <w:fldChar w:fldCharType="begin"/>
      </w:r>
      <w:r>
        <w:rPr>
          <w:rFonts w:cs="Calibri"/>
          <w:szCs w:val="22"/>
        </w:rPr>
        <w:instrText xml:space="preserve"> ADDIN ZOTERO_ITEM CSL_CITATION {"citationID":"XZSI2DBM","properties":{"formattedCitation":"(Peng et al., 2014)","plainCitation":"(Peng et al., 2014)","dontUpdate":true,"noteIndex":0},"citationItems":[{"id":714,"uris":["http://zotero.org/users/local/TzHpb2Bo/items/8PIJZJYC"],"uri":["http://zotero.org/users/local/TzHpb2Bo/items/8PIJZJYC"],"itemData":{"id":714,"type":"article-journal","abstract":"Abstract\n            The optically stimulated luminescence (OSL) decay curve is assumed to consist of a number of first-order exponential components. Improper estimation of the number of components leads to under-or over-fitting of the curve under consideration. Hence, correct estimation of the number of components is important to accurately analyze an OSL decay curve. In this study, we investigated the possibility of using the Bayesian Information Criterion to estimate the optimal number of components in an OSL decay curve. We tested the reliability of this method using several hundred measured decay curves and three simulation scenarios. Our results demonstrate that the quality of the identification can be influenced by several factors: the measurement time and the number of channels; the variability of the decay constants; and the signal-to-noise ratios of a decaying component. The results also suggest that the Bayesian Information Criterion has great potential to estimate the number of components in an OSL decay curve with a moderate to high signal-to-noise ratio.","container-title":"Geochronometria","DOI":"10.2478/s13386-013-0166-x","ISSN":"1897-1695","issue":"4","page":"334-341","source":"DOI.org (Crossref)","title":"Estimating the number of components in an OSL decay curve using the Bayesian Information Criterion","volume":"41","author":[{"family":"Peng","given":"Jun"},{"family":"Dong","given":"Zhibao"},{"family":"Han","given":"Fengqing"},{"family":"Han","given":"Yuanhong"},{"family":"Dai","given":"Xueling"}],"issued":{"date-parts":[["2014",12,1]]}}}],"schema":"https://github.com/citation-style-language/schema/raw/master/csl-citation.json"} </w:instrText>
      </w:r>
      <w:r>
        <w:rPr>
          <w:rFonts w:cs="Calibri"/>
          <w:szCs w:val="22"/>
        </w:rPr>
        <w:fldChar w:fldCharType="separate"/>
      </w:r>
      <w:r>
        <w:t>Peng et al.</w:t>
      </w:r>
      <w:r w:rsidRPr="00D544F2">
        <w:t xml:space="preserve"> </w:t>
      </w:r>
      <w:r>
        <w:t>(</w:t>
      </w:r>
      <w:r w:rsidRPr="00D544F2">
        <w:t>2014)</w:t>
      </w:r>
      <w:r>
        <w:rPr>
          <w:rFonts w:cs="Calibri"/>
          <w:szCs w:val="22"/>
        </w:rPr>
        <w:fldChar w:fldCharType="end"/>
      </w:r>
      <w:r>
        <w:rPr>
          <w:rFonts w:cs="Calibri"/>
          <w:szCs w:val="22"/>
        </w:rPr>
        <w:t xml:space="preserve">, bright sample material or high doses are needed to provide a sufficient signal-to-noise ratio in all single CW-OSL curves. Sufficient signal-to-noise ratios are also needed for experimental methods of stimulating the 'fast' component discretely </w:t>
      </w:r>
      <w:r>
        <w:rPr>
          <w:rFonts w:cs="Calibri"/>
          <w:szCs w:val="22"/>
        </w:rPr>
        <w:fldChar w:fldCharType="begin"/>
      </w:r>
      <w:r>
        <w:rPr>
          <w:rFonts w:cs="Calibri"/>
          <w:szCs w:val="22"/>
        </w:rPr>
        <w:instrText xml:space="preserve"> ADDIN ZOTERO_ITEM CSL_CITATION {"citationID":"792Y82wf","properties":{"formattedCitation":"(Bailey, 2010; Jain et al., 2005; Singarayer and Bailey, 2004)","plainCitation":"(Bailey, 2010; Jain et al., 2005; Singarayer and Bailey, 2004)","noteIndex":0},"citationItems":[{"id":347,"uris":["http://zotero.org/users/local/TzHpb2Bo/items/33TCHY7U"],"uri":["http://zotero.org/users/local/TzHpb2Bo/items/33TCHY7U"],"itemData":{"id":347,"type":"article-journal","abstract":"The usual practice in optical dating is to derive an equivalent dose (De) (and hence age) from integration of the initial part of the measured optically stimulated luminescence (OSL) signal. This ‘bulk’ OSL signal is known to comprise several semi-independent components, each of which decays at different rates during measurement, and thus contributes a different proportion to the bulk signal as measurement time progresses. Data are presented here which show a strong dependence of De on the bulk signal integration interval, with reduced De for later signal integration intervals resulting from lower medium component De values. This dependence leads to two problems: (i) deciding which signal integral to choose, and (ii) the possibility that all bulk signals will provide systematic age underestimation due to medium component signal contributions. Isolating the fast component of the bulk OSL signal provides a solution to both problems and several methods of achieving this are assessed; an efficient new method is described which is incorporated in to standard single-aliquot regenerative-dose measurement sequences. This method involves the direct measurement of the fast-component signal using infrared (830nm) stimulation of quartz at 160°C, prior to the standard bulk OSL measurement with 470nm stimulation. It is shown that the measured quartz infrared stimulated luminescence signals resolve pure fast-component signals and provide De estimates consistent with those from signal deconvolution. This approach can only be applied to samples with relatively bright luminescence emissions, but in these cases is expected to provide a more robust estimate of palaeodose.","container-title":"Quaternary Geochronology","DOI":"10.1016/j.quageo.2009.10.003","ISSN":"1871-1014","issue":"5","journalAbbreviation":"Quaternary Geochronology","page":"559-568","source":"ScienceDirect","title":"Direct measurement of the fast component of quartz optically stimulated luminescence and implications for the accuracy of optical dating","volume":"5","author":[{"family":"Bailey","given":"R. M."}],"issued":{"date-parts":[["2010",10,1]]}}},{"id":638,"uris":["http://zotero.org/users/local/TzHpb2Bo/items/58UELBRZ"],"uri":["http://zotero.org/users/local/TzHpb2Bo/items/58UELBRZ"],"itemData":{"id":638,"type":"article-journal","abstract":"In the optically stimulated luminescence (OSL) dating of quartz, the presence of significant medium and slow components in the initial-OSL signal (first 0.8s or so) can give rise to erroneous dose estimates. Thus it is desirable to develop a dose estimation method that is based on the OSL from the fast component alone. In this paper, the reduction of fast component OSL by high temperature infrared (IR) stimulation is investigated. It is shown that, in the temperature range from 120–190∘C, it is possible to deplete the fast component preferentially using IR stimulation. The thermal assistance energy required for IR stimulation (1.49eV; 830nm) of the fast component is calculated to be 0.41±0.02eV. However, the elevated temperature IRSL of quartz has a poor signal-to-noise ratio; hence a single-aliquot regenerative-dose (SAR) protocol based on a differential-OSL signal (the difference between the two short OSL signals separated by an elevated temperature IR stimulation) is proposed. The measurement conditions are optimised following examination of both the photoionisation cross-sections of the fast component for different stimulation temperatures, and possible thermally induced sensitivity changes arising from holding the samples at high temperatures for long periods (∼1500s). The resulting equivalent dose values, and those from a conventional SAR protocol based on the initial-OSL signal, are compared with the expected doses for several samples. We observe that for samples with relatively strong medium and slow components, the SAR protocol based on isolation of the fast component (derived by IR depletion of the OSL) gives significantly more accurate estimates than the SAR protocol using net initial OSL signals. On the other hand, accurate dose estimates are obtained from samples dominated by the fast component using both protocols. Finally, the implications are discussed for dosimetry using quartz.","container-title":"Radiation Measurements","DOI":"10.1016/j.radmeas.2004.05.004","ISSN":"1350-4487","issue":"3","journalAbbreviation":"Radiation Measurements","language":"en","page":"309-318","source":"ScienceDirect","title":"A single-aliquot regenerative-dose method based on IR (1.49eV) bleaching of the fast OSL component in quartz","volume":"39","author":[{"family":"Jain","given":"M."},{"family":"Murray","given":"A. S."},{"family":"Bøtter-Jensen","given":"L."},{"family":"Wintle","given":"A. G."}],"issued":{"date-parts":[["2005",6,1]]}}},{"id":461,"uris":["http://zotero.org/users/local/TzHpb2Bo/items/K553XBGG"],"uri":["http://zotero.org/users/local/TzHpb2Bo/items/K553XBGG"],"itemData":{"id":461,"type":"article-journal","container-title":"Radiation Measurements","DOI":"10.1016/S1350-4487(03)00250-6","ISSN":"13504487","issue":"1","journalAbbreviation":"Radiation Measurements","language":"en","page":"111-118","source":"DOI.org (Crossref)","title":"Component-resolved bleaching spectra of quartz optically stimulated luminescence: preliminary results and implications for dating","title-short":"Component-resolved bleaching spectra of quartz optically stimulated luminescence","volume":"38","author":[{"family":"Singarayer","given":"J.S."},{"family":"Bailey","given":"R.M."}],"issued":{"date-parts":[["2004",2]]}}}],"schema":"https://github.com/citation-style-language/schema/raw/master/csl-citation.json"} </w:instrText>
      </w:r>
      <w:r>
        <w:rPr>
          <w:rFonts w:cs="Calibri"/>
          <w:szCs w:val="22"/>
        </w:rPr>
        <w:fldChar w:fldCharType="separate"/>
      </w:r>
      <w:r w:rsidR="006A1AAE" w:rsidRPr="006A1AAE">
        <w:t>(Bailey, 2010; Jain et al., 2005; Singarayer and Bailey, 2004)</w:t>
      </w:r>
      <w:r>
        <w:rPr>
          <w:rFonts w:cs="Calibri"/>
          <w:szCs w:val="22"/>
        </w:rPr>
        <w:fldChar w:fldCharType="end"/>
      </w:r>
      <w:r>
        <w:rPr>
          <w:rFonts w:cs="Calibri"/>
          <w:szCs w:val="22"/>
        </w:rPr>
        <w:t xml:space="preserve"> and graphical component dose evaluation via </w:t>
      </w:r>
      <w:r w:rsidRPr="00B222C8">
        <w:rPr>
          <w:rFonts w:cs="Calibri"/>
          <w:i/>
          <w:szCs w:val="22"/>
        </w:rPr>
        <w:t>D</w:t>
      </w:r>
      <w:r w:rsidRPr="00B222C8">
        <w:rPr>
          <w:rFonts w:cs="Calibri"/>
          <w:szCs w:val="22"/>
          <w:vertAlign w:val="subscript"/>
        </w:rPr>
        <w:t>e</w:t>
      </w:r>
      <w:r>
        <w:rPr>
          <w:rFonts w:cs="Calibri"/>
          <w:szCs w:val="22"/>
        </w:rPr>
        <w:t>(</w:t>
      </w:r>
      <w:r w:rsidRPr="00B222C8">
        <w:rPr>
          <w:rFonts w:cs="Calibri"/>
          <w:i/>
          <w:szCs w:val="22"/>
        </w:rPr>
        <w:t>t</w:t>
      </w:r>
      <w:r>
        <w:rPr>
          <w:rFonts w:cs="Calibri"/>
          <w:szCs w:val="22"/>
        </w:rPr>
        <w:t xml:space="preserve">)-plots </w:t>
      </w:r>
      <w:r>
        <w:rPr>
          <w:rFonts w:cs="Calibri"/>
          <w:szCs w:val="22"/>
        </w:rPr>
        <w:fldChar w:fldCharType="begin"/>
      </w:r>
      <w:r w:rsidR="006A1AAE">
        <w:rPr>
          <w:rFonts w:cs="Calibri"/>
          <w:szCs w:val="22"/>
        </w:rPr>
        <w:instrText xml:space="preserve"> ADDIN ZOTERO_ITEM CSL_CITATION {"citationID":"JnwOKjqy","properties":{"formattedCitation":"(Bailey, 2000, 2003; Huntley et al., 1985; Tsukamoto et al., 2003)","plainCitation":"(Bailey, 2000, 2003; Huntley et al., 1985; Tsukamoto et al., 2003)","noteIndex":0},"citationItems":[{"id":678,"uris":["http://zotero.org/users/local/TzHpb2Bo/items/HNH9ZQQ5"],"uri":["http://zotero.org/users/local/TzHpb2Bo/items/HNH9ZQQ5"],"itemData":{"id":678,"type":"article-journal","abstract":"Narrow spectrum (blue-green) laboratory partial bleaching of aliquots of natural sedimentary quartz has been shown to have a significant effect on equivalent dose (measured using a single aliquot procedure) calculated as a function of measurement time (De(t)). A simple model, based on empirical data, is presented in which the effects of partial bleaching on De(t) are predicted, taking into account the influences of pre- and post-burial doses. The model is applied to the case of heterogeneous populations of partially bleached single grains with various ranges of residual doses. Modelling shows that under realistic conditions, De histogram plots are unable to distinguish between samples having age overestimates and those with correct ages, whereas the proposed De–Z plot is able to make this distinction. Furthermore, modelling shows that De–Z plots can identify sub-populations of grains/aliquots that show most evidence of full bleaching, which can then be used to estimate a correct mean De value.","container-title":"Radiation Measurements","DOI":"10.1016/S1350-4487(03)00079-9","ISSN":"1350-4487","issue":"6","journalAbbreviation":"Radiation Measurements","language":"en","page":"685-691","source":"ScienceDirect","title":"Paper II: The interpretation of measurement-time-dependent single-aliquot equivalent-dose estimates using predictions from a simple empirical model","title-short":"Paper II","volume":"37","author":[{"family":"Bailey","given":"R. M."}],"issued":{"date-parts":[["2003",12,1]]}}},{"id":676,"uris":["http://zotero.org/users/local/TzHpb2Bo/items/QU73SB86"],"uri":["http://zotero.org/users/local/TzHpb2Bo/items/QU73SB86"],"itemData":{"id":676,"type":"article-journal","abstract":"Numerical modelling has shown that the form of the quartz OSL shine plateau (hereafter ‘De(t)-plot’) is influenced by the effects of phototransferred TL in the </w:instrText>
      </w:r>
      <w:r w:rsidR="006A1AAE">
        <w:rPr>
          <w:rFonts w:ascii="Cambria Math" w:hAnsi="Cambria Math" w:cs="Cambria Math"/>
          <w:szCs w:val="22"/>
        </w:rPr>
        <w:instrText>∼</w:instrText>
      </w:r>
      <w:r w:rsidR="006A1AAE">
        <w:rPr>
          <w:rFonts w:cs="Calibri"/>
          <w:szCs w:val="22"/>
        </w:rPr>
        <w:instrText>110</w:instrText>
      </w:r>
      <w:r w:rsidR="006A1AAE">
        <w:rPr>
          <w:szCs w:val="22"/>
        </w:rPr>
        <w:instrText>°</w:instrText>
      </w:r>
      <w:r w:rsidR="006A1AAE">
        <w:rPr>
          <w:rFonts w:cs="Calibri"/>
          <w:szCs w:val="22"/>
        </w:rPr>
        <w:instrText xml:space="preserve">C region. It is suggested also that the presence of multiple OSL components (as described by Bailey, Smith and Rhodes, 1997. Partial bleaching and the decay form characteristics of quartz OSL. Radiat. Meas., 27, 123–136; Bailey, 1998. The form of the optically stimulated luminescence signal of quartz: implications of dating. Unpublished PhD thesis, University of London) affects the form of the De(t)-plot. Laboratory measurements of a fully reset and artificially dosed sample yielded non-flat De(t)-plots, the deviation being greater for the larger of the two simulated palaeodoses, in accordance with theoretical predictions. It is suggested that the so-called ‘shine plateau’ test is of limited use in assessing the bleaching history of quartz sediments.","container-title":"Radiation Measurements","DOI":"10.1016/S1350-4487(99)00256-5","ISSN":"1350-4487","issue":"2","journalAbbreviation":"Radiation Measurements","language":"en","page":"129-140","source":"ScienceDirect","title":"The interpretation of quartz optically stimulated luminescence equivalent dose versus time plots","volume":"32","author":[{"family":"Bailey","given":"Richard M."}],"issued":{"date-parts":[["2000",4,1]]}}},{"id":486,"uris":["http://zotero.org/users/local/TzHpb2Bo/items/A4GVVYJ6"],"uri":["http://zotero.org/users/local/TzHpb2Bo/items/A4GVVYJ6"],"itemData":{"id":486,"type":"article-journal","container-title":"Nature","DOI":"10.1038/313105a0","ISSN":"0028-0836, 1476-4687","issue":"5998","journalAbbreviation":"Nature","language":"en","page":"105-107","source":"DOI.org (Crossref)","title":"Optical dating of sediments","volume":"313","author":[{"family":"Huntley","given":"D. J."},{"family":"Godfrey-Smith","given":"D. I."},{"family":"Thewalt","given":"M. L. W."}],"issued":{"date-parts":[["1985",1]]}}},{"id":634,"uris":["http://zotero.org/users/local/TzHpb2Bo/items/Y9IDCJU8"],"uri":["http://zotero.org/users/local/TzHpb2Bo/items/Y9IDCJU8"],"itemData":{"id":634,"type":"article-journal","abstract":"Parameters of OSL components of quartz in volcanic ashes and in tephric loess from Japan were determined, and their characteristic in terms of recuperation was investigated. As a result, the medium and slow1 components, which were the main components in the volcanic quartz, were also found in the quartz in tephric loess, while the OSL of quartz in tephric loess was dominated by fast component. This suggests that the medium and slow1 components in tephric loess are probably coming from volcanic quartz. All the components in volcanic quartz appeared to give strong recuperation after preheating. In order to date tephric loess, the separation of fast component was essential, because only negligible recuperation was observed in the fast component. The equivalent dose (De) of tephric loess decreased significantly with the illumination time, while recuperation increased with illumination time. A plot of De versus recuperation indicated that De decreased exponentially as recuperation increased. Since the fast component is free from recuperation, the extrapolation of the exponential curve to the point that recuperation equals zero gives De, which entirely utilizes fast component. The agreement of the OSL ages with independent ages using the corrected De values provides strong evidence for the validity of the correction method.","collection-title":"Proceedings of the 10th international Conference on Luminescence and Electron-Spin Resonance Dating (LED 2002)","container-title":"Radiation Measurements","DOI":"10.1016/S1350-4487(03)00054-4","ISSN":"1350-4487","issue":"4","journalAbbreviation":"Radiation Measurements","language":"en","page":"459-465","source":"ScienceDirect","title":"OSL of tephric loess and volcanic quartz in Japan and an alternative procedure for estimating De from a fast OSL component","volume":"37","author":[{"family":"Tsukamoto","given":"S."},{"family":"Rink","given":"W. J."},{"family":"Watanuki","given":"T."}],"issued":{"date-parts":[["2003",8,1]]}}}],"schema":"https://github.com/citation-style-language/schema/raw/master/csl-citation.json"} </w:instrText>
      </w:r>
      <w:r>
        <w:rPr>
          <w:rFonts w:cs="Calibri"/>
          <w:szCs w:val="22"/>
        </w:rPr>
        <w:fldChar w:fldCharType="separate"/>
      </w:r>
      <w:r w:rsidR="006A1AAE" w:rsidRPr="006A1AAE">
        <w:t>(Bailey, 2000, 2003; Huntley et al., 1985; Tsukamoto et al., 2003)</w:t>
      </w:r>
      <w:r>
        <w:rPr>
          <w:rFonts w:cs="Calibri"/>
          <w:szCs w:val="22"/>
        </w:rPr>
        <w:fldChar w:fldCharType="end"/>
      </w:r>
      <w:r>
        <w:rPr>
          <w:rFonts w:cs="Calibri"/>
          <w:szCs w:val="22"/>
        </w:rPr>
        <w:t xml:space="preserve"> </w:t>
      </w:r>
    </w:p>
    <w:p w14:paraId="6D7C17D6" w14:textId="77777777" w:rsidR="00C4684B" w:rsidRDefault="00C4684B" w:rsidP="00C4684B">
      <w:pPr>
        <w:rPr>
          <w:rFonts w:cs="Calibri"/>
          <w:szCs w:val="22"/>
        </w:rPr>
      </w:pPr>
    </w:p>
    <w:p w14:paraId="4CAB6B25" w14:textId="1755A2EE" w:rsidR="00C4684B" w:rsidRDefault="005C0BD8" w:rsidP="00C4684B">
      <w:pPr>
        <w:rPr>
          <w:rFonts w:cs="Calibri"/>
          <w:szCs w:val="22"/>
        </w:rPr>
      </w:pPr>
      <w:r>
        <w:rPr>
          <w:rFonts w:cs="Calibri"/>
          <w:szCs w:val="22"/>
        </w:rPr>
        <w:t xml:space="preserve">As a consequence, </w:t>
      </w:r>
      <w:r w:rsidR="00C4684B">
        <w:rPr>
          <w:rFonts w:cs="Calibri"/>
          <w:szCs w:val="22"/>
        </w:rPr>
        <w:t>more noise-insensitive and mathematically robust</w:t>
      </w:r>
      <w:r w:rsidR="00C4684B" w:rsidRPr="00026B89">
        <w:rPr>
          <w:rFonts w:cs="Calibri"/>
          <w:szCs w:val="22"/>
        </w:rPr>
        <w:t xml:space="preserve"> method</w:t>
      </w:r>
      <w:r>
        <w:rPr>
          <w:rFonts w:cs="Calibri"/>
          <w:szCs w:val="22"/>
        </w:rPr>
        <w:t>s</w:t>
      </w:r>
      <w:r w:rsidR="00C4684B" w:rsidRPr="00026B89">
        <w:rPr>
          <w:rFonts w:cs="Calibri"/>
          <w:szCs w:val="22"/>
        </w:rPr>
        <w:t xml:space="preserve"> to isolate the 'fast' component </w:t>
      </w:r>
      <w:r>
        <w:rPr>
          <w:rFonts w:cs="Calibri"/>
          <w:szCs w:val="22"/>
        </w:rPr>
        <w:t>were developed</w:t>
      </w:r>
      <w:r w:rsidR="00C4684B" w:rsidRPr="00026B89">
        <w:rPr>
          <w:rFonts w:cs="Calibri"/>
          <w:szCs w:val="22"/>
        </w:rPr>
        <w:t>.</w:t>
      </w:r>
      <w:r w:rsidR="00C4684B">
        <w:rPr>
          <w:rFonts w:cs="Calibri"/>
          <w:szCs w:val="22"/>
        </w:rPr>
        <w:t xml:space="preserve"> The simplest and probably most common method is the </w:t>
      </w:r>
      <w:r w:rsidR="00C4684B" w:rsidRPr="00026B89">
        <w:rPr>
          <w:rFonts w:cs="Calibri"/>
          <w:szCs w:val="22"/>
        </w:rPr>
        <w:t>‘early light background subtraction’</w:t>
      </w:r>
      <w:r w:rsidR="00C4684B">
        <w:rPr>
          <w:rFonts w:cs="Calibri"/>
          <w:szCs w:val="22"/>
        </w:rPr>
        <w:t xml:space="preserve"> </w:t>
      </w:r>
      <w:r w:rsidR="00C4684B" w:rsidRPr="00026B89">
        <w:rPr>
          <w:rFonts w:cs="Calibri"/>
          <w:szCs w:val="22"/>
        </w:rPr>
        <w:fldChar w:fldCharType="begin"/>
      </w:r>
      <w:r w:rsidR="00C4684B" w:rsidRPr="00026B89">
        <w:rPr>
          <w:rFonts w:cs="Calibri"/>
          <w:szCs w:val="22"/>
        </w:rPr>
        <w:instrText xml:space="preserve"> ADDIN ZOTERO_ITEM CSL_CITATION {"citationID":"tixTeAm8","properties":{"formattedCitation":"(Ballarini et al., 2007; Cunningham and Wallinga, 2010)","plainCitation":"(Ballarini et al., 2007; Cunningham and Wallinga, 2010)","noteIndex":0},"citationItems":[{"id":91,"uris":["http://zotero.org/users/local/TzHpb2Bo/items/BZWAQAEB"],"uri":["http://zotero.org/users/local/TzHpb2Bo/items/BZWAQAEB"],"itemData":{"id":91,"type":"article-journal","container-title":"Radiation Measurements","DOI":"10.1016/j.radmeas.2006.12.016","ISSN":"13504487","issue":"3","language":"en","page":"360-369","source":"CrossRef","title":"A modified SAR protocol for optical dating of individual grains from young quartz samples","volume":"42","author":[{"family":"Ballarini","given":"M."},{"family":"Wallinga","given":"J."},{"family":"Wintle","given":"A.G."},{"family":"Bos","given":"A.J.J."}],"issued":{"date-parts":[["2007",3]]}}},{"id":227,"uris":["http://zotero.org/users/local/TzHpb2Bo/items/8WUFTPY4"],"uri":["http://zotero.org/users/local/TzHpb2Bo/items/8WUFTPY4"],"itemData":{"id":227,"type":"article-journal","container-title":"Quaternary Geochronology","DOI":"10.1016/j.quageo.2010.08.004","ISSN":"18711014","issue":"6","language":"en","page":"657-666","source":"CrossRef","title":"Selection of integration time intervals for quartz OSL decay curves","volume":"5","author":[{"family":"Cunningham","given":"Alastair C."},{"family":"Wallinga","given":"Jakob"}],"issued":{"date-parts":[["2010",12]]}}}],"schema":"https://github.com/citation-style-language/schema/raw/master/csl-citation.json"} </w:instrText>
      </w:r>
      <w:r w:rsidR="00C4684B" w:rsidRPr="00026B89">
        <w:rPr>
          <w:rFonts w:cs="Calibri"/>
          <w:szCs w:val="22"/>
        </w:rPr>
        <w:fldChar w:fldCharType="separate"/>
      </w:r>
      <w:r w:rsidR="006A1AAE" w:rsidRPr="006A1AAE">
        <w:t>(Ballarini et al., 2007; Cunningham and Wallinga, 2010)</w:t>
      </w:r>
      <w:r w:rsidR="00C4684B" w:rsidRPr="00026B89">
        <w:rPr>
          <w:rFonts w:cs="Calibri"/>
          <w:szCs w:val="22"/>
        </w:rPr>
        <w:fldChar w:fldCharType="end"/>
      </w:r>
      <w:r w:rsidR="00C4684B" w:rsidRPr="00026B89">
        <w:rPr>
          <w:rFonts w:cs="Calibri"/>
          <w:szCs w:val="22"/>
        </w:rPr>
        <w:t>.</w:t>
      </w:r>
      <w:r w:rsidR="00C4684B">
        <w:rPr>
          <w:rFonts w:cs="Calibri"/>
          <w:szCs w:val="22"/>
        </w:rPr>
        <w:t xml:space="preserve"> Here the signal interval is chosen to contain 50 % of the medium component signal and the subsequent background interval is chosen to contain the other 50 % of the medium component signal. Thus, the </w:t>
      </w:r>
      <w:r w:rsidR="00C4684B" w:rsidRPr="00026B89">
        <w:rPr>
          <w:rFonts w:cs="Calibri"/>
          <w:szCs w:val="22"/>
        </w:rPr>
        <w:t>medium component</w:t>
      </w:r>
      <w:r w:rsidR="00C4684B">
        <w:rPr>
          <w:rFonts w:cs="Calibri"/>
          <w:szCs w:val="22"/>
        </w:rPr>
        <w:t xml:space="preserve"> is removed</w:t>
      </w:r>
      <w:r w:rsidR="00C4684B" w:rsidRPr="00026B89">
        <w:rPr>
          <w:rFonts w:cs="Calibri"/>
          <w:szCs w:val="22"/>
        </w:rPr>
        <w:t xml:space="preserve"> from the initial bulk signal.</w:t>
      </w:r>
      <w:r w:rsidR="00C4684B">
        <w:rPr>
          <w:rFonts w:cs="Calibri"/>
          <w:szCs w:val="22"/>
        </w:rPr>
        <w:t xml:space="preserve"> In the </w:t>
      </w:r>
      <w:r w:rsidR="00C4684B" w:rsidRPr="00026B89">
        <w:rPr>
          <w:rFonts w:cs="Calibri"/>
          <w:szCs w:val="22"/>
        </w:rPr>
        <w:t>‘Fast ratio’</w:t>
      </w:r>
      <w:r w:rsidR="00C4684B">
        <w:rPr>
          <w:rFonts w:cs="Calibri"/>
          <w:szCs w:val="22"/>
        </w:rPr>
        <w:t xml:space="preserve"> approach,  </w:t>
      </w:r>
      <w:r w:rsidR="00C4684B">
        <w:rPr>
          <w:rFonts w:cs="Calibri"/>
          <w:szCs w:val="22"/>
        </w:rPr>
        <w:fldChar w:fldCharType="begin"/>
      </w:r>
      <w:r w:rsidR="00C4684B">
        <w:rPr>
          <w:rFonts w:cs="Calibri"/>
          <w:szCs w:val="22"/>
        </w:rPr>
        <w:instrText xml:space="preserve"> ADDIN ZOTERO_ITEM CSL_CITATION {"citationID":"Jop5vo7G","properties":{"formattedCitation":"(Durcan and Duller, 2011)","plainCitation":"(Durcan and Duller, 2011)","noteIndex":0},"citationItems":[{"id":242,"uris":["http://zotero.org/users/local/TzHpb2Bo/items/TQN34GD4"],"uri":["http://zotero.org/users/local/TzHpb2Bo/items/TQN34GD4"],"itemData":{"id":242,"type":"article-journal","container-title":"Radiation Measurements","DOI":"10.1016/j.radmeas.2011.07.016","ISSN":"13504487","issue":"10","language":"en","page":"1065-1072","source":"CrossRef","title":"The fast ratio: A rapid measure for testing the dominance of the fast component in the initial OSL signal from quartz","title-short":"The fast ratio","volume":"46","author":[{"family":"Durcan","given":"Julie A."},{"family":"Duller","given":"Geoff A.T."}],"issued":{"date-parts":[["2011",10]]}}}],"schema":"https://github.com/citation-style-language/schema/raw/master/csl-citation.json"} </w:instrText>
      </w:r>
      <w:r w:rsidR="00C4684B">
        <w:rPr>
          <w:rFonts w:cs="Calibri"/>
          <w:szCs w:val="22"/>
        </w:rPr>
        <w:fldChar w:fldCharType="separate"/>
      </w:r>
      <w:r w:rsidR="006A1AAE" w:rsidRPr="006A1AAE">
        <w:t>(Durcan and Duller, 2011)</w:t>
      </w:r>
      <w:r w:rsidR="00C4684B">
        <w:rPr>
          <w:rFonts w:cs="Calibri"/>
          <w:szCs w:val="22"/>
        </w:rPr>
        <w:fldChar w:fldCharType="end"/>
      </w:r>
      <w:r w:rsidR="00C4684B">
        <w:rPr>
          <w:rFonts w:cs="Calibri"/>
          <w:szCs w:val="22"/>
        </w:rPr>
        <w:t xml:space="preserve"> assume </w:t>
      </w:r>
      <w:r w:rsidR="00C4684B" w:rsidRPr="00026B89">
        <w:rPr>
          <w:rFonts w:cs="Calibri"/>
          <w:szCs w:val="22"/>
        </w:rPr>
        <w:t xml:space="preserve">a 3-component </w:t>
      </w:r>
      <w:r w:rsidR="00C4684B">
        <w:rPr>
          <w:rFonts w:cs="Calibri"/>
          <w:szCs w:val="22"/>
        </w:rPr>
        <w:t xml:space="preserve">CW-OSL </w:t>
      </w:r>
      <w:r w:rsidR="00C4684B" w:rsidRPr="00026B89">
        <w:rPr>
          <w:rFonts w:cs="Calibri"/>
          <w:szCs w:val="22"/>
        </w:rPr>
        <w:t xml:space="preserve">model and </w:t>
      </w:r>
      <w:r w:rsidR="00C4684B">
        <w:rPr>
          <w:rFonts w:cs="Calibri"/>
          <w:szCs w:val="22"/>
        </w:rPr>
        <w:t>approximate</w:t>
      </w:r>
      <w:r w:rsidR="00C4684B" w:rsidRPr="00026B89">
        <w:rPr>
          <w:rFonts w:cs="Calibri"/>
          <w:szCs w:val="22"/>
        </w:rPr>
        <w:t xml:space="preserve"> </w:t>
      </w:r>
      <w:r w:rsidR="00C4684B">
        <w:rPr>
          <w:rFonts w:cs="Calibri"/>
          <w:szCs w:val="22"/>
        </w:rPr>
        <w:t>those data</w:t>
      </w:r>
      <w:r w:rsidR="00C4684B" w:rsidRPr="00026B89">
        <w:rPr>
          <w:rFonts w:cs="Calibri"/>
          <w:szCs w:val="22"/>
        </w:rPr>
        <w:t xml:space="preserve"> points </w:t>
      </w:r>
      <w:r w:rsidR="00C4684B">
        <w:rPr>
          <w:rFonts w:cs="Calibri"/>
          <w:szCs w:val="22"/>
        </w:rPr>
        <w:t>in</w:t>
      </w:r>
      <w:r w:rsidR="00C4684B" w:rsidRPr="00026B89">
        <w:rPr>
          <w:rFonts w:cs="Calibri"/>
          <w:szCs w:val="22"/>
        </w:rPr>
        <w:t xml:space="preserve"> </w:t>
      </w:r>
      <w:r w:rsidR="00C4684B">
        <w:rPr>
          <w:rFonts w:cs="Calibri"/>
          <w:szCs w:val="22"/>
        </w:rPr>
        <w:t>a bulk decay curve</w:t>
      </w:r>
      <w:r w:rsidR="00C4684B" w:rsidRPr="00026B89">
        <w:rPr>
          <w:rFonts w:cs="Calibri"/>
          <w:szCs w:val="22"/>
        </w:rPr>
        <w:t xml:space="preserve"> when particular components are dominant. </w:t>
      </w:r>
      <w:r w:rsidR="00C4684B">
        <w:rPr>
          <w:rFonts w:cs="Calibri"/>
          <w:szCs w:val="22"/>
        </w:rPr>
        <w:t>They then s</w:t>
      </w:r>
      <w:r w:rsidR="00C4684B" w:rsidRPr="00026B89">
        <w:rPr>
          <w:rFonts w:cs="Calibri"/>
          <w:szCs w:val="22"/>
        </w:rPr>
        <w:t>olve a relation</w:t>
      </w:r>
      <w:r w:rsidR="00C4684B">
        <w:rPr>
          <w:rFonts w:cs="Calibri"/>
          <w:szCs w:val="22"/>
        </w:rPr>
        <w:t xml:space="preserve"> equation</w:t>
      </w:r>
      <w:r w:rsidR="00C4684B" w:rsidRPr="00026B89">
        <w:rPr>
          <w:rFonts w:cs="Calibri"/>
          <w:szCs w:val="22"/>
        </w:rPr>
        <w:t xml:space="preserve"> to estimate the fast component contribution to the initial signal</w:t>
      </w:r>
      <w:r w:rsidR="00C4684B">
        <w:rPr>
          <w:rFonts w:cs="Calibri"/>
          <w:szCs w:val="22"/>
        </w:rPr>
        <w:t xml:space="preserve">. More noise-insensitive and providing a full separation of the fast and medium components is the method proposed by </w:t>
      </w:r>
      <w:r w:rsidR="00C4684B">
        <w:rPr>
          <w:rFonts w:cs="Calibri"/>
          <w:szCs w:val="22"/>
        </w:rPr>
        <w:fldChar w:fldCharType="begin"/>
      </w:r>
      <w:r w:rsidR="00C4684B">
        <w:rPr>
          <w:rFonts w:cs="Calibri"/>
          <w:szCs w:val="22"/>
        </w:rPr>
        <w:instrText xml:space="preserve"> ADDIN ZOTERO_ITEM CSL_CITATION {"citationID":"awHOeYnN","properties":{"formattedCitation":"(Shen and Lang, 2016)","plainCitation":"(Shen and Lang, 2016)","noteIndex":0},"citationItems":[{"id":207,"uris":["http://zotero.org/users/local/TzHpb2Bo/items/XX4XUV7D"],"uri":["http://zotero.org/users/local/TzHpb2Bo/items/XX4XUV7D"],"itemData":{"id":207,"type":"article-journal","container-title":"Radiation Measurements","DOI":"10.1016/j.radmeas.2016.01.034","ISSN":"13504487","language":"en","page":"27-34","source":"CrossRef","title":"Quartz fast component opticallystimulated luminescence: Towards routine extraction for dating applications","title-short":"Quartz fast component opticallystimulated luminescence","volume":"89","author":[{"family":"Shen","given":"Zhixiong"},{"family":"Lang","given":"Andreas"}],"issued":{"date-parts":[["2016",6]]}}}],"schema":"https://github.com/citation-style-language/schema/raw/master/csl-citation.json"} </w:instrText>
      </w:r>
      <w:r w:rsidR="00C4684B">
        <w:rPr>
          <w:rFonts w:cs="Calibri"/>
          <w:szCs w:val="22"/>
        </w:rPr>
        <w:fldChar w:fldCharType="separate"/>
      </w:r>
      <w:r w:rsidR="006A1AAE" w:rsidRPr="006A1AAE">
        <w:t>(Shen and Lang, 2016)</w:t>
      </w:r>
      <w:r w:rsidR="00C4684B">
        <w:rPr>
          <w:rFonts w:cs="Calibri"/>
          <w:szCs w:val="22"/>
        </w:rPr>
        <w:fldChar w:fldCharType="end"/>
      </w:r>
      <w:r w:rsidR="00C4684B">
        <w:rPr>
          <w:rFonts w:cs="Calibri"/>
          <w:szCs w:val="22"/>
        </w:rPr>
        <w:t>. They also a</w:t>
      </w:r>
      <w:r w:rsidR="00C4684B" w:rsidRPr="00026B89">
        <w:rPr>
          <w:rFonts w:cs="Calibri"/>
          <w:szCs w:val="22"/>
        </w:rPr>
        <w:t>ssume a 3-component model, smooth the CW-OSL curve, define three intervals of component dominance and estimate the fast and medium</w:t>
      </w:r>
      <w:r w:rsidR="00C4684B">
        <w:rPr>
          <w:rFonts w:cs="Calibri"/>
          <w:szCs w:val="22"/>
        </w:rPr>
        <w:t xml:space="preserve"> component</w:t>
      </w:r>
      <w:r w:rsidR="00C4684B" w:rsidRPr="00026B89">
        <w:rPr>
          <w:rFonts w:cs="Calibri"/>
          <w:szCs w:val="22"/>
        </w:rPr>
        <w:t xml:space="preserve"> signal intensity by</w:t>
      </w:r>
      <w:r w:rsidR="00C4684B">
        <w:rPr>
          <w:rFonts w:cs="Calibri"/>
          <w:szCs w:val="22"/>
        </w:rPr>
        <w:t xml:space="preserve"> solving two relation equations. Although all these methods are mathematically robust and somewhat noise-insensitive, their</w:t>
      </w:r>
      <w:r w:rsidR="00C4684B" w:rsidRPr="00026B89">
        <w:rPr>
          <w:rFonts w:cs="Calibri"/>
          <w:szCs w:val="22"/>
        </w:rPr>
        <w:t xml:space="preserve"> accuracy relies on the exact knowledge of the OSL </w:t>
      </w:r>
      <w:r w:rsidR="00C4684B">
        <w:rPr>
          <w:rFonts w:cs="Calibri"/>
          <w:szCs w:val="22"/>
        </w:rPr>
        <w:t xml:space="preserve">component </w:t>
      </w:r>
      <w:r w:rsidR="00C4684B" w:rsidRPr="00026B89">
        <w:rPr>
          <w:rFonts w:cs="Calibri"/>
          <w:szCs w:val="22"/>
        </w:rPr>
        <w:t xml:space="preserve">decay </w:t>
      </w:r>
      <w:r w:rsidR="00C4684B">
        <w:rPr>
          <w:rFonts w:cs="Calibri"/>
          <w:szCs w:val="22"/>
        </w:rPr>
        <w:t>rates</w:t>
      </w:r>
      <w:r w:rsidR="00C4684B" w:rsidRPr="00026B89">
        <w:rPr>
          <w:rFonts w:cs="Calibri"/>
          <w:szCs w:val="22"/>
        </w:rPr>
        <w:t xml:space="preserve">. </w:t>
      </w:r>
      <w:r w:rsidR="00C4684B">
        <w:rPr>
          <w:rFonts w:cs="Calibri"/>
          <w:szCs w:val="22"/>
        </w:rPr>
        <w:t>These are either taken from</w:t>
      </w:r>
      <w:r w:rsidR="00C4684B" w:rsidRPr="00026B89">
        <w:rPr>
          <w:rFonts w:cs="Calibri"/>
          <w:szCs w:val="22"/>
        </w:rPr>
        <w:t xml:space="preserve"> literature</w:t>
      </w:r>
      <w:r w:rsidR="00C4684B">
        <w:rPr>
          <w:rFonts w:cs="Calibri"/>
          <w:szCs w:val="22"/>
        </w:rPr>
        <w:t xml:space="preserve"> or obtained by separate LM-OSL measurements or CW-OSL fittings</w:t>
      </w:r>
      <w:r w:rsidR="00C4684B" w:rsidRPr="00026B89">
        <w:rPr>
          <w:rFonts w:cs="Calibri"/>
          <w:szCs w:val="22"/>
        </w:rPr>
        <w:t>. However, the actual decay constants may differ</w:t>
      </w:r>
      <w:r w:rsidR="00C4684B">
        <w:rPr>
          <w:rFonts w:cs="Calibri"/>
          <w:szCs w:val="22"/>
        </w:rPr>
        <w:t xml:space="preserve"> from sample to sample and from OSL reader to OSL reader</w:t>
      </w:r>
      <w:r w:rsidR="00C4684B" w:rsidRPr="00026B89">
        <w:rPr>
          <w:rFonts w:cs="Calibri"/>
          <w:szCs w:val="22"/>
        </w:rPr>
        <w:t>.</w:t>
      </w:r>
      <w:r w:rsidR="00C4684B">
        <w:rPr>
          <w:rFonts w:cs="Calibri"/>
          <w:szCs w:val="22"/>
        </w:rPr>
        <w:t xml:space="preserve"> </w:t>
      </w:r>
      <w:r w:rsidR="00C4684B" w:rsidRPr="00026B89">
        <w:rPr>
          <w:rFonts w:cs="Calibri"/>
          <w:szCs w:val="22"/>
        </w:rPr>
        <w:t>The reliability of</w:t>
      </w:r>
      <w:r w:rsidR="00C4684B">
        <w:rPr>
          <w:rFonts w:cs="Calibri"/>
          <w:szCs w:val="22"/>
        </w:rPr>
        <w:t xml:space="preserve"> the calculated natural dose therefore depends</w:t>
      </w:r>
      <w:r w:rsidR="00C4684B" w:rsidRPr="00026B89">
        <w:rPr>
          <w:rFonts w:cs="Calibri"/>
          <w:szCs w:val="22"/>
        </w:rPr>
        <w:t xml:space="preserve"> </w:t>
      </w:r>
      <w:r w:rsidR="00C4684B">
        <w:rPr>
          <w:rFonts w:cs="Calibri"/>
          <w:szCs w:val="22"/>
        </w:rPr>
        <w:t xml:space="preserve">on the agreement of the assumed set of OSL components with the actual OSL components of the </w:t>
      </w:r>
      <w:r w:rsidR="00C4684B" w:rsidRPr="00026B89">
        <w:rPr>
          <w:rFonts w:cs="Calibri"/>
          <w:szCs w:val="22"/>
        </w:rPr>
        <w:t>sample</w:t>
      </w:r>
      <w:r w:rsidR="00C4684B">
        <w:rPr>
          <w:rFonts w:cs="Calibri"/>
          <w:szCs w:val="22"/>
        </w:rPr>
        <w:t>, which is a hard to detect source of potential systematic errors</w:t>
      </w:r>
      <w:r w:rsidR="00C4684B" w:rsidRPr="00026B89">
        <w:rPr>
          <w:rFonts w:cs="Calibri"/>
          <w:szCs w:val="22"/>
        </w:rPr>
        <w:t xml:space="preserve">. Furthermore, </w:t>
      </w:r>
      <w:r w:rsidR="00C4684B">
        <w:rPr>
          <w:rFonts w:cs="Calibri"/>
          <w:szCs w:val="22"/>
        </w:rPr>
        <w:t>none of these approaches accounts the occurrence of multiple slow components.</w:t>
      </w:r>
      <w:r w:rsidR="004E3733">
        <w:rPr>
          <w:rFonts w:cs="Calibri"/>
          <w:szCs w:val="22"/>
        </w:rPr>
        <w:t xml:space="preserve"> </w:t>
      </w:r>
    </w:p>
    <w:p w14:paraId="1575C3EB" w14:textId="77777777" w:rsidR="00AE6A7D" w:rsidRDefault="00AE6A7D" w:rsidP="00C4684B">
      <w:pPr>
        <w:rPr>
          <w:rFonts w:cs="Calibri"/>
          <w:szCs w:val="22"/>
        </w:rPr>
      </w:pPr>
    </w:p>
    <w:p w14:paraId="50DF542D" w14:textId="52624C8A" w:rsidR="00AE6A7D" w:rsidRDefault="00AE6A7D" w:rsidP="00C4684B">
      <w:pPr>
        <w:rPr>
          <w:rFonts w:cs="Calibri"/>
          <w:szCs w:val="22"/>
        </w:rPr>
      </w:pPr>
      <w:r>
        <w:rPr>
          <w:rFonts w:cs="Calibri"/>
          <w:szCs w:val="22"/>
        </w:rPr>
        <w:t>Specific goals of this paper are:</w:t>
      </w:r>
    </w:p>
    <w:p w14:paraId="758AB507" w14:textId="66162085" w:rsidR="00AE6A7D" w:rsidRPr="00AE6A7D" w:rsidRDefault="00AE6A7D" w:rsidP="00AE6A7D">
      <w:pPr>
        <w:pStyle w:val="Listenabsatz"/>
        <w:numPr>
          <w:ilvl w:val="0"/>
          <w:numId w:val="7"/>
        </w:numPr>
        <w:rPr>
          <w:rFonts w:cs="Calibri"/>
          <w:szCs w:val="22"/>
        </w:rPr>
      </w:pPr>
      <w:r>
        <w:rPr>
          <w:rFonts w:cs="Calibri"/>
          <w:szCs w:val="22"/>
        </w:rPr>
        <w:t>To …</w:t>
      </w:r>
    </w:p>
    <w:p w14:paraId="673A54C3" w14:textId="77777777" w:rsidR="00C4684B" w:rsidRDefault="00C4684B" w:rsidP="00C4684B">
      <w:pPr>
        <w:rPr>
          <w:rFonts w:cs="Calibri"/>
          <w:szCs w:val="22"/>
        </w:rPr>
      </w:pPr>
    </w:p>
    <w:p w14:paraId="3C0DBAC0" w14:textId="523B385C" w:rsidR="00E7758E" w:rsidRDefault="004C2B8F" w:rsidP="004C2B8F">
      <w:pPr>
        <w:rPr>
          <w:rFonts w:cs="Calibri"/>
          <w:szCs w:val="22"/>
        </w:rPr>
      </w:pPr>
      <w:r>
        <w:rPr>
          <w:rFonts w:cs="Calibri"/>
          <w:szCs w:val="22"/>
        </w:rPr>
        <w:lastRenderedPageBreak/>
        <w:t xml:space="preserve">To solve </w:t>
      </w:r>
      <w:r w:rsidR="005C0BD8">
        <w:rPr>
          <w:rFonts w:cs="Calibri"/>
          <w:szCs w:val="22"/>
        </w:rPr>
        <w:t>the discussed</w:t>
      </w:r>
      <w:r>
        <w:rPr>
          <w:rFonts w:cs="Calibri"/>
          <w:szCs w:val="22"/>
        </w:rPr>
        <w:t xml:space="preserve"> issues, an approach is needed,</w:t>
      </w:r>
      <w:r w:rsidR="00C4684B">
        <w:rPr>
          <w:rFonts w:cs="Calibri"/>
          <w:szCs w:val="22"/>
        </w:rPr>
        <w:t xml:space="preserve"> which combines the fle</w:t>
      </w:r>
      <w:r w:rsidR="00AF3DBA">
        <w:rPr>
          <w:rFonts w:cs="Calibri"/>
          <w:szCs w:val="22"/>
        </w:rPr>
        <w:t xml:space="preserve">xibility and objectivity of fitting procedures </w:t>
      </w:r>
      <w:r w:rsidR="00C4684B">
        <w:rPr>
          <w:rFonts w:cs="Calibri"/>
          <w:szCs w:val="22"/>
        </w:rPr>
        <w:t xml:space="preserve">with the robustness and noise-insensitivity of relation equations. </w:t>
      </w:r>
      <w:r w:rsidR="004E3733">
        <w:rPr>
          <w:rFonts w:cs="Calibri"/>
          <w:szCs w:val="22"/>
        </w:rPr>
        <w:t xml:space="preserve">We achieve this by dividing the </w:t>
      </w:r>
      <w:r w:rsidR="004E3733" w:rsidRPr="008D08E0">
        <w:t xml:space="preserve">component-specific dose </w:t>
      </w:r>
      <w:r w:rsidR="004E3733">
        <w:t>determination</w:t>
      </w:r>
      <w:r w:rsidR="004E3733" w:rsidRPr="008D08E0">
        <w:t xml:space="preserve"> process</w:t>
      </w:r>
      <w:r w:rsidR="004E3733">
        <w:t xml:space="preserve"> into multiple major steps. For each step the in our </w:t>
      </w:r>
      <w:r w:rsidR="0074325B">
        <w:t>knowledge</w:t>
      </w:r>
      <w:r w:rsidR="000636F5">
        <w:t xml:space="preserve"> most reliable method was chosen and tested and optimized for accuracy, precision and robustness by numerous simulations</w:t>
      </w:r>
      <w:r w:rsidR="0074325B">
        <w:t>.</w:t>
      </w:r>
      <w:r w:rsidR="000636F5">
        <w:t xml:space="preserve"> Entirely novel in the field of luminescence dating is t</w:t>
      </w:r>
      <w:r w:rsidR="0074325B">
        <w:t>he component intensity calculation method</w:t>
      </w:r>
      <w:r w:rsidR="000636F5">
        <w:t xml:space="preserve"> applied in step 2</w:t>
      </w:r>
      <w:r w:rsidR="0074325B">
        <w:t xml:space="preserve">. </w:t>
      </w:r>
      <w:r w:rsidR="000636F5">
        <w:t>All</w:t>
      </w:r>
      <w:r w:rsidR="0074325B">
        <w:t xml:space="preserve"> steps are realized as </w:t>
      </w:r>
      <w:r w:rsidR="0074325B" w:rsidRPr="00DA0972">
        <w:rPr>
          <w:b/>
        </w:rPr>
        <w:t>R</w:t>
      </w:r>
      <w:r w:rsidR="0074325B">
        <w:t xml:space="preserve"> functions and bundled in the new </w:t>
      </w:r>
      <w:r w:rsidR="0074325B" w:rsidRPr="00DA0972">
        <w:rPr>
          <w:b/>
        </w:rPr>
        <w:t>R</w:t>
      </w:r>
      <w:r w:rsidR="0074325B">
        <w:t xml:space="preserve"> package </w:t>
      </w:r>
      <w:r w:rsidR="0074325B" w:rsidRPr="000636F5">
        <w:rPr>
          <w:rStyle w:val="RCodeZchn"/>
        </w:rPr>
        <w:t>OSLdecomposition</w:t>
      </w:r>
      <w:r w:rsidR="0074325B">
        <w:t>. This new package is designed to be user-friendly and to enhance the usual workflow</w:t>
      </w:r>
      <w:r w:rsidR="000636F5">
        <w:t xml:space="preserve"> of data analyses performed with the </w:t>
      </w:r>
      <w:r w:rsidR="000636F5" w:rsidRPr="00DA0972">
        <w:rPr>
          <w:b/>
        </w:rPr>
        <w:t>R</w:t>
      </w:r>
      <w:r w:rsidR="000636F5">
        <w:t xml:space="preserve"> package </w:t>
      </w:r>
      <w:r w:rsidR="000636F5" w:rsidRPr="000636F5">
        <w:rPr>
          <w:rStyle w:val="RCodeZchn"/>
        </w:rPr>
        <w:t>Luminescence</w:t>
      </w:r>
      <w:r w:rsidR="000636F5">
        <w:t xml:space="preserve"> </w:t>
      </w:r>
      <w:r w:rsidR="000636F5">
        <w:rPr>
          <w:rFonts w:cs="Calibri"/>
          <w:szCs w:val="22"/>
        </w:rPr>
        <w:fldChar w:fldCharType="begin"/>
      </w:r>
      <w:r w:rsidR="000636F5">
        <w:rPr>
          <w:rFonts w:cs="Calibri"/>
          <w:szCs w:val="22"/>
        </w:rPr>
        <w:instrText xml:space="preserve"> ADDIN ZOTERO_ITEM CSL_CITATION {"citationID":"qx986EQF","properties":{"formattedCitation":"(Kreutzer et al., 2012)","plainCitation":"(Kreutzer et al., 2012)","noteIndex":0},"citationItems":[{"id":358,"uris":["http://zotero.org/users/local/TzHpb2Bo/items/FC37JBJF"],"uri":["http://zotero.org/users/local/TzHpb2Bo/items/FC37JBJF"],"itemData":{"id":358,"type":"article-journal","abstract":"For routine luminescence dating applications the \ncommonly used Risø readers are bundled with \nanalysis software, such as Viewer or Analyst. These \nsoftware solutions are appropriate for most of the \nregular dating and publication jobs, and enable \nassessment of luminescence characteristics and \nprovide basic statistical data treatment. However, for \nfurther statistical analysis and data treatments, this \nsoftware may reach its limits. In such cases, open \nprogramming languages are a more appropriate \napproach. Here, we present the R package \n‘Luminescence’ for a more flexible handling of \nluminescence data and related plotting purposes,\nusing the statistical programming language R. The R\nlanguage as well as the package and the source code \nare provided under the General Public License (GPL) \nconditions and are available for free. The basic \nfunctionality of the package is described along with \nthree application examples. This package is not an \nalternative to the existing software (Analyst, Viewer)\nbut may provide a collection of additional tools to \nanalyse luminescence data and serve as a platform for \nfurther contributions.","container-title":"Ancient TL","ISSN":"0735-1348","language":"de-DE","page":"1-8","source":"epic.awi.de","title":"Introducing an R package for luminescence dating analysis","volume":"30","author":[{"family":"Kreutzer","given":"Sebastian"},{"family":"Schmidt","given":"Christoph"},{"family":"Fuchs","given":"Margret C."},{"family":"Dietze","given":"Michael"},{"family":"Fischer","given":"Manfred"},{"family":"Fuchs","given":"Markus"}],"issued":{"date-parts":[["2012",5,27]]}}}],"schema":"https://github.com/citation-style-language/schema/raw/master/csl-citation.json"} </w:instrText>
      </w:r>
      <w:r w:rsidR="000636F5">
        <w:rPr>
          <w:rFonts w:cs="Calibri"/>
          <w:szCs w:val="22"/>
        </w:rPr>
        <w:fldChar w:fldCharType="separate"/>
      </w:r>
      <w:r w:rsidR="000636F5" w:rsidRPr="006A1AAE">
        <w:t>(Kreutzer et al., 2012)</w:t>
      </w:r>
      <w:r w:rsidR="000636F5">
        <w:rPr>
          <w:rFonts w:cs="Calibri"/>
          <w:szCs w:val="22"/>
        </w:rPr>
        <w:fldChar w:fldCharType="end"/>
      </w:r>
      <w:r w:rsidR="000636F5">
        <w:rPr>
          <w:rFonts w:cs="Calibri"/>
          <w:szCs w:val="22"/>
        </w:rPr>
        <w:t>.</w:t>
      </w:r>
    </w:p>
    <w:p w14:paraId="31B372C7" w14:textId="77777777" w:rsidR="00E7758E" w:rsidRDefault="00E7758E" w:rsidP="004C2B8F">
      <w:pPr>
        <w:rPr>
          <w:rFonts w:cs="Calibri"/>
          <w:szCs w:val="22"/>
        </w:rPr>
      </w:pPr>
    </w:p>
    <w:p w14:paraId="29FC020F" w14:textId="6D2FAAA2" w:rsidR="00AE6A7D" w:rsidRDefault="00AE6A7D" w:rsidP="004C2B8F">
      <w:pPr>
        <w:rPr>
          <w:rFonts w:cs="Calibri"/>
          <w:szCs w:val="22"/>
        </w:rPr>
      </w:pPr>
      <w:r>
        <w:rPr>
          <w:rFonts w:cs="Calibri"/>
          <w:szCs w:val="22"/>
        </w:rPr>
        <w:t xml:space="preserve">The paper is organized as follows: </w:t>
      </w:r>
    </w:p>
    <w:p w14:paraId="1835BDD9" w14:textId="77777777" w:rsidR="00C4684B" w:rsidRDefault="00C4684B" w:rsidP="00E54BB7">
      <w:pPr>
        <w:rPr>
          <w:rFonts w:cs="Calibri"/>
          <w:szCs w:val="22"/>
        </w:rPr>
      </w:pPr>
    </w:p>
    <w:p w14:paraId="265B44E4" w14:textId="7E169246" w:rsidR="00C528A2" w:rsidRDefault="00662594" w:rsidP="00C528A2">
      <w:pPr>
        <w:pStyle w:val="berschrift2"/>
      </w:pPr>
      <w:r>
        <w:t>2</w:t>
      </w:r>
      <w:r w:rsidR="00C82F79">
        <w:t xml:space="preserve"> </w:t>
      </w:r>
      <w:r>
        <w:t>Mathematical approach</w:t>
      </w:r>
    </w:p>
    <w:p w14:paraId="2D42913D" w14:textId="77777777" w:rsidR="00C528A2" w:rsidRDefault="00C528A2" w:rsidP="00C528A2">
      <w:pPr>
        <w:jc w:val="center"/>
        <w:rPr>
          <w:rFonts w:cs="Calibri"/>
          <w:szCs w:val="22"/>
        </w:rPr>
      </w:pPr>
      <w:r>
        <w:rPr>
          <w:rFonts w:cs="Calibri"/>
          <w:noProof/>
          <w:szCs w:val="22"/>
          <w:lang w:eastAsia="en-GB"/>
        </w:rPr>
        <w:drawing>
          <wp:inline distT="0" distB="0" distL="0" distR="0" wp14:anchorId="11A1E119" wp14:editId="0A4547D7">
            <wp:extent cx="3862800" cy="3416400"/>
            <wp:effectExtent l="0" t="0" r="444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2800" cy="3416400"/>
                    </a:xfrm>
                    <a:prstGeom prst="rect">
                      <a:avLst/>
                    </a:prstGeom>
                    <a:noFill/>
                    <a:ln>
                      <a:noFill/>
                    </a:ln>
                  </pic:spPr>
                </pic:pic>
              </a:graphicData>
            </a:graphic>
          </wp:inline>
        </w:drawing>
      </w:r>
    </w:p>
    <w:p w14:paraId="6DCAA17B" w14:textId="77777777" w:rsidR="00C528A2" w:rsidRPr="00AC0368" w:rsidRDefault="00C528A2" w:rsidP="00C528A2">
      <w:pPr>
        <w:pStyle w:val="Beschriftung"/>
        <w:rPr>
          <w:b w:val="0"/>
        </w:rPr>
      </w:pPr>
      <w:r>
        <w:t xml:space="preserve">Figure </w:t>
      </w:r>
      <w:fldSimple w:instr=" SEQ Figure \* ARABIC ">
        <w:r>
          <w:rPr>
            <w:noProof/>
          </w:rPr>
          <w:t>1</w:t>
        </w:r>
      </w:fldSimple>
      <w:r>
        <w:t xml:space="preserve">: </w:t>
      </w:r>
      <w:r>
        <w:rPr>
          <w:b w:val="0"/>
        </w:rPr>
        <w:t>General</w:t>
      </w:r>
      <w:r w:rsidRPr="00AC0368">
        <w:rPr>
          <w:b w:val="0"/>
        </w:rPr>
        <w:t xml:space="preserve"> workflow</w:t>
      </w:r>
      <w:r>
        <w:rPr>
          <w:b w:val="0"/>
        </w:rPr>
        <w:t xml:space="preserve"> example</w:t>
      </w:r>
      <w:r w:rsidRPr="00AC0368">
        <w:rPr>
          <w:b w:val="0"/>
        </w:rPr>
        <w:t xml:space="preserve"> of </w:t>
      </w:r>
      <w:r>
        <w:rPr>
          <w:b w:val="0"/>
        </w:rPr>
        <w:t>a</w:t>
      </w:r>
      <w:r w:rsidRPr="00AC0368">
        <w:rPr>
          <w:b w:val="0"/>
        </w:rPr>
        <w:t xml:space="preserve"> signal component-wise quartz CW-OSL dose calculation approach. Grey highlighted: Associated </w:t>
      </w:r>
      <w:r w:rsidRPr="00AC0368">
        <w:t>R</w:t>
      </w:r>
      <w:r w:rsidRPr="00AC0368">
        <w:rPr>
          <w:b w:val="0"/>
        </w:rPr>
        <w:t xml:space="preserve"> commands from package ‘OSLdecomposition’ (Step 0 – 2) and ‘Luminescence’ (Step 3)</w:t>
      </w:r>
    </w:p>
    <w:p w14:paraId="4877BE8E" w14:textId="77777777" w:rsidR="00C528A2" w:rsidRDefault="00C528A2" w:rsidP="00C528A2">
      <w:r>
        <w:rPr>
          <w:rFonts w:cs="Calibri"/>
          <w:szCs w:val="22"/>
        </w:rPr>
        <w:t>We divide</w:t>
      </w:r>
      <w:r w:rsidRPr="008D08E0">
        <w:t xml:space="preserve"> the component-specific dose calculation process into </w:t>
      </w:r>
      <w:r>
        <w:t>multiple</w:t>
      </w:r>
      <w:r w:rsidRPr="008D08E0">
        <w:t xml:space="preserve"> </w:t>
      </w:r>
      <w:r>
        <w:t>steps as outlined in figure 1:</w:t>
      </w:r>
      <w:r w:rsidRPr="008D08E0">
        <w:t xml:space="preserve"> </w:t>
      </w:r>
      <w:r>
        <w:t>Step 0 ensures the data set meets some basic requirements; Step 1 identifies the OSL component occurring in the data set</w:t>
      </w:r>
      <w:r>
        <w:rPr>
          <w:rFonts w:cs="Calibri"/>
          <w:szCs w:val="22"/>
        </w:rPr>
        <w:t xml:space="preserve"> by calculating one reference CW-OSL curve and applying the </w:t>
      </w:r>
      <w:r>
        <w:rPr>
          <w:rFonts w:cs="Calibri"/>
          <w:szCs w:val="22"/>
        </w:rPr>
        <w:fldChar w:fldCharType="begin"/>
      </w:r>
      <w:r>
        <w:rPr>
          <w:rFonts w:cs="Calibri"/>
          <w:szCs w:val="22"/>
        </w:rPr>
        <w:instrText xml:space="preserve"> ADDIN ZOTERO_ITEM CSL_CITATION {"citationID":"EcjKz7lZ","properties":{"formattedCitation":"(Bluszcz and Adamiec, 2006)","plainCitation":"(Bluszcz and Adamiec, 2006)","dontUpdate":true,"noteIndex":0},"citationItems":[{"id":72,"uris":["http://zotero.org/users/local/TzHpb2Bo/items/D3MHGTFZ"],"uri":["http://zotero.org/users/local/TzHpb2Bo/items/D3MHGTFZ"],"itemData":{"id":72,"type":"article-journal","container-title":"Radiation Measurements","DOI":"10.1016/j.radmeas.2006.05.016","ISSN":"13504487","issue":"7-8","language":"en","page":"886-891","source":"CrossRef","title":"Application of differential evolution to fitting OSL decay curves","volume":"41","author":[{"family":"Bluszcz","given":"A."},{"family":"Adamiec","given":"G."}],"issued":{"date-parts":[["2006",8]]}}}],"schema":"https://github.com/citation-style-language/schema/raw/master/csl-citation.json"} </w:instrText>
      </w:r>
      <w:r>
        <w:rPr>
          <w:rFonts w:cs="Calibri"/>
          <w:szCs w:val="22"/>
        </w:rPr>
        <w:fldChar w:fldCharType="separate"/>
      </w:r>
      <w:r>
        <w:t>Bluszcz and Adamiec (</w:t>
      </w:r>
      <w:r w:rsidRPr="003A495D">
        <w:t>2006)</w:t>
      </w:r>
      <w:r>
        <w:rPr>
          <w:rFonts w:cs="Calibri"/>
          <w:szCs w:val="22"/>
        </w:rPr>
        <w:fldChar w:fldCharType="end"/>
      </w:r>
      <w:r>
        <w:rPr>
          <w:rFonts w:cs="Calibri"/>
          <w:szCs w:val="22"/>
        </w:rPr>
        <w:t xml:space="preserve"> fitting procedure on it; Step 2 separates the components in each CW-OSL curve by an algebraic decomposition algorithm; Step 3 calculates component-wise equivalent </w:t>
      </w:r>
      <w:r>
        <w:rPr>
          <w:rFonts w:cs="Calibri"/>
          <w:szCs w:val="22"/>
        </w:rPr>
        <w:lastRenderedPageBreak/>
        <w:t xml:space="preserve">doses by using the standard SAR protocol analysis methods. </w:t>
      </w:r>
      <w:r>
        <w:t xml:space="preserve">Each step stands for its own, connected to the next step only by the handed over data set, extended by some results. Thus, the methods used in each step can be improved and replaced without affecting the methods in the other steps. </w:t>
      </w:r>
    </w:p>
    <w:p w14:paraId="3705AA66" w14:textId="77777777" w:rsidR="00C528A2" w:rsidRPr="00C528A2" w:rsidRDefault="00C528A2" w:rsidP="00C528A2"/>
    <w:p w14:paraId="30BFF499" w14:textId="511F7F9E" w:rsidR="0020571F" w:rsidRDefault="0020571F" w:rsidP="00F1495C">
      <w:pPr>
        <w:pStyle w:val="berschrift2"/>
      </w:pPr>
      <w:r>
        <w:t xml:space="preserve">2.1 </w:t>
      </w:r>
      <w:r w:rsidR="00AF3DBA">
        <w:t>Underlying assumptions</w:t>
      </w:r>
    </w:p>
    <w:p w14:paraId="65E8847A" w14:textId="22849C06" w:rsidR="005B0921" w:rsidRPr="00AC309B" w:rsidRDefault="006C2C66" w:rsidP="005B0921">
      <w:pPr>
        <w:rPr>
          <w:szCs w:val="20"/>
        </w:rPr>
      </w:pPr>
      <w:r>
        <w:t xml:space="preserve">The mathematical approach is based upon a set of assumptions which will be considered as true for any CW-OSL data set. </w:t>
      </w:r>
      <w:r w:rsidR="005B0921" w:rsidRPr="005B0921">
        <w:t xml:space="preserve">The </w:t>
      </w:r>
      <w:r w:rsidR="005B0921">
        <w:t xml:space="preserve">first and </w:t>
      </w:r>
      <w:r w:rsidR="005B0921" w:rsidRPr="005B0921">
        <w:t xml:space="preserve">fundamental assumption is that any </w:t>
      </w:r>
      <w:r w:rsidR="005B0921" w:rsidRPr="00AC309B">
        <w:rPr>
          <w:szCs w:val="20"/>
        </w:rPr>
        <w:t xml:space="preserve">CW-OSL signal </w:t>
      </w:r>
      <m:oMath>
        <m:r>
          <w:rPr>
            <w:rFonts w:ascii="Cambria Math" w:hAnsi="Cambria Math"/>
            <w:szCs w:val="20"/>
          </w:rPr>
          <m:t>I</m:t>
        </m:r>
        <m:d>
          <m:dPr>
            <m:ctrlPr>
              <w:rPr>
                <w:rFonts w:ascii="Cambria Math" w:hAnsi="Cambria Math"/>
                <w:i/>
                <w:szCs w:val="20"/>
              </w:rPr>
            </m:ctrlPr>
          </m:dPr>
          <m:e>
            <m:r>
              <w:rPr>
                <w:rFonts w:ascii="Cambria Math" w:hAnsi="Cambria Math"/>
                <w:szCs w:val="20"/>
              </w:rPr>
              <m:t>t</m:t>
            </m:r>
          </m:e>
        </m:d>
      </m:oMath>
      <w:r w:rsidR="005B0921" w:rsidRPr="00AC309B">
        <w:rPr>
          <w:szCs w:val="20"/>
        </w:rPr>
        <w:t xml:space="preserve"> of quartz can be described as sum of exponential decays of first order:</w:t>
      </w:r>
    </w:p>
    <w:tbl>
      <w:tblPr>
        <w:tblW w:w="8788" w:type="dxa"/>
        <w:jc w:val="center"/>
        <w:tblLayout w:type="fixed"/>
        <w:tblCellMar>
          <w:left w:w="10" w:type="dxa"/>
          <w:right w:w="10" w:type="dxa"/>
        </w:tblCellMar>
        <w:tblLook w:val="0000" w:firstRow="0" w:lastRow="0" w:firstColumn="0" w:lastColumn="0" w:noHBand="0" w:noVBand="0"/>
      </w:tblPr>
      <w:tblGrid>
        <w:gridCol w:w="8109"/>
        <w:gridCol w:w="679"/>
      </w:tblGrid>
      <w:tr w:rsidR="005B0921" w:rsidRPr="00AC309B" w14:paraId="5326977F" w14:textId="77777777" w:rsidTr="00E7758E">
        <w:trPr>
          <w:jc w:val="center"/>
        </w:trPr>
        <w:tc>
          <w:tcPr>
            <w:tcW w:w="8109" w:type="dxa"/>
          </w:tcPr>
          <w:p w14:paraId="499A6DD8" w14:textId="77777777" w:rsidR="005B0921" w:rsidRPr="00AC309B" w:rsidRDefault="005B0921" w:rsidP="00E7758E">
            <w:pPr>
              <w:pStyle w:val="Formel"/>
              <w:rPr>
                <w:sz w:val="20"/>
                <w:szCs w:val="20"/>
              </w:rPr>
            </w:pPr>
            <m:oMathPara>
              <m:oMathParaPr>
                <m:jc m:val="center"/>
              </m:oMathParaPr>
              <m:oMath>
                <m:r>
                  <w:rPr>
                    <w:rFonts w:eastAsia="Times New Roman"/>
                    <w:sz w:val="20"/>
                    <w:szCs w:val="20"/>
                    <w:lang w:eastAsia="de-DE"/>
                  </w:rPr>
                  <m:t>I</m:t>
                </m:r>
                <m:d>
                  <m:dPr>
                    <m:ctrlPr>
                      <w:rPr>
                        <w:rFonts w:eastAsia="Times New Roman"/>
                        <w:i/>
                        <w:sz w:val="20"/>
                        <w:szCs w:val="20"/>
                        <w:lang w:eastAsia="de-DE"/>
                      </w:rPr>
                    </m:ctrlPr>
                  </m:dPr>
                  <m:e>
                    <m:r>
                      <w:rPr>
                        <w:rFonts w:eastAsia="Times New Roman"/>
                        <w:sz w:val="20"/>
                        <w:szCs w:val="20"/>
                        <w:lang w:eastAsia="de-DE"/>
                      </w:rPr>
                      <m:t>t</m:t>
                    </m:r>
                  </m:e>
                </m:d>
                <m:r>
                  <w:rPr>
                    <w:rFonts w:eastAsia="Times New Roman"/>
                    <w:sz w:val="20"/>
                    <w:szCs w:val="20"/>
                    <w:lang w:eastAsia="de-DE"/>
                  </w:rPr>
                  <m:t xml:space="preserve">= </m:t>
                </m:r>
                <m:nary>
                  <m:naryPr>
                    <m:chr m:val="∑"/>
                    <m:limLoc m:val="undOvr"/>
                    <m:ctrlPr>
                      <w:rPr>
                        <w:rFonts w:eastAsia="Times New Roman"/>
                        <w:i/>
                        <w:sz w:val="20"/>
                        <w:szCs w:val="20"/>
                        <w:lang w:eastAsia="de-DE"/>
                      </w:rPr>
                    </m:ctrlPr>
                  </m:naryPr>
                  <m:sub>
                    <m:r>
                      <w:rPr>
                        <w:rFonts w:eastAsia="Times New Roman"/>
                        <w:sz w:val="20"/>
                        <w:szCs w:val="20"/>
                        <w:lang w:eastAsia="de-DE"/>
                      </w:rPr>
                      <m:t>k=1</m:t>
                    </m:r>
                  </m:sub>
                  <m:sup>
                    <m:r>
                      <w:rPr>
                        <w:rFonts w:eastAsia="Times New Roman"/>
                        <w:sz w:val="20"/>
                        <w:szCs w:val="20"/>
                        <w:lang w:eastAsia="de-DE"/>
                      </w:rPr>
                      <m:t>K</m:t>
                    </m:r>
                  </m:sup>
                  <m:e>
                    <m:sSub>
                      <m:sSubPr>
                        <m:ctrlPr>
                          <w:rPr>
                            <w:rFonts w:eastAsia="Times New Roman"/>
                            <w:i/>
                            <w:sz w:val="20"/>
                            <w:szCs w:val="20"/>
                            <w:lang w:eastAsia="de-DE"/>
                          </w:rPr>
                        </m:ctrlPr>
                      </m:sSubPr>
                      <m:e>
                        <m:r>
                          <w:rPr>
                            <w:rFonts w:eastAsia="Times New Roman"/>
                            <w:sz w:val="20"/>
                            <w:szCs w:val="20"/>
                            <w:lang w:eastAsia="de-DE"/>
                          </w:rPr>
                          <m:t>n</m:t>
                        </m:r>
                      </m:e>
                      <m:sub>
                        <m:r>
                          <w:rPr>
                            <w:rFonts w:eastAsia="Times New Roman"/>
                            <w:sz w:val="20"/>
                            <w:szCs w:val="20"/>
                            <w:lang w:eastAsia="de-DE"/>
                          </w:rPr>
                          <m:t>k</m:t>
                        </m:r>
                      </m:sub>
                    </m:sSub>
                    <m:sSub>
                      <m:sSubPr>
                        <m:ctrlPr>
                          <w:rPr>
                            <w:rFonts w:eastAsia="Times New Roman"/>
                            <w:i/>
                            <w:sz w:val="20"/>
                            <w:szCs w:val="20"/>
                            <w:lang w:eastAsia="de-DE"/>
                          </w:rPr>
                        </m:ctrlPr>
                      </m:sSubPr>
                      <m:e>
                        <m:r>
                          <w:rPr>
                            <w:rFonts w:eastAsia="Times New Roman"/>
                            <w:sz w:val="20"/>
                            <w:szCs w:val="20"/>
                            <w:lang w:eastAsia="de-DE"/>
                          </w:rPr>
                          <m:t>λ</m:t>
                        </m:r>
                      </m:e>
                      <m:sub>
                        <m:r>
                          <w:rPr>
                            <w:rFonts w:eastAsia="Times New Roman"/>
                            <w:sz w:val="20"/>
                            <w:szCs w:val="20"/>
                            <w:lang w:eastAsia="de-DE"/>
                          </w:rPr>
                          <m:t>k</m:t>
                        </m:r>
                      </m:sub>
                    </m:sSub>
                    <m:sSup>
                      <m:sSupPr>
                        <m:ctrlPr>
                          <w:rPr>
                            <w:rFonts w:eastAsia="Times New Roman"/>
                            <w:i/>
                            <w:sz w:val="20"/>
                            <w:szCs w:val="20"/>
                            <w:lang w:eastAsia="de-DE"/>
                          </w:rPr>
                        </m:ctrlPr>
                      </m:sSupPr>
                      <m:e>
                        <m:r>
                          <m:rPr>
                            <m:nor/>
                          </m:rPr>
                          <w:rPr>
                            <w:rFonts w:eastAsia="Times New Roman"/>
                            <w:sz w:val="20"/>
                            <w:szCs w:val="20"/>
                            <w:lang w:eastAsia="de-DE"/>
                          </w:rPr>
                          <m:t>e</m:t>
                        </m:r>
                      </m:e>
                      <m:sup>
                        <m:r>
                          <w:rPr>
                            <w:rFonts w:eastAsia="Times New Roman"/>
                            <w:sz w:val="20"/>
                            <w:szCs w:val="20"/>
                            <w:lang w:eastAsia="de-DE"/>
                          </w:rPr>
                          <m:t>-</m:t>
                        </m:r>
                        <m:sSub>
                          <m:sSubPr>
                            <m:ctrlPr>
                              <w:rPr>
                                <w:rFonts w:eastAsia="Times New Roman"/>
                                <w:i/>
                                <w:sz w:val="20"/>
                                <w:szCs w:val="20"/>
                                <w:lang w:eastAsia="de-DE"/>
                              </w:rPr>
                            </m:ctrlPr>
                          </m:sSubPr>
                          <m:e>
                            <m:r>
                              <w:rPr>
                                <w:rFonts w:eastAsia="Times New Roman"/>
                                <w:sz w:val="20"/>
                                <w:szCs w:val="20"/>
                                <w:lang w:eastAsia="de-DE"/>
                              </w:rPr>
                              <m:t>λ</m:t>
                            </m:r>
                          </m:e>
                          <m:sub>
                            <m:r>
                              <w:rPr>
                                <w:rFonts w:eastAsia="Times New Roman"/>
                                <w:sz w:val="20"/>
                                <w:szCs w:val="20"/>
                                <w:lang w:eastAsia="de-DE"/>
                              </w:rPr>
                              <m:t>k</m:t>
                            </m:r>
                          </m:sub>
                        </m:sSub>
                        <m:r>
                          <w:rPr>
                            <w:rFonts w:eastAsia="Times New Roman"/>
                            <w:sz w:val="20"/>
                            <w:szCs w:val="20"/>
                            <w:lang w:eastAsia="de-DE"/>
                          </w:rPr>
                          <m:t>t</m:t>
                        </m:r>
                      </m:sup>
                    </m:sSup>
                  </m:e>
                </m:nary>
              </m:oMath>
            </m:oMathPara>
          </w:p>
        </w:tc>
        <w:tc>
          <w:tcPr>
            <w:tcW w:w="679" w:type="dxa"/>
            <w:vAlign w:val="center"/>
          </w:tcPr>
          <w:p w14:paraId="4474E29E" w14:textId="36076C06" w:rsidR="005B0921" w:rsidRPr="00AC309B" w:rsidRDefault="005B0921" w:rsidP="005B0921">
            <w:pPr>
              <w:pStyle w:val="Formelnummer"/>
              <w:jc w:val="center"/>
              <w:rPr>
                <w:rFonts w:ascii="Cambria" w:hAnsi="Cambria"/>
                <w:sz w:val="20"/>
                <w:szCs w:val="20"/>
              </w:rPr>
            </w:pPr>
            <w:r w:rsidRPr="00AC309B">
              <w:rPr>
                <w:rFonts w:ascii="Cambria" w:hAnsi="Cambria"/>
                <w:sz w:val="20"/>
                <w:szCs w:val="20"/>
              </w:rPr>
              <w:t>(1)</w:t>
            </w:r>
          </w:p>
        </w:tc>
      </w:tr>
    </w:tbl>
    <w:p w14:paraId="112F75C9" w14:textId="753E8B18" w:rsidR="004233D5" w:rsidRPr="004233D5" w:rsidRDefault="005B0921" w:rsidP="004233D5">
      <w:pPr>
        <w:rPr>
          <w:szCs w:val="20"/>
        </w:rPr>
      </w:pPr>
      <w:r w:rsidRPr="00AC309B">
        <w:rPr>
          <w:szCs w:val="20"/>
        </w:rPr>
        <w:t>Every summand models one OSL signal component. We assume the number of components</w:t>
      </w:r>
      <w:r w:rsidRPr="005B0921">
        <w:t xml:space="preserve"> </w:t>
      </w:r>
      <m:oMath>
        <m:r>
          <w:rPr>
            <w:rFonts w:ascii="Cambria Math" w:hAnsi="Cambria Math"/>
          </w:rPr>
          <m:t>K</m:t>
        </m:r>
      </m:oMath>
      <w:r w:rsidRPr="005B0921">
        <w:t xml:space="preserve"> and the decay parameters </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sidRPr="005B0921">
        <w:t xml:space="preserve"> as constant throughout </w:t>
      </w:r>
      <w:r w:rsidR="00AC309B">
        <w:t>all measurements</w:t>
      </w:r>
      <w:r w:rsidRPr="005B0921">
        <w:t xml:space="preserve"> in a given data set </w:t>
      </w:r>
      <w:r w:rsidR="00AC309B">
        <w:t xml:space="preserve">while the component intensities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AC309B">
        <w:t xml:space="preserve"> have individual values for each single CW-OSL</w:t>
      </w:r>
      <w:r w:rsidR="001A5BFC">
        <w:t xml:space="preserve"> measurement. </w:t>
      </w:r>
      <w:r w:rsidR="00F01077">
        <w:t>We</w:t>
      </w:r>
      <w:r w:rsidR="001A5BFC">
        <w:t xml:space="preserve"> further assume that </w:t>
      </w:r>
      <w:r w:rsidR="00CF77AC">
        <w:t xml:space="preserve">the luminescence signal is measured in discrete and fixed time intervals, usually called ‘channels’, which is the default, </w:t>
      </w:r>
      <w:r w:rsidR="00F01077">
        <w:t>and often</w:t>
      </w:r>
      <w:r w:rsidR="00CF77AC">
        <w:t xml:space="preserve"> the only available, detection mode for all commercially available OSL reader, as far as the authors know. </w:t>
      </w:r>
      <w:r w:rsidR="00F01077">
        <w:t>Then, the signal of each channel is described by the inte</w:t>
      </w:r>
      <w:r w:rsidR="002E2E7D">
        <w:t>gration of equation (1) over that</w:t>
      </w:r>
      <w:r w:rsidR="00F01077">
        <w:t xml:space="preserve"> channels time interval:</w:t>
      </w:r>
    </w:p>
    <w:tbl>
      <w:tblPr>
        <w:tblW w:w="8788" w:type="dxa"/>
        <w:jc w:val="center"/>
        <w:tblLayout w:type="fixed"/>
        <w:tblCellMar>
          <w:left w:w="10" w:type="dxa"/>
          <w:right w:w="10" w:type="dxa"/>
        </w:tblCellMar>
        <w:tblLook w:val="0000" w:firstRow="0" w:lastRow="0" w:firstColumn="0" w:lastColumn="0" w:noHBand="0" w:noVBand="0"/>
      </w:tblPr>
      <w:tblGrid>
        <w:gridCol w:w="8109"/>
        <w:gridCol w:w="679"/>
      </w:tblGrid>
      <w:tr w:rsidR="004233D5" w:rsidRPr="004233D5" w14:paraId="37A57387" w14:textId="77777777" w:rsidTr="00E7758E">
        <w:trPr>
          <w:jc w:val="center"/>
        </w:trPr>
        <w:tc>
          <w:tcPr>
            <w:tcW w:w="8109" w:type="dxa"/>
          </w:tcPr>
          <w:p w14:paraId="64C65597" w14:textId="77777777" w:rsidR="004233D5" w:rsidRPr="004233D5" w:rsidRDefault="00D76F7B" w:rsidP="00E7758E">
            <w:pPr>
              <w:pStyle w:val="Formel"/>
              <w:jc w:val="center"/>
              <w:rPr>
                <w:sz w:val="20"/>
                <w:szCs w:val="20"/>
              </w:rPr>
            </w:pPr>
            <m:oMathPara>
              <m:oMath>
                <m:sSub>
                  <m:sSubPr>
                    <m:ctrlPr>
                      <w:rPr>
                        <w:rFonts w:eastAsia="Times New Roman"/>
                        <w:i/>
                        <w:sz w:val="20"/>
                        <w:szCs w:val="20"/>
                        <w:lang w:eastAsia="de-DE"/>
                      </w:rPr>
                    </m:ctrlPr>
                  </m:sSubPr>
                  <m:e>
                    <m:r>
                      <w:rPr>
                        <w:rFonts w:eastAsia="Times New Roman"/>
                        <w:sz w:val="20"/>
                        <w:szCs w:val="20"/>
                        <w:lang w:eastAsia="de-DE"/>
                      </w:rPr>
                      <m:t>I</m:t>
                    </m:r>
                  </m:e>
                  <m:sub>
                    <m:r>
                      <w:rPr>
                        <w:rFonts w:eastAsia="Times New Roman"/>
                        <w:sz w:val="20"/>
                        <w:szCs w:val="20"/>
                        <w:lang w:eastAsia="de-DE"/>
                      </w:rPr>
                      <m:t>i</m:t>
                    </m:r>
                  </m:sub>
                </m:sSub>
                <m:r>
                  <w:rPr>
                    <w:rFonts w:eastAsia="Times New Roman"/>
                    <w:sz w:val="20"/>
                    <w:szCs w:val="20"/>
                    <w:lang w:eastAsia="de-DE"/>
                  </w:rPr>
                  <m:t>=</m:t>
                </m:r>
                <m:nary>
                  <m:naryPr>
                    <m:limLoc m:val="undOvr"/>
                    <m:ctrlPr>
                      <w:rPr>
                        <w:rFonts w:eastAsia="Times New Roman"/>
                        <w:i/>
                        <w:sz w:val="20"/>
                        <w:szCs w:val="20"/>
                        <w:lang w:eastAsia="de-DE"/>
                      </w:rPr>
                    </m:ctrlPr>
                  </m:naryPr>
                  <m:sub>
                    <m:d>
                      <m:dPr>
                        <m:ctrlPr>
                          <w:rPr>
                            <w:rFonts w:eastAsia="Times New Roman"/>
                            <w:i/>
                            <w:sz w:val="20"/>
                            <w:szCs w:val="20"/>
                            <w:lang w:eastAsia="de-DE"/>
                          </w:rPr>
                        </m:ctrlPr>
                      </m:dPr>
                      <m:e>
                        <m:r>
                          <w:rPr>
                            <w:rFonts w:eastAsia="Times New Roman"/>
                            <w:sz w:val="20"/>
                            <w:szCs w:val="20"/>
                            <w:lang w:eastAsia="de-DE"/>
                          </w:rPr>
                          <m:t>i-1</m:t>
                        </m:r>
                      </m:e>
                    </m:d>
                    <m:r>
                      <w:rPr>
                        <w:rFonts w:eastAsia="Times New Roman"/>
                        <w:sz w:val="20"/>
                        <w:szCs w:val="20"/>
                        <w:lang w:eastAsia="de-DE"/>
                      </w:rPr>
                      <m:t>∆t</m:t>
                    </m:r>
                  </m:sub>
                  <m:sup>
                    <m:r>
                      <w:rPr>
                        <w:rFonts w:eastAsia="Times New Roman"/>
                        <w:sz w:val="20"/>
                        <w:szCs w:val="20"/>
                        <w:lang w:eastAsia="de-DE"/>
                      </w:rPr>
                      <m:t>i∆t</m:t>
                    </m:r>
                  </m:sup>
                  <m:e>
                    <m:r>
                      <w:rPr>
                        <w:rFonts w:eastAsia="Times New Roman"/>
                        <w:sz w:val="20"/>
                        <w:szCs w:val="20"/>
                        <w:lang w:eastAsia="de-DE"/>
                      </w:rPr>
                      <m:t>I</m:t>
                    </m:r>
                    <m:d>
                      <m:dPr>
                        <m:ctrlPr>
                          <w:rPr>
                            <w:rFonts w:eastAsia="Times New Roman"/>
                            <w:i/>
                            <w:sz w:val="20"/>
                            <w:szCs w:val="20"/>
                            <w:lang w:eastAsia="de-DE"/>
                          </w:rPr>
                        </m:ctrlPr>
                      </m:dPr>
                      <m:e>
                        <m:r>
                          <w:rPr>
                            <w:rFonts w:eastAsia="Times New Roman"/>
                            <w:sz w:val="20"/>
                            <w:szCs w:val="20"/>
                            <w:lang w:eastAsia="de-DE"/>
                          </w:rPr>
                          <m:t>t</m:t>
                        </m:r>
                      </m:e>
                    </m:d>
                  </m:e>
                </m:nary>
                <m:r>
                  <w:rPr>
                    <w:rFonts w:eastAsia="Times New Roman"/>
                    <w:sz w:val="20"/>
                    <w:szCs w:val="20"/>
                    <w:lang w:eastAsia="de-DE"/>
                  </w:rPr>
                  <m:t xml:space="preserve">= </m:t>
                </m:r>
                <m:nary>
                  <m:naryPr>
                    <m:chr m:val="∑"/>
                    <m:limLoc m:val="undOvr"/>
                    <m:ctrlPr>
                      <w:rPr>
                        <w:rFonts w:eastAsia="Times New Roman"/>
                        <w:i/>
                        <w:sz w:val="20"/>
                        <w:szCs w:val="20"/>
                        <w:lang w:eastAsia="de-DE"/>
                      </w:rPr>
                    </m:ctrlPr>
                  </m:naryPr>
                  <m:sub>
                    <m:r>
                      <w:rPr>
                        <w:rFonts w:eastAsia="Times New Roman"/>
                        <w:sz w:val="20"/>
                        <w:szCs w:val="20"/>
                        <w:lang w:eastAsia="de-DE"/>
                      </w:rPr>
                      <m:t>k=1</m:t>
                    </m:r>
                  </m:sub>
                  <m:sup>
                    <m:r>
                      <w:rPr>
                        <w:rFonts w:eastAsia="Times New Roman"/>
                        <w:sz w:val="20"/>
                        <w:szCs w:val="20"/>
                        <w:lang w:eastAsia="de-DE"/>
                      </w:rPr>
                      <m:t>K</m:t>
                    </m:r>
                  </m:sup>
                  <m:e>
                    <m:sSub>
                      <m:sSubPr>
                        <m:ctrlPr>
                          <w:rPr>
                            <w:rFonts w:eastAsia="Times New Roman"/>
                            <w:i/>
                            <w:sz w:val="20"/>
                            <w:szCs w:val="20"/>
                            <w:lang w:eastAsia="de-DE"/>
                          </w:rPr>
                        </m:ctrlPr>
                      </m:sSubPr>
                      <m:e>
                        <m:r>
                          <w:rPr>
                            <w:rFonts w:eastAsia="Times New Roman"/>
                            <w:sz w:val="20"/>
                            <w:szCs w:val="20"/>
                            <w:lang w:eastAsia="de-DE"/>
                          </w:rPr>
                          <m:t>n</m:t>
                        </m:r>
                      </m:e>
                      <m:sub>
                        <m:r>
                          <w:rPr>
                            <w:rFonts w:eastAsia="Times New Roman"/>
                            <w:sz w:val="20"/>
                            <w:szCs w:val="20"/>
                            <w:lang w:eastAsia="de-DE"/>
                          </w:rPr>
                          <m:t>k</m:t>
                        </m:r>
                      </m:sub>
                    </m:sSub>
                    <m:d>
                      <m:dPr>
                        <m:ctrlPr>
                          <w:rPr>
                            <w:rFonts w:eastAsia="Times New Roman"/>
                            <w:i/>
                            <w:sz w:val="20"/>
                            <w:szCs w:val="20"/>
                            <w:lang w:eastAsia="de-DE"/>
                          </w:rPr>
                        </m:ctrlPr>
                      </m:dPr>
                      <m:e>
                        <m:sSup>
                          <m:sSupPr>
                            <m:ctrlPr>
                              <w:rPr>
                                <w:rFonts w:eastAsia="Times New Roman"/>
                                <w:i/>
                                <w:sz w:val="20"/>
                                <w:szCs w:val="20"/>
                                <w:lang w:eastAsia="de-DE"/>
                              </w:rPr>
                            </m:ctrlPr>
                          </m:sSupPr>
                          <m:e>
                            <m:r>
                              <m:rPr>
                                <m:nor/>
                              </m:rPr>
                              <w:rPr>
                                <w:rFonts w:eastAsia="Times New Roman"/>
                                <w:sz w:val="20"/>
                                <w:szCs w:val="20"/>
                                <w:lang w:eastAsia="de-DE"/>
                              </w:rPr>
                              <m:t>e</m:t>
                            </m:r>
                          </m:e>
                          <m:sup>
                            <m:r>
                              <w:rPr>
                                <w:rFonts w:eastAsia="Times New Roman"/>
                                <w:sz w:val="20"/>
                                <w:szCs w:val="20"/>
                                <w:lang w:eastAsia="de-DE"/>
                              </w:rPr>
                              <m:t>-</m:t>
                            </m:r>
                            <m:sSub>
                              <m:sSubPr>
                                <m:ctrlPr>
                                  <w:rPr>
                                    <w:rFonts w:eastAsia="Times New Roman"/>
                                    <w:i/>
                                    <w:sz w:val="20"/>
                                    <w:szCs w:val="20"/>
                                    <w:lang w:eastAsia="de-DE"/>
                                  </w:rPr>
                                </m:ctrlPr>
                              </m:sSubPr>
                              <m:e>
                                <m:r>
                                  <w:rPr>
                                    <w:rFonts w:eastAsia="Times New Roman"/>
                                    <w:sz w:val="20"/>
                                    <w:szCs w:val="20"/>
                                    <w:lang w:eastAsia="de-DE"/>
                                  </w:rPr>
                                  <m:t>λ</m:t>
                                </m:r>
                              </m:e>
                              <m:sub>
                                <m:r>
                                  <w:rPr>
                                    <w:rFonts w:eastAsia="Times New Roman"/>
                                    <w:sz w:val="20"/>
                                    <w:szCs w:val="20"/>
                                    <w:lang w:eastAsia="de-DE"/>
                                  </w:rPr>
                                  <m:t>k</m:t>
                                </m:r>
                              </m:sub>
                            </m:sSub>
                            <m:d>
                              <m:dPr>
                                <m:ctrlPr>
                                  <w:rPr>
                                    <w:rFonts w:eastAsia="Times New Roman"/>
                                    <w:i/>
                                    <w:sz w:val="20"/>
                                    <w:szCs w:val="20"/>
                                    <w:lang w:eastAsia="de-DE"/>
                                  </w:rPr>
                                </m:ctrlPr>
                              </m:dPr>
                              <m:e>
                                <m:r>
                                  <w:rPr>
                                    <w:rFonts w:eastAsia="Times New Roman"/>
                                    <w:sz w:val="20"/>
                                    <w:szCs w:val="20"/>
                                    <w:lang w:eastAsia="de-DE"/>
                                  </w:rPr>
                                  <m:t>i-1</m:t>
                                </m:r>
                              </m:e>
                            </m:d>
                            <m:r>
                              <w:rPr>
                                <w:rFonts w:eastAsia="Times New Roman"/>
                                <w:sz w:val="20"/>
                                <w:szCs w:val="20"/>
                                <w:lang w:eastAsia="de-DE"/>
                              </w:rPr>
                              <m:t>∆t</m:t>
                            </m:r>
                          </m:sup>
                        </m:sSup>
                        <m:r>
                          <w:rPr>
                            <w:rFonts w:eastAsia="Times New Roman"/>
                            <w:sz w:val="20"/>
                            <w:szCs w:val="20"/>
                            <w:lang w:eastAsia="de-DE"/>
                          </w:rPr>
                          <m:t>-</m:t>
                        </m:r>
                        <m:sSup>
                          <m:sSupPr>
                            <m:ctrlPr>
                              <w:rPr>
                                <w:rFonts w:eastAsia="Times New Roman"/>
                                <w:i/>
                                <w:sz w:val="20"/>
                                <w:szCs w:val="20"/>
                                <w:lang w:eastAsia="de-DE"/>
                              </w:rPr>
                            </m:ctrlPr>
                          </m:sSupPr>
                          <m:e>
                            <m:r>
                              <m:rPr>
                                <m:nor/>
                              </m:rPr>
                              <w:rPr>
                                <w:rFonts w:eastAsia="Times New Roman"/>
                                <w:sz w:val="20"/>
                                <w:szCs w:val="20"/>
                                <w:lang w:eastAsia="de-DE"/>
                              </w:rPr>
                              <m:t>e</m:t>
                            </m:r>
                          </m:e>
                          <m:sup>
                            <m:r>
                              <w:rPr>
                                <w:rFonts w:eastAsia="Times New Roman"/>
                                <w:sz w:val="20"/>
                                <w:szCs w:val="20"/>
                                <w:lang w:eastAsia="de-DE"/>
                              </w:rPr>
                              <m:t>-</m:t>
                            </m:r>
                            <m:sSub>
                              <m:sSubPr>
                                <m:ctrlPr>
                                  <w:rPr>
                                    <w:rFonts w:eastAsia="Times New Roman"/>
                                    <w:i/>
                                    <w:sz w:val="20"/>
                                    <w:szCs w:val="20"/>
                                    <w:lang w:eastAsia="de-DE"/>
                                  </w:rPr>
                                </m:ctrlPr>
                              </m:sSubPr>
                              <m:e>
                                <m:r>
                                  <w:rPr>
                                    <w:rFonts w:eastAsia="Times New Roman"/>
                                    <w:sz w:val="20"/>
                                    <w:szCs w:val="20"/>
                                    <w:lang w:eastAsia="de-DE"/>
                                  </w:rPr>
                                  <m:t>λ</m:t>
                                </m:r>
                              </m:e>
                              <m:sub>
                                <m:r>
                                  <w:rPr>
                                    <w:rFonts w:eastAsia="Times New Roman"/>
                                    <w:sz w:val="20"/>
                                    <w:szCs w:val="20"/>
                                    <w:lang w:eastAsia="de-DE"/>
                                  </w:rPr>
                                  <m:t>k</m:t>
                                </m:r>
                              </m:sub>
                            </m:sSub>
                            <m:r>
                              <w:rPr>
                                <w:rFonts w:eastAsia="Times New Roman"/>
                                <w:sz w:val="20"/>
                                <w:szCs w:val="20"/>
                                <w:lang w:eastAsia="de-DE"/>
                              </w:rPr>
                              <m:t>i∆t</m:t>
                            </m:r>
                          </m:sup>
                        </m:sSup>
                      </m:e>
                    </m:d>
                  </m:e>
                </m:nary>
                <m:r>
                  <w:rPr>
                    <w:rFonts w:eastAsia="Times New Roman"/>
                    <w:sz w:val="20"/>
                    <w:szCs w:val="20"/>
                    <w:lang w:eastAsia="de-DE"/>
                  </w:rPr>
                  <m:t xml:space="preserve">     </m:t>
                </m:r>
                <m:r>
                  <m:rPr>
                    <m:nor/>
                  </m:rPr>
                  <w:rPr>
                    <w:rFonts w:eastAsia="Times New Roman"/>
                    <w:sz w:val="20"/>
                    <w:szCs w:val="20"/>
                    <w:lang w:eastAsia="de-DE"/>
                  </w:rPr>
                  <m:t xml:space="preserve">  </m:t>
                </m:r>
                <m:r>
                  <w:rPr>
                    <w:rFonts w:eastAsia="Times New Roman"/>
                    <w:sz w:val="20"/>
                    <w:szCs w:val="20"/>
                    <w:lang w:eastAsia="de-DE"/>
                  </w:rPr>
                  <m:t xml:space="preserve">     i=1, 2, 3,…,N </m:t>
                </m:r>
              </m:oMath>
            </m:oMathPara>
          </w:p>
        </w:tc>
        <w:tc>
          <w:tcPr>
            <w:tcW w:w="679" w:type="dxa"/>
            <w:vAlign w:val="center"/>
          </w:tcPr>
          <w:p w14:paraId="27CE7D30" w14:textId="7AA52DDA" w:rsidR="004233D5" w:rsidRPr="004233D5" w:rsidRDefault="004233D5" w:rsidP="004233D5">
            <w:pPr>
              <w:pStyle w:val="Formelnummer"/>
              <w:jc w:val="center"/>
              <w:rPr>
                <w:rFonts w:ascii="Cambria" w:hAnsi="Cambria"/>
                <w:sz w:val="20"/>
                <w:szCs w:val="20"/>
              </w:rPr>
            </w:pPr>
            <w:r w:rsidRPr="004233D5">
              <w:rPr>
                <w:rFonts w:ascii="Cambria" w:hAnsi="Cambria"/>
                <w:sz w:val="20"/>
                <w:szCs w:val="20"/>
              </w:rPr>
              <w:t>(2)</w:t>
            </w:r>
          </w:p>
        </w:tc>
      </w:tr>
    </w:tbl>
    <w:p w14:paraId="614DDAC2" w14:textId="02FE132B" w:rsidR="004233D5" w:rsidRDefault="004233D5" w:rsidP="004233D5">
      <w:pPr>
        <w:pStyle w:val="Absatz"/>
        <w:rPr>
          <w:sz w:val="20"/>
          <w:szCs w:val="20"/>
          <w:lang w:eastAsia="de-DE"/>
        </w:rPr>
      </w:pPr>
      <w:r>
        <w:rPr>
          <w:sz w:val="20"/>
          <w:szCs w:val="20"/>
          <w:lang w:eastAsia="de-DE"/>
        </w:rPr>
        <w:t xml:space="preserve">Here </w:t>
      </w:r>
      <m:oMath>
        <m:r>
          <w:rPr>
            <w:rFonts w:ascii="Cambria Math" w:hAnsi="Cambria Math"/>
            <w:sz w:val="20"/>
            <w:szCs w:val="20"/>
            <w:lang w:eastAsia="de-DE"/>
          </w:rPr>
          <m:t>∆t</m:t>
        </m:r>
      </m:oMath>
      <w:r>
        <w:rPr>
          <w:sz w:val="20"/>
          <w:szCs w:val="20"/>
          <w:lang w:eastAsia="de-DE"/>
        </w:rPr>
        <w:t xml:space="preserve"> is the channel width, </w:t>
      </w:r>
      <m:oMath>
        <m:r>
          <w:rPr>
            <w:rFonts w:ascii="Cambria Math" w:hAnsi="Cambria Math"/>
            <w:sz w:val="20"/>
            <w:szCs w:val="20"/>
            <w:lang w:eastAsia="de-DE"/>
          </w:rPr>
          <m:t>i</m:t>
        </m:r>
      </m:oMath>
      <w:r>
        <w:rPr>
          <w:sz w:val="20"/>
          <w:szCs w:val="20"/>
          <w:lang w:eastAsia="de-DE"/>
        </w:rPr>
        <w:t xml:space="preserve"> is the channel index and </w:t>
      </w:r>
      <m:oMath>
        <m:r>
          <w:rPr>
            <w:rFonts w:ascii="Cambria Math" w:hAnsi="Cambria Math"/>
            <w:sz w:val="20"/>
            <w:szCs w:val="20"/>
            <w:lang w:eastAsia="de-DE"/>
          </w:rPr>
          <m:t>N</m:t>
        </m:r>
      </m:oMath>
      <w:r>
        <w:rPr>
          <w:sz w:val="20"/>
          <w:szCs w:val="20"/>
          <w:lang w:eastAsia="de-DE"/>
        </w:rPr>
        <w:t xml:space="preserve"> is the number of channels of the particular CW-OSL measurement. </w:t>
      </w:r>
      <w:r w:rsidRPr="004233D5">
        <w:rPr>
          <w:sz w:val="20"/>
          <w:szCs w:val="20"/>
          <w:lang w:eastAsia="de-DE"/>
        </w:rPr>
        <w:t xml:space="preserve">All </w:t>
      </w:r>
      <w:r>
        <w:rPr>
          <w:sz w:val="20"/>
          <w:szCs w:val="20"/>
          <w:lang w:eastAsia="de-DE"/>
        </w:rPr>
        <w:t>methods</w:t>
      </w:r>
      <w:r w:rsidRPr="004233D5">
        <w:rPr>
          <w:sz w:val="20"/>
          <w:szCs w:val="20"/>
          <w:lang w:eastAsia="de-DE"/>
        </w:rPr>
        <w:t xml:space="preserve"> </w:t>
      </w:r>
      <w:r>
        <w:rPr>
          <w:sz w:val="20"/>
          <w:szCs w:val="20"/>
          <w:lang w:eastAsia="de-DE"/>
        </w:rPr>
        <w:t>further outlined in this paper</w:t>
      </w:r>
      <w:r w:rsidR="002E2E7D">
        <w:rPr>
          <w:sz w:val="20"/>
          <w:szCs w:val="20"/>
          <w:lang w:eastAsia="de-DE"/>
        </w:rPr>
        <w:t>,</w:t>
      </w:r>
      <w:r w:rsidRPr="004233D5">
        <w:rPr>
          <w:sz w:val="20"/>
          <w:szCs w:val="20"/>
          <w:lang w:eastAsia="de-DE"/>
        </w:rPr>
        <w:t xml:space="preserve"> </w:t>
      </w:r>
      <w:r>
        <w:rPr>
          <w:sz w:val="20"/>
          <w:szCs w:val="20"/>
          <w:lang w:eastAsia="de-DE"/>
        </w:rPr>
        <w:t>assume</w:t>
      </w:r>
      <w:r w:rsidRPr="004233D5">
        <w:rPr>
          <w:sz w:val="20"/>
          <w:szCs w:val="20"/>
          <w:lang w:eastAsia="de-DE"/>
        </w:rPr>
        <w:t xml:space="preserve"> the correctness of</w:t>
      </w:r>
      <w:r>
        <w:rPr>
          <w:sz w:val="20"/>
          <w:szCs w:val="20"/>
          <w:lang w:eastAsia="de-DE"/>
        </w:rPr>
        <w:t xml:space="preserve"> equation</w:t>
      </w:r>
      <w:r w:rsidRPr="004233D5">
        <w:rPr>
          <w:sz w:val="20"/>
          <w:szCs w:val="20"/>
          <w:lang w:eastAsia="de-DE"/>
        </w:rPr>
        <w:t xml:space="preserve"> (2) and </w:t>
      </w:r>
      <w:r>
        <w:rPr>
          <w:sz w:val="20"/>
          <w:szCs w:val="20"/>
          <w:lang w:eastAsia="de-DE"/>
        </w:rPr>
        <w:t>the</w:t>
      </w:r>
      <w:r w:rsidRPr="004233D5">
        <w:rPr>
          <w:sz w:val="20"/>
          <w:szCs w:val="20"/>
          <w:lang w:eastAsia="de-DE"/>
        </w:rPr>
        <w:t xml:space="preserve"> regression and decomposition </w:t>
      </w:r>
      <w:r>
        <w:rPr>
          <w:sz w:val="20"/>
          <w:szCs w:val="20"/>
          <w:lang w:eastAsia="de-DE"/>
        </w:rPr>
        <w:t>algorithms</w:t>
      </w:r>
      <w:r w:rsidRPr="004233D5">
        <w:rPr>
          <w:sz w:val="20"/>
          <w:szCs w:val="20"/>
          <w:lang w:eastAsia="de-DE"/>
        </w:rPr>
        <w:t xml:space="preserve"> </w:t>
      </w:r>
      <w:r>
        <w:rPr>
          <w:sz w:val="20"/>
          <w:szCs w:val="20"/>
          <w:lang w:eastAsia="de-DE"/>
        </w:rPr>
        <w:t xml:space="preserve">used in Step 1 and Step </w:t>
      </w:r>
      <w:r w:rsidR="00714D00">
        <w:rPr>
          <w:sz w:val="20"/>
          <w:szCs w:val="20"/>
          <w:lang w:eastAsia="de-DE"/>
        </w:rPr>
        <w:t xml:space="preserve">2 </w:t>
      </w:r>
      <w:r>
        <w:rPr>
          <w:sz w:val="20"/>
          <w:szCs w:val="20"/>
          <w:lang w:eastAsia="de-DE"/>
        </w:rPr>
        <w:t>use</w:t>
      </w:r>
      <w:r w:rsidRPr="004233D5">
        <w:rPr>
          <w:sz w:val="20"/>
          <w:szCs w:val="20"/>
          <w:lang w:eastAsia="de-DE"/>
        </w:rPr>
        <w:t xml:space="preserve"> </w:t>
      </w:r>
      <w:r>
        <w:rPr>
          <w:sz w:val="20"/>
          <w:szCs w:val="20"/>
          <w:lang w:eastAsia="de-DE"/>
        </w:rPr>
        <w:t>equation</w:t>
      </w:r>
      <w:r w:rsidR="0091617C">
        <w:rPr>
          <w:sz w:val="20"/>
          <w:szCs w:val="20"/>
          <w:lang w:eastAsia="de-DE"/>
        </w:rPr>
        <w:t xml:space="preserve"> (2)</w:t>
      </w:r>
      <w:r>
        <w:rPr>
          <w:sz w:val="20"/>
          <w:szCs w:val="20"/>
          <w:lang w:eastAsia="de-DE"/>
        </w:rPr>
        <w:t xml:space="preserve"> as</w:t>
      </w:r>
      <w:r w:rsidR="0091617C">
        <w:rPr>
          <w:sz w:val="20"/>
          <w:szCs w:val="20"/>
          <w:lang w:eastAsia="de-DE"/>
        </w:rPr>
        <w:t xml:space="preserve"> curve</w:t>
      </w:r>
      <w:r>
        <w:rPr>
          <w:sz w:val="20"/>
          <w:szCs w:val="20"/>
          <w:lang w:eastAsia="de-DE"/>
        </w:rPr>
        <w:t xml:space="preserve"> </w:t>
      </w:r>
      <w:r w:rsidR="0091617C">
        <w:rPr>
          <w:sz w:val="20"/>
          <w:szCs w:val="20"/>
          <w:lang w:eastAsia="de-DE"/>
        </w:rPr>
        <w:t>model</w:t>
      </w:r>
      <w:r>
        <w:rPr>
          <w:sz w:val="20"/>
          <w:szCs w:val="20"/>
          <w:lang w:eastAsia="de-DE"/>
        </w:rPr>
        <w:t>.</w:t>
      </w:r>
    </w:p>
    <w:p w14:paraId="29A266E7" w14:textId="6FDADE12" w:rsidR="004233D5" w:rsidRDefault="00722B22" w:rsidP="004233D5">
      <w:pPr>
        <w:pStyle w:val="Absatz"/>
        <w:rPr>
          <w:sz w:val="20"/>
          <w:szCs w:val="20"/>
          <w:lang w:eastAsia="de-DE"/>
        </w:rPr>
      </w:pPr>
      <w:r>
        <w:rPr>
          <w:sz w:val="20"/>
          <w:szCs w:val="20"/>
          <w:lang w:eastAsia="de-DE"/>
        </w:rPr>
        <w:t>Equation (2) demands the data set to meet the following further requirements:</w:t>
      </w:r>
    </w:p>
    <w:p w14:paraId="70E82F41" w14:textId="77777777" w:rsidR="00714D00" w:rsidRDefault="00714D00" w:rsidP="00714D00">
      <w:pPr>
        <w:numPr>
          <w:ilvl w:val="0"/>
          <w:numId w:val="6"/>
        </w:numPr>
        <w:suppressAutoHyphens/>
        <w:spacing w:line="480" w:lineRule="auto"/>
      </w:pPr>
      <w:r>
        <w:t>Identical stimulation and detection settings for all measurements</w:t>
      </w:r>
    </w:p>
    <w:p w14:paraId="143815F3" w14:textId="2067C9D6" w:rsidR="00722B22" w:rsidRDefault="00722B22" w:rsidP="00722B22">
      <w:pPr>
        <w:numPr>
          <w:ilvl w:val="0"/>
          <w:numId w:val="6"/>
        </w:numPr>
        <w:suppressAutoHyphens/>
        <w:spacing w:line="480" w:lineRule="auto"/>
      </w:pPr>
      <w:r>
        <w:t>Corrected or negligible signal background</w:t>
      </w:r>
    </w:p>
    <w:p w14:paraId="437D5297" w14:textId="71FD767D" w:rsidR="00722B22" w:rsidRDefault="00722B22" w:rsidP="00722B22">
      <w:pPr>
        <w:numPr>
          <w:ilvl w:val="0"/>
          <w:numId w:val="6"/>
        </w:numPr>
        <w:suppressAutoHyphens/>
        <w:spacing w:line="480" w:lineRule="auto"/>
      </w:pPr>
      <w:r>
        <w:t>Corrected or negligible detector non-linearity</w:t>
      </w:r>
    </w:p>
    <w:p w14:paraId="7D245C9C" w14:textId="58474581" w:rsidR="00AA0AE0" w:rsidRPr="004233D5" w:rsidRDefault="00AF0701" w:rsidP="00714D00">
      <w:pPr>
        <w:pStyle w:val="Absatz"/>
        <w:rPr>
          <w:sz w:val="20"/>
          <w:szCs w:val="20"/>
        </w:rPr>
      </w:pPr>
      <w:r>
        <w:rPr>
          <w:sz w:val="20"/>
          <w:szCs w:val="20"/>
          <w:lang w:eastAsia="de-DE"/>
        </w:rPr>
        <w:t>It is the</w:t>
      </w:r>
      <w:r w:rsidR="00714D00">
        <w:rPr>
          <w:sz w:val="20"/>
          <w:szCs w:val="20"/>
          <w:lang w:eastAsia="de-DE"/>
        </w:rPr>
        <w:t xml:space="preserve"> task of</w:t>
      </w:r>
      <w:r w:rsidR="00CF67AC">
        <w:rPr>
          <w:sz w:val="20"/>
          <w:szCs w:val="20"/>
          <w:lang w:eastAsia="de-DE"/>
        </w:rPr>
        <w:t xml:space="preserve"> s</w:t>
      </w:r>
      <w:r w:rsidR="00714D00">
        <w:rPr>
          <w:sz w:val="20"/>
          <w:szCs w:val="20"/>
          <w:lang w:eastAsia="de-DE"/>
        </w:rPr>
        <w:t>tep 0 in figure 1 is to check requirement 1 and eventually correct the data set to meet requirement 2 and 3.</w:t>
      </w:r>
      <w:r w:rsidR="00CF77AC" w:rsidRPr="004233D5">
        <w:rPr>
          <w:sz w:val="20"/>
          <w:szCs w:val="20"/>
        </w:rPr>
        <w:t xml:space="preserve"> </w:t>
      </w:r>
    </w:p>
    <w:p w14:paraId="5746F1BB" w14:textId="77777777" w:rsidR="00505D2B" w:rsidRDefault="00505D2B" w:rsidP="00505D2B"/>
    <w:p w14:paraId="057DF162" w14:textId="7D827807" w:rsidR="00505D2B" w:rsidRDefault="00505D2B" w:rsidP="00F1495C">
      <w:pPr>
        <w:pStyle w:val="berschrift2"/>
      </w:pPr>
      <w:r>
        <w:lastRenderedPageBreak/>
        <w:t xml:space="preserve">2.2 </w:t>
      </w:r>
      <w:r w:rsidR="00430FEC">
        <w:t xml:space="preserve">Step 1 - </w:t>
      </w:r>
      <w:r w:rsidR="00F1495C">
        <w:t>Signal component identification</w:t>
      </w:r>
    </w:p>
    <w:p w14:paraId="67B33EC3" w14:textId="77777777" w:rsidR="005C7737" w:rsidRDefault="005C7737" w:rsidP="00856F04"/>
    <w:p w14:paraId="0BEDF962" w14:textId="23581181" w:rsidR="00370A9E" w:rsidRDefault="005C7737" w:rsidP="005C7737">
      <w:pPr>
        <w:jc w:val="center"/>
      </w:pPr>
      <w:r>
        <w:rPr>
          <w:noProof/>
          <w:lang w:eastAsia="en-GB"/>
        </w:rPr>
        <w:drawing>
          <wp:inline distT="0" distB="0" distL="0" distR="0" wp14:anchorId="3885C6A2" wp14:editId="2B994808">
            <wp:extent cx="3895200" cy="44856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5200" cy="4485600"/>
                    </a:xfrm>
                    <a:prstGeom prst="rect">
                      <a:avLst/>
                    </a:prstGeom>
                    <a:noFill/>
                    <a:ln>
                      <a:noFill/>
                    </a:ln>
                  </pic:spPr>
                </pic:pic>
              </a:graphicData>
            </a:graphic>
          </wp:inline>
        </w:drawing>
      </w:r>
    </w:p>
    <w:p w14:paraId="6A742AB3" w14:textId="0B419C2E" w:rsidR="00370A9E" w:rsidRPr="00AC0368" w:rsidRDefault="00370A9E" w:rsidP="00370A9E">
      <w:pPr>
        <w:pStyle w:val="Beschriftung"/>
        <w:rPr>
          <w:b w:val="0"/>
        </w:rPr>
      </w:pPr>
      <w:r>
        <w:t xml:space="preserve">Figure </w:t>
      </w:r>
      <w:fldSimple w:instr=" SEQ Figure \* ARABIC ">
        <w:r>
          <w:rPr>
            <w:noProof/>
          </w:rPr>
          <w:t>2</w:t>
        </w:r>
      </w:fldSimple>
      <w:r>
        <w:t xml:space="preserve">: </w:t>
      </w:r>
      <w:r w:rsidR="005C7737">
        <w:rPr>
          <w:b w:val="0"/>
        </w:rPr>
        <w:t xml:space="preserve">Workflow of the global CW-OSL signal component identification for a given data set. Step 1.2 is identical to the multi-exponential fitting approach of Bluszcz &amp; Adamiec (2006). </w:t>
      </w:r>
      <w:r w:rsidR="005C7737" w:rsidRPr="00AC0368">
        <w:rPr>
          <w:b w:val="0"/>
        </w:rPr>
        <w:t xml:space="preserve">Grey highlighted: Associated </w:t>
      </w:r>
      <w:r w:rsidR="005C7737" w:rsidRPr="00AC0368">
        <w:t>R</w:t>
      </w:r>
      <w:r w:rsidR="005C7737" w:rsidRPr="00AC0368">
        <w:rPr>
          <w:b w:val="0"/>
        </w:rPr>
        <w:t xml:space="preserve"> commands from package ‘OSLdecomposition’</w:t>
      </w:r>
    </w:p>
    <w:p w14:paraId="258AB4D9" w14:textId="2067AD55" w:rsidR="00CF67AC" w:rsidRDefault="00CF67AC" w:rsidP="00CF67AC">
      <w:r w:rsidRPr="00856F04">
        <w:t xml:space="preserve">One major goal </w:t>
      </w:r>
      <w:r>
        <w:t>during the development of the presented methods was</w:t>
      </w:r>
      <w:r w:rsidRPr="00856F04">
        <w:t xml:space="preserve"> to provide </w:t>
      </w:r>
      <w:r w:rsidR="00CA4485">
        <w:t>CW-</w:t>
      </w:r>
      <w:r w:rsidRPr="00856F04">
        <w:t>OSL signal decomposition even for measurements with weak signals. Fitting equatio</w:t>
      </w:r>
      <w:r w:rsidRPr="00F6012C">
        <w:t>n (</w:t>
      </w:r>
      <w:r w:rsidR="00F6012C">
        <w:t>1</w:t>
      </w:r>
      <w:r w:rsidRPr="00F6012C">
        <w:t>)</w:t>
      </w:r>
      <w:r w:rsidR="00F6012C">
        <w:t xml:space="preserve"> or (2)</w:t>
      </w:r>
      <w:r w:rsidRPr="00856F04">
        <w:t xml:space="preserve"> with </w:t>
      </w:r>
      <w:r w:rsidR="009E6B31">
        <w:t>all parameter unknown</w:t>
      </w:r>
      <w:r w:rsidR="00F6012C">
        <w:t xml:space="preserve"> to </w:t>
      </w:r>
      <w:r w:rsidRPr="00856F04">
        <w:t>low-SNR curve</w:t>
      </w:r>
      <w:r w:rsidR="00F6012C">
        <w:t>s</w:t>
      </w:r>
      <w:r w:rsidRPr="00856F04">
        <w:t xml:space="preserve"> </w:t>
      </w:r>
      <w:r>
        <w:t>has a high likelihood of</w:t>
      </w:r>
      <w:r w:rsidRPr="00856F04">
        <w:t xml:space="preserve"> fail</w:t>
      </w:r>
      <w:r>
        <w:t>ure</w:t>
      </w:r>
      <w:r w:rsidR="00F6012C">
        <w:t xml:space="preserve"> or false results</w:t>
      </w:r>
      <w:r w:rsidRPr="00856F04">
        <w:t xml:space="preserve">, </w:t>
      </w:r>
      <w:r>
        <w:t xml:space="preserve">depending on the used algorithm and </w:t>
      </w:r>
      <w:r w:rsidRPr="00856F04">
        <w:t>the accuracy of the start parameters.</w:t>
      </w:r>
      <w:r w:rsidR="00CA4485">
        <w:t xml:space="preserve"> </w:t>
      </w:r>
      <w:r w:rsidRPr="00856F04">
        <w:t>Therefore, an ap</w:t>
      </w:r>
      <w:r w:rsidR="00CA4485">
        <w:t xml:space="preserve">proach to increase SNR prior </w:t>
      </w:r>
      <w:r w:rsidRPr="00856F04">
        <w:t xml:space="preserve">fitting is necessary. </w:t>
      </w:r>
    </w:p>
    <w:p w14:paraId="2E5C28BD" w14:textId="28B036E4" w:rsidR="00505D2B" w:rsidRDefault="00856F04" w:rsidP="000C4FD5">
      <w:pPr>
        <w:pStyle w:val="berschrift3"/>
      </w:pPr>
      <w:r>
        <w:lastRenderedPageBreak/>
        <w:t>2.2.1 Global average curve</w:t>
      </w:r>
    </w:p>
    <w:p w14:paraId="60EF3B7C" w14:textId="2509D7CC" w:rsidR="00856F04" w:rsidRDefault="00A35729" w:rsidP="00856F04">
      <w:r>
        <w:t>In step 1.1</w:t>
      </w:r>
      <w:r w:rsidR="004D2EEA">
        <w:t>,</w:t>
      </w:r>
      <w:r>
        <w:t xml:space="preserve"> outlined in figure 2, the R</w:t>
      </w:r>
      <w:r w:rsidR="00856F04" w:rsidRPr="00856F04">
        <w:t xml:space="preserve"> function </w:t>
      </w:r>
      <w:r w:rsidR="00856F04" w:rsidRPr="003E4B01">
        <w:rPr>
          <w:rStyle w:val="RCodeZchn"/>
        </w:rPr>
        <w:t>sum_OSLcurves()</w:t>
      </w:r>
      <w:r w:rsidR="00856F04" w:rsidRPr="00856F04">
        <w:t xml:space="preserve"> returns a sufficient-SNR curve by calculating one arithmetic mean</w:t>
      </w:r>
      <w:r>
        <w:t xml:space="preserve"> CW-</w:t>
      </w:r>
      <w:r w:rsidR="00856F04" w:rsidRPr="00856F04">
        <w:t xml:space="preserve">OSL curve from all CW-OSL curves </w:t>
      </w:r>
      <w:r w:rsidR="003E4B01">
        <w:t xml:space="preserve">of </w:t>
      </w:r>
      <w:r w:rsidR="00856F04" w:rsidRPr="00856F04">
        <w:t>a data set</w:t>
      </w:r>
      <w:r>
        <w:t xml:space="preserve">. </w:t>
      </w:r>
      <w:r w:rsidR="00CF67AC">
        <w:t xml:space="preserve">The data point values </w:t>
      </w:r>
      <m:oMath>
        <m:sSub>
          <m:sSubPr>
            <m:ctrlPr>
              <w:rPr>
                <w:rFonts w:ascii="Cambria Math" w:hAnsi="Cambria Math"/>
                <w:i/>
              </w:rPr>
            </m:ctrlPr>
          </m:sSubPr>
          <m:e>
            <m:r>
              <w:rPr>
                <w:rFonts w:ascii="Cambria Math" w:hAnsi="Cambria Math"/>
              </w:rPr>
              <m:t xml:space="preserve"> </m:t>
            </m:r>
            <m:acc>
              <m:accPr>
                <m:chr m:val="̅"/>
                <m:ctrlPr>
                  <w:rPr>
                    <w:rFonts w:ascii="Cambria Math" w:hAnsi="Cambria Math"/>
                    <w:i/>
                  </w:rPr>
                </m:ctrlPr>
              </m:accPr>
              <m:e>
                <m:r>
                  <w:rPr>
                    <w:rFonts w:ascii="Cambria Math" w:hAnsi="Cambria Math"/>
                  </w:rPr>
                  <m:t>I</m:t>
                </m:r>
              </m:e>
            </m:acc>
          </m:e>
          <m:sub>
            <m:r>
              <w:rPr>
                <w:rFonts w:ascii="Cambria Math" w:hAnsi="Cambria Math"/>
              </w:rPr>
              <m:t>i</m:t>
            </m:r>
          </m:sub>
        </m:sSub>
      </m:oMath>
      <w:r w:rsidR="00CF67AC">
        <w:t xml:space="preserve"> and their standard deviations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i</m:t>
            </m:r>
          </m:sub>
        </m:sSub>
      </m:oMath>
      <w:r w:rsidR="00CF67AC">
        <w:t xml:space="preserve"> of this reference CW-OSL curve are then given by:</w:t>
      </w:r>
    </w:p>
    <w:tbl>
      <w:tblPr>
        <w:tblW w:w="8788" w:type="dxa"/>
        <w:jc w:val="center"/>
        <w:tblLayout w:type="fixed"/>
        <w:tblCellMar>
          <w:left w:w="10" w:type="dxa"/>
          <w:right w:w="10" w:type="dxa"/>
        </w:tblCellMar>
        <w:tblLook w:val="0000" w:firstRow="0" w:lastRow="0" w:firstColumn="0" w:lastColumn="0" w:noHBand="0" w:noVBand="0"/>
      </w:tblPr>
      <w:tblGrid>
        <w:gridCol w:w="3346"/>
        <w:gridCol w:w="2552"/>
        <w:gridCol w:w="2211"/>
        <w:gridCol w:w="679"/>
      </w:tblGrid>
      <w:tr w:rsidR="00CF67AC" w:rsidRPr="004233D5" w14:paraId="3DD1E9FD" w14:textId="77777777" w:rsidTr="00D5773E">
        <w:trPr>
          <w:jc w:val="center"/>
        </w:trPr>
        <w:tc>
          <w:tcPr>
            <w:tcW w:w="3346" w:type="dxa"/>
            <w:vAlign w:val="center"/>
          </w:tcPr>
          <w:p w14:paraId="385AA37F" w14:textId="6F329BED" w:rsidR="00CF67AC" w:rsidRPr="00A35729" w:rsidRDefault="00D76F7B" w:rsidP="00CF67AC">
            <w:pPr>
              <w:jc w:val="center"/>
            </w:pPr>
            <m:oMathPara>
              <m:oMath>
                <m:sSub>
                  <m:sSubPr>
                    <m:ctrlPr>
                      <w:rPr>
                        <w:rFonts w:ascii="Cambria Math" w:hAnsi="Cambria Math"/>
                        <w:i/>
                      </w:rPr>
                    </m:ctrlPr>
                  </m:sSubPr>
                  <m:e>
                    <m:r>
                      <w:rPr>
                        <w:rFonts w:ascii="Cambria Math" w:hAnsi="Cambria Math"/>
                      </w:rPr>
                      <m:t xml:space="preserve">                     </m:t>
                    </m:r>
                    <m:acc>
                      <m:accPr>
                        <m:chr m:val="̅"/>
                        <m:ctrlPr>
                          <w:rPr>
                            <w:rFonts w:ascii="Cambria Math" w:hAnsi="Cambria Math"/>
                            <w:i/>
                          </w:rPr>
                        </m:ctrlPr>
                      </m:accPr>
                      <m:e>
                        <m:r>
                          <w:rPr>
                            <w:rFonts w:ascii="Cambria Math" w:hAnsi="Cambria Math"/>
                          </w:rPr>
                          <m:t>I</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I</m:t>
                        </m:r>
                      </m:e>
                      <m:sub>
                        <m:r>
                          <w:rPr>
                            <w:rFonts w:ascii="Cambria Math" w:hAnsi="Cambria Math"/>
                          </w:rPr>
                          <m:t>i,m</m:t>
                        </m:r>
                      </m:sub>
                    </m:sSub>
                  </m:e>
                </m:nary>
              </m:oMath>
            </m:oMathPara>
          </w:p>
        </w:tc>
        <w:tc>
          <w:tcPr>
            <w:tcW w:w="2552" w:type="dxa"/>
            <w:vAlign w:val="center"/>
          </w:tcPr>
          <w:p w14:paraId="083F0C8B" w14:textId="17D57289" w:rsidR="00CF67AC" w:rsidRPr="00A35729" w:rsidRDefault="00D76F7B" w:rsidP="00CF67AC">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Sup>
                          <m:sSubSupPr>
                            <m:ctrlPr>
                              <w:rPr>
                                <w:rFonts w:ascii="Cambria Math" w:hAnsi="Cambria Math"/>
                                <w:i/>
                              </w:rPr>
                            </m:ctrlPr>
                          </m:sSubSupPr>
                          <m:e>
                            <m:r>
                              <w:rPr>
                                <w:rFonts w:ascii="Cambria Math" w:hAnsi="Cambria Math"/>
                              </w:rPr>
                              <m:t>σ</m:t>
                            </m:r>
                          </m:e>
                          <m:sub>
                            <m:r>
                              <w:rPr>
                                <w:rFonts w:ascii="Cambria Math" w:hAnsi="Cambria Math"/>
                              </w:rPr>
                              <m:t>i,m</m:t>
                            </m:r>
                          </m:sub>
                          <m:sup>
                            <m:r>
                              <w:rPr>
                                <w:rFonts w:ascii="Cambria Math" w:hAnsi="Cambria Math"/>
                              </w:rPr>
                              <m:t>2</m:t>
                            </m:r>
                          </m:sup>
                        </m:sSubSup>
                      </m:e>
                    </m:nary>
                  </m:e>
                </m:rad>
              </m:oMath>
            </m:oMathPara>
          </w:p>
        </w:tc>
        <w:tc>
          <w:tcPr>
            <w:tcW w:w="2211" w:type="dxa"/>
            <w:vAlign w:val="center"/>
          </w:tcPr>
          <w:p w14:paraId="14EA6A95" w14:textId="633A48A5" w:rsidR="00CF67AC" w:rsidRPr="00A35729" w:rsidRDefault="00CF67AC" w:rsidP="00CF67AC">
            <w:pPr>
              <w:jc w:val="center"/>
              <w:rPr>
                <w:rFonts w:ascii="Cambria Math" w:hAnsi="Cambria Math"/>
                <w:oMath/>
              </w:rPr>
            </w:pPr>
            <m:oMathPara>
              <m:oMath>
                <m:r>
                  <w:rPr>
                    <w:rFonts w:ascii="Cambria Math" w:hAnsi="Cambria Math"/>
                  </w:rPr>
                  <m:t>i=1, 2, 3,…,N</m:t>
                </m:r>
              </m:oMath>
            </m:oMathPara>
          </w:p>
        </w:tc>
        <w:tc>
          <w:tcPr>
            <w:tcW w:w="679" w:type="dxa"/>
            <w:vAlign w:val="center"/>
          </w:tcPr>
          <w:p w14:paraId="00079453" w14:textId="1D4FC5A9" w:rsidR="00CF67AC" w:rsidRPr="00A35729" w:rsidRDefault="00CF67AC" w:rsidP="00CF67AC">
            <w:pPr>
              <w:jc w:val="center"/>
            </w:pPr>
            <w:r w:rsidRPr="00A35729">
              <w:t>(</w:t>
            </w:r>
            <w:r>
              <w:t>3</w:t>
            </w:r>
            <w:r w:rsidRPr="00A35729">
              <w:t>)</w:t>
            </w:r>
          </w:p>
        </w:tc>
      </w:tr>
    </w:tbl>
    <w:p w14:paraId="490CBC84" w14:textId="3562C702" w:rsidR="00EB1313" w:rsidRPr="00856F04" w:rsidRDefault="00D5773E" w:rsidP="000C4FD5">
      <w:r>
        <w:t xml:space="preserve">Here, </w:t>
      </w:r>
      <m:oMath>
        <m:r>
          <w:rPr>
            <w:rFonts w:ascii="Cambria Math" w:hAnsi="Cambria Math"/>
          </w:rPr>
          <m:t>M</m:t>
        </m:r>
      </m:oMath>
      <w:r>
        <w:t xml:space="preserve"> is the number of all CW-OSL curves in the data set and </w:t>
      </w:r>
      <m:oMath>
        <m:r>
          <w:rPr>
            <w:rFonts w:ascii="Cambria Math" w:hAnsi="Cambria Math"/>
          </w:rPr>
          <m:t>m</m:t>
        </m:r>
      </m:oMath>
      <w:r>
        <w:t xml:space="preserve"> is the index of each particular one. </w:t>
      </w:r>
      <w:r w:rsidR="00856F04" w:rsidRPr="00856F04">
        <w:t xml:space="preserve">The signal values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i</m:t>
            </m:r>
          </m:sub>
        </m:sSub>
      </m:oMath>
      <w:r w:rsidR="00856F04" w:rsidRPr="00856F04">
        <w:t xml:space="preserve"> ha</w:t>
      </w:r>
      <w:r>
        <w:t>ve</w:t>
      </w:r>
      <w:r w:rsidR="00856F04" w:rsidRPr="00856F04">
        <w:t xml:space="preserve"> the same order of magnitude as their corresponding signal values</w:t>
      </w:r>
      <m:oMath>
        <m:sSub>
          <m:sSubPr>
            <m:ctrlPr>
              <w:rPr>
                <w:rFonts w:ascii="Cambria Math" w:hAnsi="Cambria Math"/>
                <w:i/>
              </w:rPr>
            </m:ctrlPr>
          </m:sSubPr>
          <m:e>
            <m:r>
              <w:rPr>
                <w:rFonts w:ascii="Cambria Math" w:hAnsi="Cambria Math"/>
              </w:rPr>
              <m:t xml:space="preserve"> I</m:t>
            </m:r>
          </m:e>
          <m:sub>
            <m:r>
              <w:rPr>
                <w:rFonts w:ascii="Cambria Math" w:hAnsi="Cambria Math"/>
              </w:rPr>
              <m:t>i.m</m:t>
            </m:r>
          </m:sub>
        </m:sSub>
      </m:oMath>
      <w:r w:rsidR="00856F04" w:rsidRPr="00856F04">
        <w:t xml:space="preserve"> in the majority of CW-OSL curves of the data set</w:t>
      </w:r>
      <w:r w:rsidR="002859B1">
        <w:t xml:space="preserve">. But because of the square root, </w:t>
      </w:r>
      <w:r w:rsidR="00856F04" w:rsidRPr="00856F04">
        <w:t xml:space="preserve">the </w:t>
      </w:r>
      <w:r>
        <w:t>signal errors</w:t>
      </w:r>
      <w:r w:rsidR="00856F04" w:rsidRPr="00856F04">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i</m:t>
            </m:r>
          </m:sub>
        </m:sSub>
      </m:oMath>
      <w:r w:rsidR="00856F04" w:rsidRPr="00856F04">
        <w:t xml:space="preserve"> will be </w:t>
      </w:r>
      <w:r>
        <w:t>one or two magnitudes of order</w:t>
      </w:r>
      <w:r w:rsidR="00856F04" w:rsidRPr="00856F04">
        <w:t xml:space="preserve"> smaller than the single</w:t>
      </w:r>
      <w:r>
        <w:t xml:space="preserve"> CW-OSL</w:t>
      </w:r>
      <w:r w:rsidR="00856F04" w:rsidRPr="00856F04">
        <w:t xml:space="preserve"> curve error</w:t>
      </w:r>
      <w:r>
        <w:t xml:space="preserve"> values</w:t>
      </w:r>
      <w:r w:rsidR="00856F04" w:rsidRPr="00856F04">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i.m</m:t>
            </m:r>
          </m:sub>
          <m:sup>
            <m:r>
              <w:rPr>
                <w:rFonts w:ascii="Cambria Math" w:hAnsi="Cambria Math"/>
              </w:rPr>
              <m:t xml:space="preserve"> </m:t>
            </m:r>
          </m:sup>
        </m:sSubSup>
      </m:oMath>
      <w:r w:rsidR="00282EA5">
        <w:t xml:space="preserve"> depending on the number CW-OSL curves and the</w:t>
      </w:r>
      <w:r w:rsidR="002859B1">
        <w:t>i</w:t>
      </w:r>
      <w:r w:rsidR="00282EA5">
        <w:t>r homogeneity regarding error values.</w:t>
      </w:r>
      <w:r w:rsidR="00856F04" w:rsidRPr="00856F04">
        <w:t xml:space="preserve"> Thi</w:t>
      </w:r>
      <w:r>
        <w:t>s allows us to fit (</w:t>
      </w:r>
      <w:r w:rsidR="00856F04" w:rsidRPr="00856F04">
        <w:t xml:space="preserve">2) </w:t>
      </w:r>
      <w:r w:rsidR="00282EA5">
        <w:t xml:space="preserve">onto the reference CW-OSL curve </w:t>
      </w:r>
      <w:r w:rsidR="00856F04" w:rsidRPr="00856F04">
        <w:t xml:space="preserve">with high </w:t>
      </w:r>
      <w:r>
        <w:t>accuracy and</w:t>
      </w:r>
      <w:r w:rsidR="00856F04" w:rsidRPr="00856F04">
        <w:t xml:space="preserve"> precision even if the single curves provide only low-SNR signals.</w:t>
      </w:r>
    </w:p>
    <w:p w14:paraId="2D0B3BF3" w14:textId="1F4C99D9" w:rsidR="00856F04" w:rsidRPr="00856F04" w:rsidRDefault="00EB1313" w:rsidP="00856F04">
      <w:r>
        <w:t xml:space="preserve">It has to be noted, that using a reference CW-OSL </w:t>
      </w:r>
      <w:r w:rsidR="00856F04" w:rsidRPr="00856F04">
        <w:t>curve to determine the decay constants is mathematically allowed because we assume</w:t>
      </w:r>
      <w:r>
        <w:t>d</w:t>
      </w:r>
      <w:r w:rsidR="00856F04" w:rsidRPr="00856F04">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K</m:t>
            </m:r>
          </m:sub>
        </m:sSub>
      </m:oMath>
      <w:r w:rsidR="00856F04" w:rsidRPr="00856F04">
        <w:t xml:space="preserve"> as global constants. Thus the values of the term (</w:t>
      </w:r>
      <m:oMath>
        <m:sSup>
          <m:sSupPr>
            <m:ctrlPr>
              <w:rPr>
                <w:rFonts w:ascii="Cambria Math" w:hAnsi="Cambria Math"/>
                <w:i/>
              </w:rPr>
            </m:ctrlPr>
          </m:sSupPr>
          <m:e>
            <m:r>
              <m:rPr>
                <m:nor/>
              </m: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k</m:t>
                </m:r>
              </m:sub>
            </m:sSub>
            <m:r>
              <w:rPr>
                <w:rFonts w:ascii="Cambria Math" w:hAnsi="Cambria Math"/>
              </w:rPr>
              <m:t>(i-1)∆t</m:t>
            </m:r>
          </m:sup>
        </m:sSup>
        <m:r>
          <w:rPr>
            <w:rFonts w:ascii="Cambria Math" w:hAnsi="Cambria Math"/>
          </w:rPr>
          <m:t>-</m:t>
        </m:r>
        <m:sSup>
          <m:sSupPr>
            <m:ctrlPr>
              <w:rPr>
                <w:rFonts w:ascii="Cambria Math" w:hAnsi="Cambria Math"/>
                <w:i/>
              </w:rPr>
            </m:ctrlPr>
          </m:sSupPr>
          <m:e>
            <m:r>
              <m:rPr>
                <m:nor/>
              </m: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k</m:t>
                </m:r>
              </m:sub>
            </m:sSub>
            <m:r>
              <w:rPr>
                <w:rFonts w:ascii="Cambria Math" w:hAnsi="Cambria Math"/>
              </w:rPr>
              <m:t>i∆t</m:t>
            </m:r>
          </m:sup>
        </m:sSup>
        <m:r>
          <w:rPr>
            <w:rFonts w:ascii="Cambria Math" w:hAnsi="Cambria Math"/>
          </w:rPr>
          <m:t>)</m:t>
        </m:r>
      </m:oMath>
      <w:r>
        <w:t xml:space="preserve"> in equation (</w:t>
      </w:r>
      <w:r w:rsidR="00856F04" w:rsidRPr="00856F04">
        <w:t xml:space="preserve">2) remain static throughout the data set and just vary with the indices </w:t>
      </w:r>
      <m:oMath>
        <m:r>
          <w:rPr>
            <w:rFonts w:ascii="Cambria Math" w:hAnsi="Cambria Math"/>
          </w:rPr>
          <m:t>i</m:t>
        </m:r>
      </m:oMath>
      <w:r w:rsidR="00856F04" w:rsidRPr="00856F04">
        <w:t xml:space="preserve"> and</w:t>
      </w:r>
      <m:oMath>
        <m:r>
          <w:rPr>
            <w:rFonts w:ascii="Cambria Math" w:hAnsi="Cambria Math"/>
          </w:rPr>
          <m:t xml:space="preserve"> k</m:t>
        </m:r>
      </m:oMath>
      <w:r w:rsidR="00856F04" w:rsidRPr="00856F04">
        <w:t xml:space="preserve">. The only parameters varying from </w:t>
      </w:r>
      <w:r>
        <w:t>CW-</w:t>
      </w:r>
      <w:r w:rsidR="00856F04" w:rsidRPr="00856F04">
        <w:t xml:space="preserve">OSL curve to </w:t>
      </w:r>
      <w:r>
        <w:t>CW-</w:t>
      </w:r>
      <w:r w:rsidR="00856F04" w:rsidRPr="00856F04">
        <w:t xml:space="preserve">OSL curve are the </w:t>
      </w:r>
      <w:r w:rsidR="007B403B">
        <w:t>component</w:t>
      </w:r>
      <w:r w:rsidR="00856F04" w:rsidRPr="00856F04">
        <w:t xml:space="preserve"> </w:t>
      </w:r>
      <w:proofErr w:type="gramStart"/>
      <w:r w:rsidR="007D7B34">
        <w:t xml:space="preserve">intensities </w:t>
      </w:r>
      <w:proofErr w:type="gramEnd"/>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K</m:t>
            </m:r>
          </m:sub>
        </m:sSub>
      </m:oMath>
      <w:r w:rsidR="00856F04" w:rsidRPr="00856F04">
        <w:t xml:space="preserve">. </w:t>
      </w:r>
      <w:r w:rsidR="007B403B">
        <w:t>Fitting the reference CW-OSL curve gives back the arithmetic mean of the component intensities.</w:t>
      </w:r>
    </w:p>
    <w:p w14:paraId="0942D89D" w14:textId="181B7ADD" w:rsidR="00856F04" w:rsidRDefault="00856F04" w:rsidP="000C4FD5">
      <w:pPr>
        <w:pStyle w:val="berschrift3"/>
      </w:pPr>
      <w:r>
        <w:t xml:space="preserve">2.2.2 </w:t>
      </w:r>
      <w:r w:rsidR="000C4FD5">
        <w:t>Multi-component exponential decay fitting</w:t>
      </w:r>
    </w:p>
    <w:p w14:paraId="1638EC61" w14:textId="0A57988A" w:rsidR="004D2EEA" w:rsidRDefault="00D75A7F" w:rsidP="00AC6378">
      <w:r>
        <w:t>In step 1.2</w:t>
      </w:r>
      <w:r w:rsidR="004D2EEA">
        <w:t>,</w:t>
      </w:r>
      <w:r>
        <w:t xml:space="preserve"> </w:t>
      </w:r>
      <w:r w:rsidR="00C16574">
        <w:rPr>
          <w:rStyle w:val="RCodeZchn"/>
        </w:rPr>
        <w:t>fit</w:t>
      </w:r>
      <w:r w:rsidR="00C16574" w:rsidRPr="003E4B01">
        <w:rPr>
          <w:rStyle w:val="RCodeZchn"/>
        </w:rPr>
        <w:t>_OSLcurve()</w:t>
      </w:r>
      <w:r w:rsidR="00C16574" w:rsidRPr="00856F04">
        <w:t xml:space="preserve"> </w:t>
      </w:r>
      <w:r w:rsidR="00E0639F">
        <w:t>appl</w:t>
      </w:r>
      <w:r w:rsidR="00C16574">
        <w:t>ies</w:t>
      </w:r>
      <w:r w:rsidR="00E0639F">
        <w:t xml:space="preserve"> </w:t>
      </w:r>
      <w:r w:rsidR="004D2EEA">
        <w:t xml:space="preserve">the </w:t>
      </w:r>
      <w:r w:rsidR="004D2EEA" w:rsidRPr="004D2EEA">
        <w:t xml:space="preserve">multi-component exponential decay fitting </w:t>
      </w:r>
      <w:r w:rsidR="00C16574">
        <w:t>procedure</w:t>
      </w:r>
      <w:r w:rsidR="004D2EEA" w:rsidRPr="004D2EEA">
        <w:t xml:space="preserve"> </w:t>
      </w:r>
      <w:r w:rsidR="004D2EEA">
        <w:t>developed</w:t>
      </w:r>
      <w:r w:rsidR="004D2EEA" w:rsidRPr="004D2EEA">
        <w:t xml:space="preserve"> by </w:t>
      </w:r>
      <w:r w:rsidR="004D2EEA" w:rsidRPr="00990D08">
        <w:rPr>
          <w:rFonts w:cs="Calibri"/>
          <w:szCs w:val="22"/>
        </w:rPr>
        <w:t xml:space="preserve">Bluszcz and Adamiec (2006) </w:t>
      </w:r>
      <w:r w:rsidR="004D2EEA">
        <w:t>at the reference CW-OSL curve</w:t>
      </w:r>
      <w:r w:rsidR="00C16574">
        <w:t xml:space="preserve"> and returns the CW-OSL component parameters</w:t>
      </w:r>
      <w:r w:rsidR="004D2EEA">
        <w:t xml:space="preserve">. </w:t>
      </w:r>
      <w:r w:rsidR="00C16574">
        <w:t>For the further data analysis in step 2, just t</w:t>
      </w:r>
      <w:r w:rsidR="009E6B31">
        <w:t xml:space="preserve">he number of OSL components </w:t>
      </w:r>
      <m:oMath>
        <m:r>
          <w:rPr>
            <w:rFonts w:ascii="Cambria Math" w:hAnsi="Cambria Math"/>
          </w:rPr>
          <m:t>K</m:t>
        </m:r>
      </m:oMath>
      <w:r w:rsidR="009E6B31">
        <w:t xml:space="preserve"> and their decay </w:t>
      </w:r>
      <w:bookmarkStart w:id="0" w:name="_GoBack"/>
      <w:bookmarkEnd w:id="0"/>
      <w:r w:rsidR="009E6B31">
        <w:t xml:space="preserve">constants </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sidR="00C16574">
        <w:t xml:space="preserve"> are of relevance</w:t>
      </w:r>
      <w:r w:rsidR="009E6B31">
        <w:t xml:space="preserve">. We will give in this publication just a brief description </w:t>
      </w:r>
      <w:r w:rsidR="00C16574">
        <w:t xml:space="preserve">of the </w:t>
      </w:r>
      <w:r w:rsidR="00C16574">
        <w:fldChar w:fldCharType="begin"/>
      </w:r>
      <w:r w:rsidR="00C16574">
        <w:instrText xml:space="preserve"> ADDIN ZOTERO_ITEM CSL_CITATION {"citationID":"qPxuHwml","properties":{"formattedCitation":"(Bluszcz and Adamiec, 2006)","plainCitation":"(Bluszcz and Adamiec, 2006)","noteIndex":0},"citationItems":[{"id":72,"uris":["http://zotero.org/users/local/TzHpb2Bo/items/D3MHGTFZ"],"uri":["http://zotero.org/users/local/TzHpb2Bo/items/D3MHGTFZ"],"itemData":{"id":72,"type":"article-journal","container-title":"Radiation Measurements","DOI":"10.1016/j.radmeas.2006.05.016","ISSN":"13504487","issue":"7-8","language":"en","page":"886-891","source":"CrossRef","title":"Application of differential evolution to fitting OSL decay curves","volume":"41","author":[{"family":"Bluszcz","given":"A."},{"family":"Adamiec","given":"G."}],"issued":{"date-parts":[["2006",8]]}}}],"schema":"https://github.com/citation-style-language/schema/raw/master/csl-citation.json"} </w:instrText>
      </w:r>
      <w:r w:rsidR="00C16574">
        <w:fldChar w:fldCharType="separate"/>
      </w:r>
      <w:r w:rsidR="00F12705">
        <w:t>Bluszcz and Adamiec</w:t>
      </w:r>
      <w:r w:rsidR="00C16574" w:rsidRPr="00C16574">
        <w:t xml:space="preserve"> </w:t>
      </w:r>
      <w:r w:rsidR="00F12705">
        <w:t>(</w:t>
      </w:r>
      <w:r w:rsidR="00C16574" w:rsidRPr="00C16574">
        <w:t>2006)</w:t>
      </w:r>
      <w:r w:rsidR="00C16574">
        <w:fldChar w:fldCharType="end"/>
      </w:r>
      <w:r w:rsidR="00C16574">
        <w:t xml:space="preserve"> procedure. </w:t>
      </w:r>
      <w:r w:rsidR="00E8279E">
        <w:t>A</w:t>
      </w:r>
      <w:r w:rsidR="00C16574">
        <w:t xml:space="preserve"> throughout description</w:t>
      </w:r>
      <w:r w:rsidR="00E8279E">
        <w:t xml:space="preserve"> can be found there or </w:t>
      </w:r>
      <w:r w:rsidR="00265AE7">
        <w:t>in</w:t>
      </w:r>
      <w:r w:rsidR="00C16574">
        <w:t xml:space="preserve"> </w:t>
      </w:r>
      <w:r w:rsidR="00C16574">
        <w:fldChar w:fldCharType="begin"/>
      </w:r>
      <w:r w:rsidR="00C16574">
        <w:instrText xml:space="preserve"> ADDIN ZOTERO_ITEM CSL_CITATION {"citationID":"A40RHBOz","properties":{"formattedCitation":"(Mittelstra\\uc0\\u223{}, 2019)","plainCitation":"(Mittelstraß, 2019)","noteIndex":0},"citationItems":[{"id":611,"uris":["http://zotero.org/users/local/TzHpb2Bo/items/JBD69RSE"],"uri":["http://zotero.org/users/local/TzHpb2Bo/items/JBD69RSE"],"itemData":{"id":611,"type":"thesis","event-place":"Dresden","genre":"Master thesis","publisher":"TU Dresden","publisher-place":"Dresden","title":"Decomposition of weak optically stimulated luminescence signals and its application in retrospective dosimetry at quartz","author":[{"family":"Mittelstraß","given":"D."}],"issued":{"date-parts":[["2019"]]}}}],"schema":"https://github.com/citation-style-language/schema/raw/master/csl-citation.json"} </w:instrText>
      </w:r>
      <w:r w:rsidR="00C16574">
        <w:fldChar w:fldCharType="separate"/>
      </w:r>
      <w:r w:rsidR="00F12705">
        <w:t>Mittelstraß</w:t>
      </w:r>
      <w:r w:rsidR="00C16574" w:rsidRPr="00C16574">
        <w:t xml:space="preserve"> </w:t>
      </w:r>
      <w:r w:rsidR="00F12705">
        <w:t>(</w:t>
      </w:r>
      <w:r w:rsidR="00C16574" w:rsidRPr="00C16574">
        <w:t>2019)</w:t>
      </w:r>
      <w:r w:rsidR="00C16574">
        <w:fldChar w:fldCharType="end"/>
      </w:r>
      <w:r w:rsidR="00C16574">
        <w:t xml:space="preserve"> which includes a</w:t>
      </w:r>
      <w:r w:rsidR="00E8279E">
        <w:t>lso a</w:t>
      </w:r>
      <w:r w:rsidR="00C16574">
        <w:t xml:space="preserve"> closer look at the dependencies of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265AE7">
        <w:t>.</w:t>
      </w:r>
    </w:p>
    <w:p w14:paraId="0FAC30D2" w14:textId="0578F336" w:rsidR="00AC6378" w:rsidRDefault="00C274BE" w:rsidP="00AC6378">
      <w:pPr>
        <w:rPr>
          <w:rFonts w:cs="Calibri"/>
          <w:szCs w:val="22"/>
        </w:rPr>
      </w:pPr>
      <w:r>
        <w:t>In the procedure</w:t>
      </w:r>
      <w:r w:rsidR="003A3839">
        <w:t>,</w:t>
      </w:r>
      <w:r w:rsidR="00117817">
        <w:t xml:space="preserve"> equation (2) is fitted at the reference CW-OSL curve in cycles with increasing number of </w:t>
      </w:r>
      <w:proofErr w:type="gramStart"/>
      <w:r w:rsidR="00117817">
        <w:t xml:space="preserve">components </w:t>
      </w:r>
      <w:proofErr w:type="gramEnd"/>
      <m:oMath>
        <m:r>
          <w:rPr>
            <w:rFonts w:ascii="Cambria Math" w:hAnsi="Cambria Math"/>
          </w:rPr>
          <m:t>K</m:t>
        </m:r>
      </m:oMath>
      <w:r w:rsidR="00117817">
        <w:t xml:space="preserve">. The starting </w:t>
      </w:r>
      <w:r w:rsidR="003A3839">
        <w:t>problem issue</w:t>
      </w:r>
      <w:r w:rsidR="00E8279E">
        <w:t xml:space="preserve"> is solved by HELA (</w:t>
      </w:r>
      <w:r w:rsidR="00E8279E" w:rsidRPr="00D544F2">
        <w:rPr>
          <w:rFonts w:cs="Calibri"/>
          <w:szCs w:val="22"/>
        </w:rPr>
        <w:t>‘hybrid evolutionary</w:t>
      </w:r>
      <w:r w:rsidR="00E8279E">
        <w:rPr>
          <w:rFonts w:cs="Calibri"/>
          <w:szCs w:val="22"/>
        </w:rPr>
        <w:t>-linear algorithm’)</w:t>
      </w:r>
      <w:r w:rsidR="00AC6378">
        <w:rPr>
          <w:rFonts w:cs="Calibri"/>
          <w:szCs w:val="22"/>
        </w:rPr>
        <w:t>, a specialized version of the differential evolution algorithm developed by</w:t>
      </w:r>
      <w:r w:rsidR="00F12705">
        <w:rPr>
          <w:rFonts w:cs="Calibri"/>
          <w:szCs w:val="22"/>
        </w:rPr>
        <w:t xml:space="preserve"> </w:t>
      </w:r>
      <w:r w:rsidR="00F12705">
        <w:rPr>
          <w:rFonts w:cs="Calibri"/>
          <w:szCs w:val="22"/>
        </w:rPr>
        <w:fldChar w:fldCharType="begin"/>
      </w:r>
      <w:r w:rsidR="00F12705">
        <w:rPr>
          <w:rFonts w:cs="Calibri"/>
          <w:szCs w:val="22"/>
        </w:rPr>
        <w:instrText xml:space="preserve"> ADDIN ZOTERO_ITEM CSL_CITATION {"citationID":"HrejhaeU","properties":{"formattedCitation":"(Storn and Price, 1997)","plainCitation":"(Storn and Price, 1997)","noteIndex":0},"citationItems":[{"id":466,"uris":["http://zotero.org/users/local/TzHpb2Bo/items/QM49ZSCA"],"uri":["http://zotero.org/users/local/TzHpb2Bo/items/QM49ZSCA"],"itemData":{"id":466,"type":"article-journal","abstract":"A new heuristic approach for minimizing possiblynonlinear and non-differentiable continuous spacefunctions is presented. By means of an extensivetestbed it is demonstrated that the new methodconverges faster and with more certainty than manyother acclaimed global optimization methods. The newmethod requires few control variables, is robust, easyto use, and lends itself very well to parallelcomputation.","container-title":"Journal of Global Optimization","DOI":"10.1023/A:1008202821328","ISSN":"1573-2916","issue":"4","journalAbbreviation":"Journal of Global Optimization","language":"en","page":"341-359","source":"Springer Link","title":"Differential Evolution – A Simple and Efficient Heuristic for global Optimization over Continuous Spaces","volume":"11","author":[{"family":"Storn","given":"Rainer"},{"family":"Price","given":"Kenneth"}],"issued":{"date-parts":[["1997",12,1]]}}}],"schema":"https://github.com/citation-style-language/schema/raw/master/csl-citation.json"} </w:instrText>
      </w:r>
      <w:r w:rsidR="00F12705">
        <w:rPr>
          <w:rFonts w:cs="Calibri"/>
          <w:szCs w:val="22"/>
        </w:rPr>
        <w:fldChar w:fldCharType="separate"/>
      </w:r>
      <w:r w:rsidR="00F12705">
        <w:t>Storn and Price (</w:t>
      </w:r>
      <w:r w:rsidR="00F12705" w:rsidRPr="00F12705">
        <w:t>1997)</w:t>
      </w:r>
      <w:r w:rsidR="00F12705">
        <w:rPr>
          <w:rFonts w:cs="Calibri"/>
          <w:szCs w:val="22"/>
        </w:rPr>
        <w:fldChar w:fldCharType="end"/>
      </w:r>
      <w:r w:rsidR="00AC6378">
        <w:rPr>
          <w:rFonts w:cs="Calibri"/>
          <w:szCs w:val="22"/>
        </w:rPr>
        <w:t>. HELA searches for residual minima from various random starting points in</w:t>
      </w:r>
      <w:r w:rsidR="008E1DCA">
        <w:rPr>
          <w:rFonts w:cs="Calibri"/>
          <w:szCs w:val="22"/>
        </w:rPr>
        <w:t>side</w:t>
      </w:r>
      <w:r w:rsidR="00AC6378">
        <w:rPr>
          <w:rFonts w:cs="Calibri"/>
          <w:szCs w:val="22"/>
        </w:rPr>
        <w:t xml:space="preserve"> a </w:t>
      </w:r>
      <w:r w:rsidR="008E1DCA">
        <w:rPr>
          <w:rFonts w:cs="Calibri"/>
          <w:szCs w:val="22"/>
        </w:rPr>
        <w:t>wide</w:t>
      </w:r>
      <w:r w:rsidR="00AC6378">
        <w:rPr>
          <w:rFonts w:cs="Calibri"/>
          <w:szCs w:val="22"/>
        </w:rPr>
        <w:t xml:space="preserve"> parameter space. By refining these starting points in multiple iterations, the global minimum can be found with very high certainty. To improve precision and to estimate the uncertainty of the resulting values, a Levenberg-Marquardt nonlinear regression is applied afterwards. </w:t>
      </w:r>
    </w:p>
    <w:p w14:paraId="73231121" w14:textId="4611BDF5" w:rsidR="00985B00" w:rsidRDefault="00985B00" w:rsidP="005E3BC2">
      <w:r>
        <w:t xml:space="preserve">As minimisation value serves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966CD6">
        <w:t xml:space="preserve"> …</w:t>
      </w:r>
    </w:p>
    <w:p w14:paraId="2C97B033" w14:textId="77777777" w:rsidR="00F6012C" w:rsidRDefault="00F6012C" w:rsidP="00505D2B"/>
    <w:tbl>
      <w:tblPr>
        <w:tblW w:w="8788" w:type="dxa"/>
        <w:jc w:val="center"/>
        <w:tblBorders>
          <w:top w:val="single" w:sz="4" w:space="0" w:color="auto"/>
          <w:left w:val="single" w:sz="4" w:space="0" w:color="auto"/>
          <w:bottom w:val="single" w:sz="4" w:space="0" w:color="auto"/>
          <w:right w:val="single" w:sz="4" w:space="0" w:color="auto"/>
        </w:tblBorders>
        <w:tblLayout w:type="fixed"/>
        <w:tblCellMar>
          <w:left w:w="10" w:type="dxa"/>
          <w:right w:w="10" w:type="dxa"/>
        </w:tblCellMar>
        <w:tblLook w:val="0000" w:firstRow="0" w:lastRow="0" w:firstColumn="0" w:lastColumn="0" w:noHBand="0" w:noVBand="0"/>
      </w:tblPr>
      <w:tblGrid>
        <w:gridCol w:w="8109"/>
        <w:gridCol w:w="679"/>
      </w:tblGrid>
      <w:tr w:rsidR="00F12705" w:rsidRPr="002523C7" w14:paraId="313864B4" w14:textId="77777777" w:rsidTr="00F12705">
        <w:trPr>
          <w:jc w:val="center"/>
        </w:trPr>
        <w:tc>
          <w:tcPr>
            <w:tcW w:w="8109" w:type="dxa"/>
          </w:tcPr>
          <w:p w14:paraId="4493C313" w14:textId="77777777" w:rsidR="00F12705" w:rsidRPr="000D080B" w:rsidRDefault="00D76F7B" w:rsidP="00ED4F95">
            <w:pPr>
              <w:rPr>
                <w:rFonts w:eastAsiaTheme="minorEastAsia"/>
              </w:rPr>
            </w:pPr>
            <m:oMathPara>
              <m:oMathParaPr>
                <m:jc m:val="center"/>
              </m:oMathParaP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i</m:t>
                                    </m:r>
                                  </m:sub>
                                  <m:sup>
                                    <m:r>
                                      <w:rPr>
                                        <w:rFonts w:ascii="Cambria Math" w:hAnsi="Cambria Math"/>
                                      </w:rPr>
                                      <m:t>*</m:t>
                                    </m:r>
                                  </m:sup>
                                </m:sSubSup>
                              </m:e>
                            </m:d>
                          </m:e>
                          <m:sup>
                            <m:r>
                              <w:rPr>
                                <w:rFonts w:ascii="Cambria Math" w:hAnsi="Cambria Math"/>
                              </w:rPr>
                              <m:t>2</m:t>
                            </m:r>
                          </m:sup>
                        </m:sSup>
                      </m:num>
                      <m:den>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i</m:t>
                                </m:r>
                              </m:sub>
                              <m:sup>
                                <m:r>
                                  <w:rPr>
                                    <w:rFonts w:ascii="Cambria Math" w:hAnsi="Cambria Math"/>
                                  </w:rPr>
                                  <m:t>*</m:t>
                                </m:r>
                              </m:sup>
                            </m:sSubSup>
                          </m:num>
                          <m:den>
                            <m:r>
                              <w:rPr>
                                <w:rFonts w:ascii="Cambria Math" w:hAnsi="Cambria Math"/>
                              </w:rPr>
                              <m:t>M</m:t>
                            </m:r>
                          </m:den>
                        </m:f>
                        <m:r>
                          <w:rPr>
                            <w:rFonts w:ascii="Cambria Math" w:hAnsi="Cambria Math"/>
                          </w:rPr>
                          <m:t>+</m:t>
                        </m:r>
                        <m:f>
                          <m:fPr>
                            <m:ctrlPr>
                              <w:rPr>
                                <w:rFonts w:ascii="Cambria Math" w:hAnsi="Cambria Math"/>
                                <w:i/>
                                <w:lang w:val="en-US"/>
                              </w:rPr>
                            </m:ctrlPr>
                          </m:fPr>
                          <m:num>
                            <m:r>
                              <w:rPr>
                                <w:rFonts w:ascii="Cambria Math" w:hAnsi="Cambria Math"/>
                                <w:lang w:val="en-US"/>
                              </w:rPr>
                              <m:t>∆</m:t>
                            </m:r>
                            <m:r>
                              <w:rPr>
                                <w:rFonts w:ascii="Cambria Math" w:hAnsi="Cambria Math"/>
                              </w:rPr>
                              <m:t>t</m:t>
                            </m:r>
                            <m:sSubSup>
                              <m:sSubSupPr>
                                <m:ctrlPr>
                                  <w:rPr>
                                    <w:rFonts w:ascii="Cambria Math" w:hAnsi="Cambria Math"/>
                                    <w:i/>
                                  </w:rPr>
                                </m:ctrlPr>
                              </m:sSubSupPr>
                              <m:e>
                                <m:r>
                                  <w:rPr>
                                    <w:rFonts w:ascii="Cambria Math" w:hAnsi="Cambria Math"/>
                                  </w:rPr>
                                  <m:t>σ</m:t>
                                </m:r>
                              </m:e>
                              <m:sub>
                                <m:r>
                                  <m:rPr>
                                    <m:nor/>
                                  </m:rPr>
                                  <w:rPr>
                                    <w:rFonts w:ascii="Cambria Math" w:hAnsi="Cambria Math"/>
                                  </w:rPr>
                                  <m:t>detection</m:t>
                                </m:r>
                              </m:sub>
                              <m:sup>
                                <m:r>
                                  <w:rPr>
                                    <w:rFonts w:ascii="Cambria Math" w:hAnsi="Cambria Math"/>
                                  </w:rPr>
                                  <m:t>2</m:t>
                                </m:r>
                              </m:sup>
                            </m:sSubSup>
                          </m:num>
                          <m:den>
                            <m:r>
                              <w:rPr>
                                <w:rFonts w:ascii="Cambria Math" w:hAnsi="Cambria Math"/>
                                <w:lang w:val="en-US"/>
                              </w:rPr>
                              <m:t>M</m:t>
                            </m:r>
                          </m:den>
                        </m:f>
                      </m:den>
                    </m:f>
                  </m:e>
                </m:nary>
              </m:oMath>
            </m:oMathPara>
          </w:p>
        </w:tc>
        <w:tc>
          <w:tcPr>
            <w:tcW w:w="679" w:type="dxa"/>
            <w:vAlign w:val="center"/>
          </w:tcPr>
          <w:p w14:paraId="73AF901C" w14:textId="34B190A6" w:rsidR="00F12705" w:rsidRPr="002523C7" w:rsidRDefault="00F12705" w:rsidP="00F12705">
            <w:r>
              <w:t>(4</w:t>
            </w:r>
            <w:r w:rsidRPr="002523C7">
              <w:t>)</w:t>
            </w:r>
          </w:p>
        </w:tc>
      </w:tr>
    </w:tbl>
    <w:p w14:paraId="69CD019E" w14:textId="77777777" w:rsidR="00F6012C" w:rsidRDefault="00F6012C" w:rsidP="00F6012C"/>
    <w:p w14:paraId="77571D92" w14:textId="77777777" w:rsidR="00F12705" w:rsidRDefault="00F12705" w:rsidP="00F6012C"/>
    <w:p w14:paraId="4B0C4BDD" w14:textId="77777777" w:rsidR="00F12705" w:rsidRDefault="00F12705" w:rsidP="00F12705"/>
    <w:tbl>
      <w:tblPr>
        <w:tblW w:w="8788" w:type="dxa"/>
        <w:jc w:val="center"/>
        <w:tblBorders>
          <w:top w:val="single" w:sz="4" w:space="0" w:color="auto"/>
          <w:left w:val="single" w:sz="4" w:space="0" w:color="auto"/>
          <w:bottom w:val="single" w:sz="4" w:space="0" w:color="auto"/>
          <w:right w:val="single" w:sz="4" w:space="0" w:color="auto"/>
        </w:tblBorders>
        <w:tblLayout w:type="fixed"/>
        <w:tblCellMar>
          <w:left w:w="10" w:type="dxa"/>
          <w:right w:w="10" w:type="dxa"/>
        </w:tblCellMar>
        <w:tblLook w:val="0000" w:firstRow="0" w:lastRow="0" w:firstColumn="0" w:lastColumn="0" w:noHBand="0" w:noVBand="0"/>
      </w:tblPr>
      <w:tblGrid>
        <w:gridCol w:w="8109"/>
        <w:gridCol w:w="679"/>
      </w:tblGrid>
      <w:tr w:rsidR="00F12705" w:rsidRPr="009B65B2" w14:paraId="4215B062" w14:textId="77777777" w:rsidTr="00F12705">
        <w:trPr>
          <w:jc w:val="center"/>
        </w:trPr>
        <w:tc>
          <w:tcPr>
            <w:tcW w:w="8109" w:type="dxa"/>
          </w:tcPr>
          <w:p w14:paraId="31C72B36" w14:textId="77777777" w:rsidR="00F12705" w:rsidRPr="0035324D" w:rsidRDefault="00F12705" w:rsidP="00ED4F95">
            <m:oMathPara>
              <m:oMath>
                <m:r>
                  <w:rPr>
                    <w:rFonts w:ascii="Cambria Math" w:hAnsi="Cambria Math"/>
                  </w:rPr>
                  <m:t>F=</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K-1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K</m:t>
                        </m:r>
                      </m:sub>
                      <m:sup>
                        <m:r>
                          <w:rPr>
                            <w:rFonts w:ascii="Cambria Math" w:hAnsi="Cambria Math"/>
                          </w:rPr>
                          <m:t>2</m:t>
                        </m:r>
                      </m:sup>
                    </m:sSubSup>
                    <m:r>
                      <w:rPr>
                        <w:rFonts w:ascii="Cambria Math" w:hAnsi="Cambria Math"/>
                      </w:rPr>
                      <m:t>)/2</m:t>
                    </m:r>
                  </m:num>
                  <m:den>
                    <m:sSubSup>
                      <m:sSubSupPr>
                        <m:ctrlPr>
                          <w:rPr>
                            <w:rFonts w:ascii="Cambria Math" w:hAnsi="Cambria Math"/>
                            <w:i/>
                          </w:rPr>
                        </m:ctrlPr>
                      </m:sSubSupPr>
                      <m:e>
                        <m:r>
                          <w:rPr>
                            <w:rFonts w:ascii="Cambria Math" w:hAnsi="Cambria Math"/>
                          </w:rPr>
                          <m:t>χ</m:t>
                        </m:r>
                      </m:e>
                      <m:sub>
                        <m:r>
                          <w:rPr>
                            <w:rFonts w:ascii="Cambria Math" w:hAnsi="Cambria Math"/>
                          </w:rPr>
                          <m:t>K</m:t>
                        </m:r>
                      </m:sub>
                      <m:sup>
                        <m:r>
                          <w:rPr>
                            <w:rFonts w:ascii="Cambria Math" w:hAnsi="Cambria Math"/>
                          </w:rPr>
                          <m:t>2</m:t>
                        </m:r>
                      </m:sup>
                    </m:sSubSup>
                    <m:r>
                      <w:rPr>
                        <w:rFonts w:ascii="Cambria Math" w:hAnsi="Cambria Math"/>
                      </w:rPr>
                      <m:t>/(N-2K)</m:t>
                    </m:r>
                  </m:den>
                </m:f>
              </m:oMath>
            </m:oMathPara>
          </w:p>
        </w:tc>
        <w:tc>
          <w:tcPr>
            <w:tcW w:w="679" w:type="dxa"/>
            <w:vAlign w:val="center"/>
          </w:tcPr>
          <w:p w14:paraId="40D18CDC" w14:textId="4ADDBA37" w:rsidR="00F12705" w:rsidRPr="009B65B2" w:rsidRDefault="00F12705" w:rsidP="00F12705">
            <w:pPr>
              <w:jc w:val="left"/>
            </w:pPr>
            <w:r w:rsidRPr="009B65B2">
              <w:t>(</w:t>
            </w:r>
            <w:r>
              <w:t>5</w:t>
            </w:r>
            <w:r w:rsidRPr="009B65B2">
              <w:t>)</w:t>
            </w:r>
          </w:p>
        </w:tc>
      </w:tr>
    </w:tbl>
    <w:p w14:paraId="7A8E4BBB" w14:textId="77777777" w:rsidR="00F12705" w:rsidRDefault="00F12705" w:rsidP="00F6012C"/>
    <w:p w14:paraId="68404C1B" w14:textId="77777777" w:rsidR="00F12705" w:rsidRDefault="00F12705" w:rsidP="00F6012C"/>
    <w:p w14:paraId="482198E6" w14:textId="693AC0D4" w:rsidR="00F12705" w:rsidRDefault="00F6012C" w:rsidP="00F12705">
      <w:r w:rsidRPr="004A05C3">
        <w:rPr>
          <w:highlight w:val="yellow"/>
        </w:rPr>
        <w:t>&lt;&lt;</w:t>
      </w:r>
      <w:r w:rsidR="00F12705">
        <w:t xml:space="preserve"> </w:t>
      </w:r>
    </w:p>
    <w:p w14:paraId="16DCBFB6" w14:textId="29BD7DF8" w:rsidR="007A4AE5" w:rsidRPr="007A4AE5" w:rsidRDefault="00B11AA0" w:rsidP="00F12705">
      <w:pPr>
        <w:rPr>
          <w:i/>
        </w:rPr>
      </w:pPr>
      <w:r w:rsidRPr="007A4AE5">
        <w:rPr>
          <w:i/>
        </w:rPr>
        <w:t>Why no error values</w:t>
      </w:r>
      <w:r w:rsidR="007A4AE5" w:rsidRPr="007A4AE5">
        <w:rPr>
          <w:i/>
        </w:rPr>
        <w:t xml:space="preserve"> in Step 1</w:t>
      </w:r>
      <w:r w:rsidRPr="007A4AE5">
        <w:rPr>
          <w:i/>
        </w:rPr>
        <w:t xml:space="preserve">? </w:t>
      </w:r>
    </w:p>
    <w:p w14:paraId="19E4E506" w14:textId="5B2A6341" w:rsidR="00B11AA0" w:rsidRDefault="00B11AA0" w:rsidP="00F12705">
      <w:r>
        <w:t>Equation 4 allows us to calculate parameter errors without using computing time intense Monte Carlo simulations, see Bevington &amp; Robinson</w:t>
      </w:r>
      <w:r w:rsidR="00B064FF">
        <w:t xml:space="preserve"> (1997)</w:t>
      </w:r>
      <w:r>
        <w:t xml:space="preserve"> or Mittelstraß (2019)</w:t>
      </w:r>
      <w:r w:rsidR="00505C81">
        <w:t xml:space="preserve"> for details</w:t>
      </w:r>
      <w:r>
        <w:t>. We decided deliberately to not provide these error values</w:t>
      </w:r>
      <w:r w:rsidR="00505C81">
        <w:t xml:space="preserve"> as function output. They describe just the uncertainty of a parameter in regard of the minimisation process, but not the uncertainty in regard of the true model. Simulations show, that </w:t>
      </w:r>
      <w:proofErr w:type="spellStart"/>
      <w:r w:rsidR="00505C81">
        <w:t>underfitted</w:t>
      </w:r>
      <w:proofErr w:type="spellEnd"/>
      <w:r w:rsidR="00505C81">
        <w:t xml:space="preserve"> models lead to smaller error values than in the correctly fitted models. </w:t>
      </w:r>
      <w:r w:rsidR="00557C7F">
        <w:t>…</w:t>
      </w:r>
      <w:r w:rsidR="00505C81">
        <w:t xml:space="preserve"> </w:t>
      </w:r>
    </w:p>
    <w:p w14:paraId="499DBC99" w14:textId="479C0967" w:rsidR="00F6012C" w:rsidRDefault="00F6012C" w:rsidP="00505D2B"/>
    <w:p w14:paraId="16A8D439" w14:textId="211C3F01" w:rsidR="00505D2B" w:rsidRDefault="00505D2B" w:rsidP="00F1495C">
      <w:pPr>
        <w:pStyle w:val="berschrift2"/>
      </w:pPr>
      <w:r>
        <w:lastRenderedPageBreak/>
        <w:t>2.3</w:t>
      </w:r>
      <w:r w:rsidR="00430FEC">
        <w:t xml:space="preserve"> Step 2 -</w:t>
      </w:r>
      <w:r>
        <w:t xml:space="preserve"> </w:t>
      </w:r>
      <w:r w:rsidR="00F1495C">
        <w:t>Signal curve decomposition</w:t>
      </w:r>
    </w:p>
    <w:p w14:paraId="52B3065A" w14:textId="138F9AFF" w:rsidR="004B70BC" w:rsidRPr="004B70BC" w:rsidRDefault="00EB486D" w:rsidP="00EB486D">
      <w:pPr>
        <w:jc w:val="center"/>
      </w:pPr>
      <w:r>
        <w:rPr>
          <w:noProof/>
          <w:lang w:eastAsia="en-GB"/>
        </w:rPr>
        <w:drawing>
          <wp:inline distT="0" distB="0" distL="0" distR="0" wp14:anchorId="3F873029" wp14:editId="55029092">
            <wp:extent cx="3866400" cy="3762000"/>
            <wp:effectExtent l="0" t="0" r="127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6400" cy="3762000"/>
                    </a:xfrm>
                    <a:prstGeom prst="rect">
                      <a:avLst/>
                    </a:prstGeom>
                    <a:noFill/>
                    <a:ln>
                      <a:noFill/>
                    </a:ln>
                  </pic:spPr>
                </pic:pic>
              </a:graphicData>
            </a:graphic>
          </wp:inline>
        </w:drawing>
      </w:r>
    </w:p>
    <w:p w14:paraId="34CAB9FB" w14:textId="224AB768" w:rsidR="004B70BC" w:rsidRPr="00AC0368" w:rsidRDefault="004B70BC" w:rsidP="004B70BC">
      <w:pPr>
        <w:pStyle w:val="Beschriftung"/>
        <w:rPr>
          <w:b w:val="0"/>
        </w:rPr>
      </w:pPr>
      <w:r>
        <w:t xml:space="preserve">Figure </w:t>
      </w:r>
      <w:fldSimple w:instr=" SEQ Figure \* ARABIC ">
        <w:r>
          <w:rPr>
            <w:noProof/>
          </w:rPr>
          <w:t>3</w:t>
        </w:r>
      </w:fldSimple>
      <w:r>
        <w:t xml:space="preserve">: </w:t>
      </w:r>
      <w:r>
        <w:rPr>
          <w:b w:val="0"/>
        </w:rPr>
        <w:t xml:space="preserve">Workflow of the CW-OSL </w:t>
      </w:r>
      <w:r w:rsidR="00EB486D">
        <w:rPr>
          <w:b w:val="0"/>
        </w:rPr>
        <w:t>curve decomposition procedure.</w:t>
      </w:r>
      <w:r>
        <w:rPr>
          <w:b w:val="0"/>
        </w:rPr>
        <w:t xml:space="preserve"> </w:t>
      </w:r>
      <w:r w:rsidRPr="00AC0368">
        <w:rPr>
          <w:b w:val="0"/>
        </w:rPr>
        <w:t xml:space="preserve">Grey highlighted: Associated </w:t>
      </w:r>
      <w:r w:rsidRPr="00AC0368">
        <w:t>R</w:t>
      </w:r>
      <w:r w:rsidRPr="00AC0368">
        <w:rPr>
          <w:b w:val="0"/>
        </w:rPr>
        <w:t xml:space="preserve"> commands from package ‘OSLdecomposition’</w:t>
      </w:r>
    </w:p>
    <w:p w14:paraId="1CD87590" w14:textId="77777777" w:rsidR="004B70BC" w:rsidRPr="004B70BC" w:rsidRDefault="004B70BC" w:rsidP="004B70BC"/>
    <w:p w14:paraId="2DB89379" w14:textId="77777777" w:rsidR="00F1495C" w:rsidRDefault="00F1495C" w:rsidP="00505D2B"/>
    <w:p w14:paraId="17789FCF" w14:textId="77777777" w:rsidR="00F1495C" w:rsidRDefault="00F1495C" w:rsidP="00505D2B"/>
    <w:p w14:paraId="17671FDF" w14:textId="3B7F0887" w:rsidR="00F1495C" w:rsidRDefault="00430FEC" w:rsidP="00430FEC">
      <w:pPr>
        <w:pStyle w:val="berschrift1"/>
      </w:pPr>
      <w:r>
        <w:t>3 Validation by simulation</w:t>
      </w:r>
    </w:p>
    <w:p w14:paraId="3BB6CC6C" w14:textId="77777777" w:rsidR="00430FEC" w:rsidRPr="00430FEC" w:rsidRDefault="00430FEC" w:rsidP="00430FEC"/>
    <w:p w14:paraId="2EA3CF8A" w14:textId="69BA261C" w:rsidR="00430FEC" w:rsidRDefault="00430FEC" w:rsidP="00430FEC">
      <w:pPr>
        <w:pStyle w:val="berschrift2"/>
      </w:pPr>
      <w:r>
        <w:t>3.1 Step 1 accuracy and reliability</w:t>
      </w:r>
    </w:p>
    <w:p w14:paraId="3C9FDBA5" w14:textId="188AF6F0" w:rsidR="00F038E5" w:rsidRDefault="00287FF1" w:rsidP="00430FEC">
      <w:r>
        <w:t>- rework simulations without backgrounds and larger parameter space</w:t>
      </w:r>
      <w:r w:rsidR="00F038E5">
        <w:t>:</w:t>
      </w:r>
    </w:p>
    <w:p w14:paraId="4A094DF6" w14:textId="77777777" w:rsidR="00F038E5" w:rsidRPr="00F038E5" w:rsidRDefault="00F038E5" w:rsidP="00F038E5"/>
    <w:p w14:paraId="6200C0EA" w14:textId="52782187" w:rsidR="00F038E5" w:rsidRPr="00F038E5" w:rsidRDefault="00F038E5" w:rsidP="00F038E5">
      <w:pPr>
        <w:rPr>
          <w:bCs/>
        </w:rPr>
      </w:pPr>
      <w:bookmarkStart w:id="1" w:name="_Toc25635134"/>
      <w:r w:rsidRPr="00F038E5">
        <w:rPr>
          <w:b/>
          <w:bCs/>
        </w:rPr>
        <w:lastRenderedPageBreak/>
        <w:t xml:space="preserve">Table </w:t>
      </w:r>
      <w:r>
        <w:rPr>
          <w:b/>
          <w:bCs/>
        </w:rPr>
        <w:t xml:space="preserve">1: </w:t>
      </w:r>
      <w:r w:rsidRPr="00F038E5">
        <w:rPr>
          <w:bCs/>
        </w:rPr>
        <w:t xml:space="preserve">Input parameters for step 1 </w:t>
      </w:r>
      <w:bookmarkEnd w:id="1"/>
      <w:r w:rsidRPr="00F038E5">
        <w:rPr>
          <w:bCs/>
        </w:rPr>
        <w:t>simulations</w:t>
      </w:r>
      <w:r w:rsidR="00305EE0">
        <w:rPr>
          <w:bCs/>
        </w:rPr>
        <w:t xml:space="preserve">. The decay rates are calculated from the </w:t>
      </w:r>
      <w:r w:rsidR="00305EE0">
        <w:rPr>
          <w:bCs/>
        </w:rPr>
        <w:fldChar w:fldCharType="begin"/>
      </w:r>
      <w:r w:rsidR="00305EE0">
        <w:rPr>
          <w:bCs/>
        </w:rPr>
        <w:instrText xml:space="preserve"> ADDIN ZOTERO_ITEM CSL_CITATION {"citationID":"zUxZTxNI","properties":{"formattedCitation":"(Durcan and Duller, 2011)","plainCitation":"(Durcan and Duller, 2011)","noteIndex":0},"citationItems":[{"id":242,"uris":["http://zotero.org/users/local/TzHpb2Bo/items/TQN34GD4"],"uri":["http://zotero.org/users/local/TzHpb2Bo/items/TQN34GD4"],"itemData":{"id":242,"type":"article-journal","container-title":"Radiation Measurements","DOI":"10.1016/j.radmeas.2011.07.016","ISSN":"13504487","issue":"10","language":"en","page":"1065-1072","source":"CrossRef","title":"The fast ratio: A rapid measure for testing the dominance of the fast component in the initial OSL signal from quartz","title-short":"The fast ratio","volume":"46","author":[{"family":"Durcan","given":"Julie A."},{"family":"Duller","given":"Geoff A.T."}],"issued":{"date-parts":[["2011",10]]}}}],"schema":"https://github.com/citation-style-language/schema/raw/master/csl-citation.json"} </w:instrText>
      </w:r>
      <w:r w:rsidR="00305EE0">
        <w:rPr>
          <w:bCs/>
        </w:rPr>
        <w:fldChar w:fldCharType="separate"/>
      </w:r>
      <w:r w:rsidR="00305EE0" w:rsidRPr="00305EE0">
        <w:t>(Durcan and Duller, 2011)</w:t>
      </w:r>
      <w:r w:rsidR="00305EE0">
        <w:rPr>
          <w:bCs/>
        </w:rPr>
        <w:fldChar w:fldCharType="end"/>
      </w:r>
      <w:r w:rsidR="00305EE0">
        <w:rPr>
          <w:bCs/>
        </w:rPr>
        <w:t xml:space="preserve"> values assumed a stimulation wavelength is 480 nm and a stimulation intensity of 40 </w:t>
      </w:r>
      <w:proofErr w:type="spellStart"/>
      <w:r w:rsidR="00305EE0">
        <w:rPr>
          <w:bCs/>
        </w:rPr>
        <w:t>mW</w:t>
      </w:r>
      <w:proofErr w:type="spellEnd"/>
      <w:r w:rsidR="00305EE0">
        <w:rPr>
          <w:bCs/>
        </w:rPr>
        <w:t xml:space="preserve">/cm². Rounding errors </w:t>
      </w:r>
      <w:r w:rsidR="00746AAC">
        <w:rPr>
          <w:bCs/>
        </w:rPr>
        <w:t>are less than 5</w:t>
      </w:r>
      <w:r w:rsidR="00305EE0">
        <w:rPr>
          <w:bCs/>
        </w:rPr>
        <w:t xml:space="preserve"> % for all decay rates.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5"/>
        <w:gridCol w:w="2552"/>
        <w:gridCol w:w="2759"/>
      </w:tblGrid>
      <w:tr w:rsidR="00F038E5" w:rsidRPr="00F038E5" w14:paraId="49051841" w14:textId="77777777" w:rsidTr="00E7758E">
        <w:trPr>
          <w:trHeight w:val="284"/>
          <w:jc w:val="center"/>
        </w:trPr>
        <w:tc>
          <w:tcPr>
            <w:tcW w:w="2195" w:type="dxa"/>
            <w:tcBorders>
              <w:top w:val="single" w:sz="4" w:space="0" w:color="auto"/>
              <w:left w:val="single" w:sz="4" w:space="0" w:color="auto"/>
              <w:bottom w:val="single" w:sz="4" w:space="0" w:color="auto"/>
            </w:tcBorders>
            <w:vAlign w:val="center"/>
          </w:tcPr>
          <w:p w14:paraId="51F5B616" w14:textId="77777777" w:rsidR="00F038E5" w:rsidRPr="00F038E5" w:rsidRDefault="00F038E5" w:rsidP="00F038E5"/>
        </w:tc>
        <w:tc>
          <w:tcPr>
            <w:tcW w:w="2552" w:type="dxa"/>
            <w:tcBorders>
              <w:top w:val="single" w:sz="4" w:space="0" w:color="auto"/>
              <w:bottom w:val="single" w:sz="4" w:space="0" w:color="auto"/>
            </w:tcBorders>
            <w:vAlign w:val="center"/>
          </w:tcPr>
          <w:p w14:paraId="5A57451B" w14:textId="77777777" w:rsidR="00F038E5" w:rsidRPr="00F038E5" w:rsidRDefault="00F038E5" w:rsidP="00F038E5">
            <w:pPr>
              <w:rPr>
                <w:b/>
              </w:rPr>
            </w:pPr>
            <w:r w:rsidRPr="00F038E5">
              <w:rPr>
                <w:b/>
              </w:rPr>
              <w:t>Parameter</w:t>
            </w:r>
          </w:p>
        </w:tc>
        <w:tc>
          <w:tcPr>
            <w:tcW w:w="2759" w:type="dxa"/>
            <w:tcBorders>
              <w:top w:val="single" w:sz="4" w:space="0" w:color="auto"/>
              <w:bottom w:val="single" w:sz="4" w:space="0" w:color="auto"/>
              <w:right w:val="single" w:sz="4" w:space="0" w:color="auto"/>
            </w:tcBorders>
            <w:vAlign w:val="center"/>
          </w:tcPr>
          <w:p w14:paraId="6102F1DA" w14:textId="77777777" w:rsidR="00F038E5" w:rsidRPr="00F038E5" w:rsidRDefault="00F038E5" w:rsidP="00F038E5">
            <w:pPr>
              <w:rPr>
                <w:b/>
              </w:rPr>
            </w:pPr>
            <w:r w:rsidRPr="00F038E5">
              <w:rPr>
                <w:b/>
              </w:rPr>
              <w:t>Input variants</w:t>
            </w:r>
          </w:p>
        </w:tc>
      </w:tr>
      <w:tr w:rsidR="00F038E5" w:rsidRPr="00F038E5" w14:paraId="0B7F7AAD" w14:textId="77777777" w:rsidTr="00E7758E">
        <w:trPr>
          <w:trHeight w:val="284"/>
          <w:jc w:val="center"/>
        </w:trPr>
        <w:tc>
          <w:tcPr>
            <w:tcW w:w="2195" w:type="dxa"/>
            <w:vMerge w:val="restart"/>
            <w:tcBorders>
              <w:top w:val="single" w:sz="4" w:space="0" w:color="auto"/>
              <w:left w:val="single" w:sz="4" w:space="0" w:color="auto"/>
            </w:tcBorders>
            <w:vAlign w:val="center"/>
          </w:tcPr>
          <w:p w14:paraId="63804A35" w14:textId="77777777" w:rsidR="00F038E5" w:rsidRPr="00F038E5" w:rsidRDefault="00F038E5" w:rsidP="00F038E5">
            <w:pPr>
              <w:rPr>
                <w:b/>
              </w:rPr>
            </w:pPr>
            <w:r w:rsidRPr="00F038E5">
              <w:rPr>
                <w:b/>
              </w:rPr>
              <w:t>OSL components</w:t>
            </w:r>
          </w:p>
        </w:tc>
        <w:tc>
          <w:tcPr>
            <w:tcW w:w="2552" w:type="dxa"/>
            <w:tcBorders>
              <w:top w:val="single" w:sz="4" w:space="0" w:color="auto"/>
            </w:tcBorders>
            <w:vAlign w:val="center"/>
          </w:tcPr>
          <w:p w14:paraId="4BABAFDD" w14:textId="27D2FBBE" w:rsidR="00F038E5" w:rsidRPr="00F038E5" w:rsidRDefault="00F038E5" w:rsidP="00F038E5">
            <w:r w:rsidRPr="00F038E5">
              <w:rPr>
                <w:iCs/>
              </w:rPr>
              <w:t xml:space="preserve">Fast   </w:t>
            </w:r>
            <m:oMath>
              <m:d>
                <m:dPr>
                  <m:ctrlPr>
                    <w:rPr>
                      <w:rFonts w:ascii="Cambria Math" w:hAnsi="Cambria Math"/>
                      <w:i/>
                      <w:iCs/>
                    </w:rPr>
                  </m:ctrlPr>
                </m:dPr>
                <m:e>
                  <m:r>
                    <w:rPr>
                      <w:rFonts w:ascii="Cambria Math" w:hAnsi="Cambria Math"/>
                    </w:rPr>
                    <m:t>λ</m:t>
                  </m:r>
                  <m:r>
                    <m:rPr>
                      <m:sty m:val="p"/>
                    </m:rPr>
                    <w:rPr>
                      <w:rFonts w:ascii="Cambria Math" w:hAnsi="Cambria Math"/>
                    </w:rPr>
                    <m:t xml:space="preserve">=2.5 </m:t>
                  </m:r>
                  <m:sSup>
                    <m:sSupPr>
                      <m:ctrlPr>
                        <w:rPr>
                          <w:rFonts w:ascii="Cambria Math" w:hAnsi="Cambria Math"/>
                        </w:rPr>
                      </m:ctrlPr>
                    </m:sSupPr>
                    <m:e>
                      <m:r>
                        <m:rPr>
                          <m:nor/>
                        </m:rPr>
                        <m:t>s</m:t>
                      </m:r>
                    </m:e>
                    <m:sup>
                      <m:r>
                        <m:rPr>
                          <m:sty m:val="p"/>
                        </m:rPr>
                        <w:rPr>
                          <w:rFonts w:ascii="Cambria Math" w:hAnsi="Cambria Math"/>
                        </w:rPr>
                        <m:t>-1</m:t>
                      </m:r>
                    </m:sup>
                  </m:sSup>
                  <m:ctrlPr>
                    <w:rPr>
                      <w:rFonts w:ascii="Cambria Math" w:hAnsi="Cambria Math"/>
                      <w:i/>
                    </w:rPr>
                  </m:ctrlPr>
                </m:e>
              </m:d>
            </m:oMath>
          </w:p>
        </w:tc>
        <w:tc>
          <w:tcPr>
            <w:tcW w:w="2759" w:type="dxa"/>
            <w:tcBorders>
              <w:top w:val="single" w:sz="4" w:space="0" w:color="auto"/>
              <w:right w:val="single" w:sz="4" w:space="0" w:color="auto"/>
            </w:tcBorders>
            <w:vAlign w:val="center"/>
          </w:tcPr>
          <w:p w14:paraId="14869E9C" w14:textId="77777777" w:rsidR="00F038E5" w:rsidRPr="00F038E5" w:rsidRDefault="00F038E5" w:rsidP="00F038E5">
            <w:r w:rsidRPr="00F038E5">
              <w:rPr>
                <w:i/>
              </w:rPr>
              <w:t>n</w:t>
            </w:r>
            <w:r w:rsidRPr="00F038E5">
              <w:t xml:space="preserve"> = 0, 1000, 3000, 10000</w:t>
            </w:r>
          </w:p>
        </w:tc>
      </w:tr>
      <w:tr w:rsidR="00F038E5" w:rsidRPr="00F038E5" w14:paraId="63B2354D" w14:textId="77777777" w:rsidTr="00E7758E">
        <w:trPr>
          <w:trHeight w:val="284"/>
          <w:jc w:val="center"/>
        </w:trPr>
        <w:tc>
          <w:tcPr>
            <w:tcW w:w="2195" w:type="dxa"/>
            <w:vMerge/>
            <w:tcBorders>
              <w:left w:val="single" w:sz="4" w:space="0" w:color="auto"/>
            </w:tcBorders>
            <w:vAlign w:val="center"/>
          </w:tcPr>
          <w:p w14:paraId="3491F493" w14:textId="77777777" w:rsidR="00F038E5" w:rsidRPr="00F038E5" w:rsidRDefault="00F038E5" w:rsidP="00F038E5">
            <w:pPr>
              <w:rPr>
                <w:b/>
              </w:rPr>
            </w:pPr>
          </w:p>
        </w:tc>
        <w:tc>
          <w:tcPr>
            <w:tcW w:w="2552" w:type="dxa"/>
            <w:vAlign w:val="center"/>
          </w:tcPr>
          <w:p w14:paraId="5E6067F1" w14:textId="7A7FECAA" w:rsidR="00F038E5" w:rsidRPr="00F038E5" w:rsidRDefault="00F038E5" w:rsidP="00A32F07">
            <w:r w:rsidRPr="00F038E5">
              <w:t xml:space="preserve">Medium  </w:t>
            </w:r>
            <m:oMath>
              <m:d>
                <m:dPr>
                  <m:ctrlPr>
                    <w:rPr>
                      <w:rFonts w:ascii="Cambria Math" w:hAnsi="Cambria Math"/>
                      <w:i/>
                    </w:rPr>
                  </m:ctrlPr>
                </m:dPr>
                <m:e>
                  <m:r>
                    <w:rPr>
                      <w:rFonts w:ascii="Cambria Math" w:hAnsi="Cambria Math"/>
                    </w:rPr>
                    <m:t xml:space="preserve">λ=0.4 </m:t>
                  </m:r>
                  <m:sSup>
                    <m:sSupPr>
                      <m:ctrlPr>
                        <w:rPr>
                          <w:rFonts w:ascii="Cambria Math" w:hAnsi="Cambria Math"/>
                          <w:i/>
                        </w:rPr>
                      </m:ctrlPr>
                    </m:sSupPr>
                    <m:e>
                      <m:r>
                        <m:rPr>
                          <m:nor/>
                        </m:rPr>
                        <m:t>s</m:t>
                      </m:r>
                    </m:e>
                    <m:sup>
                      <m:r>
                        <w:rPr>
                          <w:rFonts w:ascii="Cambria Math" w:hAnsi="Cambria Math"/>
                        </w:rPr>
                        <m:t>-1</m:t>
                      </m:r>
                    </m:sup>
                  </m:sSup>
                </m:e>
              </m:d>
            </m:oMath>
          </w:p>
        </w:tc>
        <w:tc>
          <w:tcPr>
            <w:tcW w:w="2759" w:type="dxa"/>
            <w:tcBorders>
              <w:right w:val="single" w:sz="4" w:space="0" w:color="auto"/>
            </w:tcBorders>
            <w:vAlign w:val="center"/>
          </w:tcPr>
          <w:p w14:paraId="33807FC3" w14:textId="77777777" w:rsidR="00F038E5" w:rsidRPr="00F038E5" w:rsidRDefault="00F038E5" w:rsidP="00F038E5">
            <w:r w:rsidRPr="00F038E5">
              <w:rPr>
                <w:i/>
              </w:rPr>
              <w:t>n</w:t>
            </w:r>
            <w:r w:rsidRPr="00F038E5">
              <w:t xml:space="preserve"> = 0, 1000, 3000, 10000</w:t>
            </w:r>
          </w:p>
        </w:tc>
      </w:tr>
      <w:tr w:rsidR="00F038E5" w:rsidRPr="00F038E5" w14:paraId="7406EEFB" w14:textId="77777777" w:rsidTr="00E7758E">
        <w:trPr>
          <w:trHeight w:val="284"/>
          <w:jc w:val="center"/>
        </w:trPr>
        <w:tc>
          <w:tcPr>
            <w:tcW w:w="2195" w:type="dxa"/>
            <w:vMerge/>
            <w:tcBorders>
              <w:left w:val="single" w:sz="4" w:space="0" w:color="auto"/>
            </w:tcBorders>
            <w:vAlign w:val="center"/>
          </w:tcPr>
          <w:p w14:paraId="46B3C688" w14:textId="77777777" w:rsidR="00F038E5" w:rsidRPr="00F038E5" w:rsidRDefault="00F038E5" w:rsidP="00F038E5">
            <w:pPr>
              <w:rPr>
                <w:b/>
              </w:rPr>
            </w:pPr>
          </w:p>
        </w:tc>
        <w:tc>
          <w:tcPr>
            <w:tcW w:w="2552" w:type="dxa"/>
            <w:vAlign w:val="center"/>
          </w:tcPr>
          <w:p w14:paraId="79D41709" w14:textId="12824077" w:rsidR="00F038E5" w:rsidRPr="00F038E5" w:rsidRDefault="00F038E5" w:rsidP="00F038E5">
            <w:r w:rsidRPr="00F038E5">
              <w:t xml:space="preserve">Slow1  </w:t>
            </w:r>
            <m:oMath>
              <m:d>
                <m:dPr>
                  <m:ctrlPr>
                    <w:rPr>
                      <w:rFonts w:ascii="Cambria Math" w:hAnsi="Cambria Math"/>
                      <w:i/>
                    </w:rPr>
                  </m:ctrlPr>
                </m:dPr>
                <m:e>
                  <m:r>
                    <w:rPr>
                      <w:rFonts w:ascii="Cambria Math" w:hAnsi="Cambria Math"/>
                    </w:rPr>
                    <m:t xml:space="preserve">λ=0.1 </m:t>
                  </m:r>
                  <m:sSup>
                    <m:sSupPr>
                      <m:ctrlPr>
                        <w:rPr>
                          <w:rFonts w:ascii="Cambria Math" w:hAnsi="Cambria Math"/>
                          <w:i/>
                        </w:rPr>
                      </m:ctrlPr>
                    </m:sSupPr>
                    <m:e>
                      <m:r>
                        <m:rPr>
                          <m:nor/>
                        </m:rPr>
                        <m:t>s</m:t>
                      </m:r>
                    </m:e>
                    <m:sup>
                      <m:r>
                        <w:rPr>
                          <w:rFonts w:ascii="Cambria Math" w:hAnsi="Cambria Math"/>
                        </w:rPr>
                        <m:t>-1</m:t>
                      </m:r>
                    </m:sup>
                  </m:sSup>
                </m:e>
              </m:d>
            </m:oMath>
          </w:p>
        </w:tc>
        <w:tc>
          <w:tcPr>
            <w:tcW w:w="2759" w:type="dxa"/>
            <w:tcBorders>
              <w:right w:val="single" w:sz="4" w:space="0" w:color="auto"/>
            </w:tcBorders>
            <w:vAlign w:val="center"/>
          </w:tcPr>
          <w:p w14:paraId="5884A6FC" w14:textId="72B6B9CD" w:rsidR="00F038E5" w:rsidRPr="00F038E5" w:rsidRDefault="00F038E5" w:rsidP="00F038E5">
            <w:r w:rsidRPr="00F038E5">
              <w:rPr>
                <w:i/>
              </w:rPr>
              <w:t>n</w:t>
            </w:r>
            <w:r w:rsidRPr="00F038E5">
              <w:t xml:space="preserve"> = 0, 3000, 10000</w:t>
            </w:r>
            <w:r>
              <w:t>, 30000</w:t>
            </w:r>
          </w:p>
        </w:tc>
      </w:tr>
      <w:tr w:rsidR="00F038E5" w:rsidRPr="00F038E5" w14:paraId="46B7B13C" w14:textId="77777777" w:rsidTr="00E7758E">
        <w:trPr>
          <w:trHeight w:val="284"/>
          <w:jc w:val="center"/>
        </w:trPr>
        <w:tc>
          <w:tcPr>
            <w:tcW w:w="2195" w:type="dxa"/>
            <w:vMerge/>
            <w:tcBorders>
              <w:left w:val="single" w:sz="4" w:space="0" w:color="auto"/>
              <w:bottom w:val="single" w:sz="4" w:space="0" w:color="auto"/>
            </w:tcBorders>
            <w:vAlign w:val="center"/>
          </w:tcPr>
          <w:p w14:paraId="490B006E" w14:textId="77777777" w:rsidR="00F038E5" w:rsidRPr="00F038E5" w:rsidRDefault="00F038E5" w:rsidP="00F038E5">
            <w:pPr>
              <w:rPr>
                <w:b/>
              </w:rPr>
            </w:pPr>
          </w:p>
        </w:tc>
        <w:tc>
          <w:tcPr>
            <w:tcW w:w="2552" w:type="dxa"/>
            <w:tcBorders>
              <w:bottom w:val="single" w:sz="4" w:space="0" w:color="auto"/>
            </w:tcBorders>
            <w:vAlign w:val="center"/>
          </w:tcPr>
          <w:p w14:paraId="461C4F5B" w14:textId="2C9894E7" w:rsidR="00F038E5" w:rsidRPr="00F038E5" w:rsidRDefault="00F038E5" w:rsidP="00A32F07">
            <w:r w:rsidRPr="00F038E5">
              <w:t xml:space="preserve">Slow2  </w:t>
            </w:r>
            <m:oMath>
              <m:d>
                <m:dPr>
                  <m:ctrlPr>
                    <w:rPr>
                      <w:rFonts w:ascii="Cambria Math" w:hAnsi="Cambria Math"/>
                      <w:i/>
                    </w:rPr>
                  </m:ctrlPr>
                </m:dPr>
                <m:e>
                  <m:r>
                    <w:rPr>
                      <w:rFonts w:ascii="Cambria Math" w:hAnsi="Cambria Math"/>
                    </w:rPr>
                    <m:t xml:space="preserve">λ=0.03 </m:t>
                  </m:r>
                  <m:sSup>
                    <m:sSupPr>
                      <m:ctrlPr>
                        <w:rPr>
                          <w:rFonts w:ascii="Cambria Math" w:hAnsi="Cambria Math"/>
                          <w:i/>
                        </w:rPr>
                      </m:ctrlPr>
                    </m:sSupPr>
                    <m:e>
                      <m:r>
                        <m:rPr>
                          <m:nor/>
                        </m:rPr>
                        <m:t>s</m:t>
                      </m:r>
                    </m:e>
                    <m:sup>
                      <m:r>
                        <w:rPr>
                          <w:rFonts w:ascii="Cambria Math" w:hAnsi="Cambria Math"/>
                        </w:rPr>
                        <m:t>-1</m:t>
                      </m:r>
                    </m:sup>
                  </m:sSup>
                </m:e>
              </m:d>
            </m:oMath>
          </w:p>
        </w:tc>
        <w:tc>
          <w:tcPr>
            <w:tcW w:w="2759" w:type="dxa"/>
            <w:tcBorders>
              <w:bottom w:val="single" w:sz="4" w:space="0" w:color="auto"/>
              <w:right w:val="single" w:sz="4" w:space="0" w:color="auto"/>
            </w:tcBorders>
            <w:vAlign w:val="center"/>
          </w:tcPr>
          <w:p w14:paraId="471D3644" w14:textId="77777777" w:rsidR="00F038E5" w:rsidRPr="00F038E5" w:rsidRDefault="00F038E5" w:rsidP="00F038E5">
            <w:r w:rsidRPr="00F038E5">
              <w:rPr>
                <w:i/>
              </w:rPr>
              <w:t>n</w:t>
            </w:r>
            <w:r w:rsidRPr="00F038E5">
              <w:t xml:space="preserve"> = 10000, 30000, 100000</w:t>
            </w:r>
          </w:p>
        </w:tc>
      </w:tr>
      <w:tr w:rsidR="00F038E5" w:rsidRPr="00F038E5" w14:paraId="20D66BFC" w14:textId="77777777" w:rsidTr="00E7758E">
        <w:trPr>
          <w:trHeight w:val="284"/>
          <w:jc w:val="center"/>
        </w:trPr>
        <w:tc>
          <w:tcPr>
            <w:tcW w:w="2195" w:type="dxa"/>
            <w:vMerge w:val="restart"/>
            <w:tcBorders>
              <w:top w:val="single" w:sz="4" w:space="0" w:color="auto"/>
              <w:left w:val="single" w:sz="4" w:space="0" w:color="auto"/>
            </w:tcBorders>
            <w:vAlign w:val="center"/>
          </w:tcPr>
          <w:p w14:paraId="10171F2B" w14:textId="6115BD28" w:rsidR="00F038E5" w:rsidRPr="00F038E5" w:rsidRDefault="00F038E5" w:rsidP="00F038E5">
            <w:pPr>
              <w:rPr>
                <w:b/>
              </w:rPr>
            </w:pPr>
            <w:r w:rsidRPr="00F038E5">
              <w:rPr>
                <w:b/>
              </w:rPr>
              <w:t xml:space="preserve">Detection </w:t>
            </w:r>
            <w:r>
              <w:rPr>
                <w:b/>
              </w:rPr>
              <w:t>conditions</w:t>
            </w:r>
          </w:p>
        </w:tc>
        <w:tc>
          <w:tcPr>
            <w:tcW w:w="2552" w:type="dxa"/>
            <w:tcBorders>
              <w:top w:val="single" w:sz="4" w:space="0" w:color="auto"/>
            </w:tcBorders>
            <w:vAlign w:val="center"/>
          </w:tcPr>
          <w:p w14:paraId="62137C53" w14:textId="77777777" w:rsidR="00F038E5" w:rsidRPr="00F038E5" w:rsidRDefault="00F038E5" w:rsidP="00F038E5">
            <w:r w:rsidRPr="00F038E5">
              <w:t>Channel width</w:t>
            </w:r>
          </w:p>
        </w:tc>
        <w:tc>
          <w:tcPr>
            <w:tcW w:w="2759" w:type="dxa"/>
            <w:tcBorders>
              <w:top w:val="single" w:sz="4" w:space="0" w:color="auto"/>
              <w:right w:val="single" w:sz="4" w:space="0" w:color="auto"/>
            </w:tcBorders>
            <w:vAlign w:val="center"/>
          </w:tcPr>
          <w:p w14:paraId="209575D7" w14:textId="344B2371" w:rsidR="00F038E5" w:rsidRPr="00F038E5" w:rsidRDefault="00F038E5" w:rsidP="00F038E5">
            <m:oMathPara>
              <m:oMathParaPr>
                <m:jc m:val="left"/>
              </m:oMathParaPr>
              <m:oMath>
                <m:r>
                  <m:rPr>
                    <m:sty m:val="p"/>
                  </m:rPr>
                  <w:rPr>
                    <w:rFonts w:ascii="Cambria Math" w:hAnsi="Cambria Math"/>
                  </w:rPr>
                  <m:t>Δ</m:t>
                </m:r>
                <m:r>
                  <w:rPr>
                    <w:rFonts w:ascii="Cambria Math" w:hAnsi="Cambria Math"/>
                  </w:rPr>
                  <m:t xml:space="preserve">t=0.1, 0.2, 0.5 </m:t>
                </m:r>
                <m:r>
                  <m:rPr>
                    <m:nor/>
                  </m:rPr>
                  <m:t>s</m:t>
                </m:r>
              </m:oMath>
            </m:oMathPara>
          </w:p>
        </w:tc>
      </w:tr>
      <w:tr w:rsidR="00F038E5" w:rsidRPr="00F038E5" w14:paraId="552C2C64" w14:textId="77777777" w:rsidTr="00E7758E">
        <w:trPr>
          <w:trHeight w:val="284"/>
          <w:jc w:val="center"/>
        </w:trPr>
        <w:tc>
          <w:tcPr>
            <w:tcW w:w="2195" w:type="dxa"/>
            <w:vMerge/>
            <w:tcBorders>
              <w:left w:val="single" w:sz="4" w:space="0" w:color="auto"/>
            </w:tcBorders>
            <w:vAlign w:val="center"/>
          </w:tcPr>
          <w:p w14:paraId="5CF962D5" w14:textId="77777777" w:rsidR="00F038E5" w:rsidRPr="00F038E5" w:rsidRDefault="00F038E5" w:rsidP="00F038E5">
            <w:pPr>
              <w:rPr>
                <w:b/>
              </w:rPr>
            </w:pPr>
          </w:p>
        </w:tc>
        <w:tc>
          <w:tcPr>
            <w:tcW w:w="2552" w:type="dxa"/>
            <w:vAlign w:val="center"/>
          </w:tcPr>
          <w:p w14:paraId="66517FBC" w14:textId="77777777" w:rsidR="00F038E5" w:rsidRPr="00F038E5" w:rsidRDefault="00F038E5" w:rsidP="00F038E5">
            <w:r w:rsidRPr="00F038E5">
              <w:t>Number of channels</w:t>
            </w:r>
          </w:p>
        </w:tc>
        <w:tc>
          <w:tcPr>
            <w:tcW w:w="2759" w:type="dxa"/>
            <w:tcBorders>
              <w:right w:val="single" w:sz="4" w:space="0" w:color="auto"/>
            </w:tcBorders>
            <w:vAlign w:val="center"/>
          </w:tcPr>
          <w:p w14:paraId="5F9E40E3" w14:textId="5ED724D5" w:rsidR="00F038E5" w:rsidRPr="00F038E5" w:rsidRDefault="00F038E5" w:rsidP="00F038E5">
            <m:oMathPara>
              <m:oMathParaPr>
                <m:jc m:val="left"/>
              </m:oMathParaPr>
              <m:oMath>
                <m:r>
                  <w:rPr>
                    <w:rFonts w:ascii="Cambria Math" w:hAnsi="Cambria Math"/>
                  </w:rPr>
                  <m:t>N=100, 200, 400</m:t>
                </m:r>
              </m:oMath>
            </m:oMathPara>
          </w:p>
        </w:tc>
      </w:tr>
      <w:tr w:rsidR="00F038E5" w:rsidRPr="00F038E5" w14:paraId="17B26579" w14:textId="77777777" w:rsidTr="00E7758E">
        <w:trPr>
          <w:trHeight w:val="284"/>
          <w:jc w:val="center"/>
        </w:trPr>
        <w:tc>
          <w:tcPr>
            <w:tcW w:w="2195" w:type="dxa"/>
            <w:vMerge/>
            <w:tcBorders>
              <w:left w:val="single" w:sz="4" w:space="0" w:color="auto"/>
              <w:bottom w:val="single" w:sz="4" w:space="0" w:color="auto"/>
            </w:tcBorders>
            <w:vAlign w:val="center"/>
          </w:tcPr>
          <w:p w14:paraId="2F926DA1" w14:textId="77777777" w:rsidR="00F038E5" w:rsidRPr="00F038E5" w:rsidRDefault="00F038E5" w:rsidP="00F038E5">
            <w:pPr>
              <w:rPr>
                <w:b/>
              </w:rPr>
            </w:pPr>
          </w:p>
        </w:tc>
        <w:tc>
          <w:tcPr>
            <w:tcW w:w="2552" w:type="dxa"/>
            <w:tcBorders>
              <w:bottom w:val="single" w:sz="4" w:space="0" w:color="auto"/>
            </w:tcBorders>
            <w:vAlign w:val="center"/>
          </w:tcPr>
          <w:p w14:paraId="1F847AE7" w14:textId="77FA4E0A" w:rsidR="00F038E5" w:rsidRPr="00F038E5" w:rsidRDefault="003E3323" w:rsidP="00F038E5">
            <w:r>
              <w:t>Combined OSL curves</w:t>
            </w:r>
          </w:p>
        </w:tc>
        <w:tc>
          <w:tcPr>
            <w:tcW w:w="2759" w:type="dxa"/>
            <w:tcBorders>
              <w:bottom w:val="single" w:sz="4" w:space="0" w:color="auto"/>
              <w:right w:val="single" w:sz="4" w:space="0" w:color="auto"/>
            </w:tcBorders>
            <w:vAlign w:val="center"/>
          </w:tcPr>
          <w:p w14:paraId="386BB959" w14:textId="26FA7282" w:rsidR="00F038E5" w:rsidRPr="00F038E5" w:rsidRDefault="00F038E5" w:rsidP="00F038E5">
            <m:oMathPara>
              <m:oMathParaPr>
                <m:jc m:val="left"/>
              </m:oMathParaPr>
              <m:oMath>
                <m:r>
                  <w:rPr>
                    <w:rFonts w:ascii="Cambria Math" w:hAnsi="Cambria Math"/>
                  </w:rPr>
                  <m:t>M=100, 200, 400</m:t>
                </m:r>
              </m:oMath>
            </m:oMathPara>
          </w:p>
        </w:tc>
      </w:tr>
    </w:tbl>
    <w:p w14:paraId="6150FA5D" w14:textId="77777777" w:rsidR="00F038E5" w:rsidRDefault="00F038E5" w:rsidP="00F038E5"/>
    <w:p w14:paraId="0534CC17" w14:textId="35596A51" w:rsidR="00746AAC" w:rsidRDefault="007C0CDC" w:rsidP="007C0CDC">
      <w:pPr>
        <w:pStyle w:val="Listenabsatz"/>
        <w:numPr>
          <w:ilvl w:val="0"/>
          <w:numId w:val="5"/>
        </w:numPr>
      </w:pPr>
      <w:r>
        <w:t>Of particular interest is the F-value needed to separate correct fitting from over- and under-fittings</w:t>
      </w:r>
      <w:proofErr w:type="gramStart"/>
      <w:r>
        <w:t>:</w:t>
      </w:r>
      <w:proofErr w:type="gramEnd"/>
      <w:r>
        <w:br/>
      </w:r>
      <w:r w:rsidRPr="007C0CDC">
        <w:rPr>
          <w:i/>
        </w:rPr>
        <w:t>Rework diagram, draw legend into it. Try to use Excel!</w:t>
      </w:r>
    </w:p>
    <w:p w14:paraId="015A5796" w14:textId="6E9699F2" w:rsidR="007C0CDC" w:rsidRPr="00F038E5" w:rsidRDefault="007C0CDC" w:rsidP="007C0CDC">
      <w:pPr>
        <w:pStyle w:val="Listenabsatz"/>
        <w:numPr>
          <w:ilvl w:val="0"/>
          <w:numId w:val="5"/>
        </w:numPr>
      </w:pPr>
      <w:r>
        <w:rPr>
          <w:noProof/>
          <w:lang w:eastAsia="en-GB"/>
        </w:rPr>
        <w:drawing>
          <wp:inline distT="0" distB="0" distL="0" distR="0" wp14:anchorId="2D95CAC5" wp14:editId="0DF13071">
            <wp:extent cx="2739567" cy="1956021"/>
            <wp:effectExtent l="0" t="0" r="381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9882" cy="1956246"/>
                    </a:xfrm>
                    <a:prstGeom prst="rect">
                      <a:avLst/>
                    </a:prstGeom>
                    <a:noFill/>
                    <a:ln>
                      <a:noFill/>
                    </a:ln>
                  </pic:spPr>
                </pic:pic>
              </a:graphicData>
            </a:graphic>
          </wp:inline>
        </w:drawing>
      </w:r>
    </w:p>
    <w:p w14:paraId="393AF404" w14:textId="77777777" w:rsidR="00F038E5" w:rsidRPr="00430FEC" w:rsidRDefault="00F038E5" w:rsidP="00430FEC"/>
    <w:p w14:paraId="6ABBD381" w14:textId="6F965A79" w:rsidR="00430FEC" w:rsidRDefault="00430FEC" w:rsidP="00430FEC">
      <w:pPr>
        <w:pStyle w:val="berschrift2"/>
      </w:pPr>
      <w:r>
        <w:t>3.2 Step 2 accuracy and reliability</w:t>
      </w:r>
    </w:p>
    <w:p w14:paraId="3D403171" w14:textId="77777777" w:rsidR="00430FEC" w:rsidRDefault="00430FEC" w:rsidP="00430FEC"/>
    <w:p w14:paraId="678643E5" w14:textId="75276EE0" w:rsidR="00F038E5" w:rsidRDefault="00F038E5" w:rsidP="00F038E5">
      <w:pPr>
        <w:pStyle w:val="berschrift2"/>
      </w:pPr>
      <w:r>
        <w:t>3.3 Implications of uncorrected background signals</w:t>
      </w:r>
    </w:p>
    <w:p w14:paraId="0656A9C2" w14:textId="5919B961" w:rsidR="003E3323" w:rsidRPr="003E3323" w:rsidRDefault="003E3323" w:rsidP="003E3323">
      <w:r>
        <w:t>So far we</w:t>
      </w:r>
      <w:r w:rsidR="00746AAC">
        <w:t xml:space="preserve"> ignored the effects of uncorrected background signals or the </w:t>
      </w:r>
    </w:p>
    <w:p w14:paraId="6CE7D614" w14:textId="7B6B28FC" w:rsidR="00430FEC" w:rsidRDefault="00430FEC" w:rsidP="00430FEC">
      <w:pPr>
        <w:pStyle w:val="berschrift1"/>
      </w:pPr>
      <w:r>
        <w:lastRenderedPageBreak/>
        <w:t>4 R package OSLdecomposition</w:t>
      </w:r>
    </w:p>
    <w:p w14:paraId="69642FCE" w14:textId="77777777" w:rsidR="006A1AAE" w:rsidRPr="006A1AAE" w:rsidRDefault="006A1AAE" w:rsidP="006A1AAE"/>
    <w:p w14:paraId="57AFD0F4" w14:textId="0A37D977" w:rsidR="00AA0AE0" w:rsidRDefault="00FB54AB" w:rsidP="00FB54AB">
      <w:pPr>
        <w:pStyle w:val="berschrift2"/>
      </w:pPr>
      <w:r>
        <w:t xml:space="preserve">4.1 </w:t>
      </w:r>
      <w:r w:rsidR="00AA0AE0">
        <w:t>List of basic functions</w:t>
      </w:r>
    </w:p>
    <w:p w14:paraId="31AD94DC" w14:textId="77777777" w:rsidR="00AA0AE0" w:rsidRDefault="00AA0AE0" w:rsidP="00AA0AE0"/>
    <w:p w14:paraId="5C9C8C10" w14:textId="08809809" w:rsidR="00AA0AE0" w:rsidRDefault="00FB54AB" w:rsidP="00FB54AB">
      <w:pPr>
        <w:pStyle w:val="berschrift2"/>
      </w:pPr>
      <w:r>
        <w:t>4.2 Interaction with the Luminescence package</w:t>
      </w:r>
    </w:p>
    <w:p w14:paraId="20D57B62" w14:textId="77777777" w:rsidR="00FB54AB" w:rsidRDefault="00FB54AB" w:rsidP="00AA0AE0"/>
    <w:p w14:paraId="233FC04B" w14:textId="77777777" w:rsidR="00FB54AB" w:rsidRPr="00AA0AE0" w:rsidRDefault="00FB54AB" w:rsidP="00AA0AE0"/>
    <w:p w14:paraId="3EDAA9B5" w14:textId="77777777" w:rsidR="006A1AAE" w:rsidRPr="006A1AAE" w:rsidRDefault="006A1AAE" w:rsidP="006A1AAE"/>
    <w:p w14:paraId="5BD948C1" w14:textId="77E7B3F2" w:rsidR="00430FEC" w:rsidRDefault="00430FEC" w:rsidP="006A1AAE">
      <w:pPr>
        <w:pStyle w:val="berschrift2"/>
      </w:pPr>
      <w:r>
        <w:t>4.2 Workflow</w:t>
      </w:r>
    </w:p>
    <w:p w14:paraId="36130FFD" w14:textId="77777777" w:rsidR="006A1AAE" w:rsidRDefault="006A1AAE" w:rsidP="00430FEC"/>
    <w:p w14:paraId="28A6590E" w14:textId="77777777" w:rsidR="006A1AAE" w:rsidRDefault="006A1AAE" w:rsidP="00430FEC"/>
    <w:p w14:paraId="1D854A01" w14:textId="47E98CED" w:rsidR="006A1AAE" w:rsidRPr="006A1AAE" w:rsidRDefault="006A1AAE" w:rsidP="006A1AAE">
      <w:pPr>
        <w:pStyle w:val="berschrift1"/>
      </w:pPr>
      <w:r>
        <w:t>5 Example data analysis</w:t>
      </w:r>
    </w:p>
    <w:p w14:paraId="0A750014" w14:textId="77777777" w:rsidR="006A1AAE" w:rsidRDefault="006A1AAE" w:rsidP="00430FEC"/>
    <w:p w14:paraId="5C84A4EB" w14:textId="629A7A67" w:rsidR="006A1AAE" w:rsidRDefault="006A1AAE" w:rsidP="006A1AAE">
      <w:pPr>
        <w:pStyle w:val="berschrift1"/>
      </w:pPr>
      <w:r>
        <w:t>6 Discussion and Conclusion</w:t>
      </w:r>
    </w:p>
    <w:p w14:paraId="2245E285" w14:textId="77777777" w:rsidR="00501845" w:rsidRDefault="00501845" w:rsidP="00501845"/>
    <w:p w14:paraId="0E001564" w14:textId="77777777" w:rsidR="00501845" w:rsidRPr="00501845" w:rsidRDefault="00501845" w:rsidP="00501845"/>
    <w:p w14:paraId="766F3FEB" w14:textId="25FE2F03" w:rsidR="006A1AAE" w:rsidRDefault="00501845" w:rsidP="00E9593F">
      <w:pPr>
        <w:pStyle w:val="berschrift1"/>
      </w:pPr>
      <w:r w:rsidRPr="00501845">
        <w:t>Author contribution</w:t>
      </w:r>
    </w:p>
    <w:p w14:paraId="2BDCB5E1" w14:textId="77777777" w:rsidR="00E9593F" w:rsidRPr="00E9593F" w:rsidRDefault="00E9593F" w:rsidP="00E9593F"/>
    <w:p w14:paraId="3266A21B" w14:textId="77777777" w:rsidR="00501845" w:rsidRDefault="00501845" w:rsidP="006A1AAE"/>
    <w:p w14:paraId="59B9F2BA" w14:textId="5F110F43" w:rsidR="00501845" w:rsidRDefault="00501845" w:rsidP="00E9593F">
      <w:pPr>
        <w:pStyle w:val="berschrift1"/>
      </w:pPr>
      <w:r w:rsidRPr="00501845">
        <w:t>Competing interests</w:t>
      </w:r>
    </w:p>
    <w:p w14:paraId="74160736" w14:textId="6F82A6DC" w:rsidR="00E9593F" w:rsidRPr="00E9593F" w:rsidRDefault="00E9593F" w:rsidP="00E9593F">
      <w:r w:rsidRPr="00E9593F">
        <w:t>The authors declare that they have no conflict of interest.</w:t>
      </w:r>
    </w:p>
    <w:p w14:paraId="362D424E" w14:textId="77777777" w:rsidR="00501845" w:rsidRDefault="00501845" w:rsidP="006A1AAE"/>
    <w:p w14:paraId="5F270230" w14:textId="784E6042" w:rsidR="00501845" w:rsidRPr="00026B89" w:rsidRDefault="00501845" w:rsidP="00501845">
      <w:pPr>
        <w:pStyle w:val="berschrift1"/>
        <w:rPr>
          <w:rFonts w:cs="Calibri"/>
          <w:b w:val="0"/>
          <w:szCs w:val="22"/>
        </w:rPr>
      </w:pPr>
      <w:r w:rsidRPr="00026B89">
        <w:lastRenderedPageBreak/>
        <w:t>Acknowledgments</w:t>
      </w:r>
    </w:p>
    <w:p w14:paraId="6F633530" w14:textId="201F1D66" w:rsidR="00501845" w:rsidRPr="00026B89" w:rsidRDefault="00501845" w:rsidP="00501845">
      <w:pPr>
        <w:rPr>
          <w:rFonts w:cs="Calibri"/>
          <w:b/>
          <w:szCs w:val="22"/>
        </w:rPr>
      </w:pPr>
      <w:r w:rsidRPr="00026B89">
        <w:rPr>
          <w:rFonts w:cs="Calibri"/>
          <w:szCs w:val="22"/>
        </w:rPr>
        <w:t xml:space="preserve">We are thankful to </w:t>
      </w:r>
      <w:r>
        <w:rPr>
          <w:rFonts w:cs="Calibri"/>
          <w:szCs w:val="22"/>
        </w:rPr>
        <w:t xml:space="preserve">Margret C. Fuchs for her helpful comments and for providing the data sets BK8, </w:t>
      </w:r>
      <w:proofErr w:type="spellStart"/>
      <w:r>
        <w:rPr>
          <w:rFonts w:cs="Calibri"/>
          <w:szCs w:val="22"/>
        </w:rPr>
        <w:t>Batagai</w:t>
      </w:r>
      <w:proofErr w:type="spellEnd"/>
      <w:r>
        <w:rPr>
          <w:rFonts w:cs="Calibri"/>
          <w:szCs w:val="22"/>
        </w:rPr>
        <w:t xml:space="preserve"> and Oy7. We are thankful to Sebastian Kreutzer for providing the data set BT594 and for his help with R. We are thankful to Richard Bernstein on the fruitful discussions about the underlying math. </w:t>
      </w:r>
      <w:r w:rsidRPr="00026B89">
        <w:rPr>
          <w:rFonts w:cs="Calibri"/>
          <w:szCs w:val="22"/>
        </w:rPr>
        <w:t>This research did not receive any specific grant from funding agencies in the public, commercial, or not-for-profit sectors.</w:t>
      </w:r>
      <w:r w:rsidRPr="00026B89">
        <w:rPr>
          <w:rFonts w:cs="Calibri"/>
          <w:b/>
          <w:szCs w:val="22"/>
        </w:rPr>
        <w:t xml:space="preserve"> </w:t>
      </w:r>
    </w:p>
    <w:p w14:paraId="182E2FE1" w14:textId="77777777" w:rsidR="006A1AAE" w:rsidRPr="006A1AAE" w:rsidRDefault="006A1AAE" w:rsidP="006A1AAE"/>
    <w:p w14:paraId="4D0C9261" w14:textId="77777777" w:rsidR="00430FEC" w:rsidRDefault="00430FEC" w:rsidP="00505D2B"/>
    <w:p w14:paraId="5300A154" w14:textId="77777777" w:rsidR="00C26311" w:rsidRDefault="00F5258E" w:rsidP="00F5258E">
      <w:pPr>
        <w:pStyle w:val="berschrift1"/>
      </w:pPr>
      <w:r>
        <w:t>References</w:t>
      </w:r>
    </w:p>
    <w:p w14:paraId="445F3753" w14:textId="77777777" w:rsidR="00F12705" w:rsidRPr="00F12705" w:rsidRDefault="00E54BB7" w:rsidP="00F12705">
      <w:pPr>
        <w:pStyle w:val="Literaturverzeichnis"/>
      </w:pPr>
      <w:r>
        <w:fldChar w:fldCharType="begin"/>
      </w:r>
      <w:r w:rsidR="006A1AAE">
        <w:instrText xml:space="preserve"> ADDIN ZOTERO_BIBL {"uncited":[],"omitted":[],"custom":[]} CSL_BIBLIOGRAPHY </w:instrText>
      </w:r>
      <w:r>
        <w:fldChar w:fldCharType="separate"/>
      </w:r>
      <w:r w:rsidR="00F12705" w:rsidRPr="00F12705">
        <w:t>Aitken, M. J.: An introduction to optical dating: the dating of Quaternary sediments by the use of photon-stimulated luminescence, Oxford University Press, Oxford ; New York., 1998.</w:t>
      </w:r>
    </w:p>
    <w:p w14:paraId="13DA4A50" w14:textId="77777777" w:rsidR="00F12705" w:rsidRPr="00F12705" w:rsidRDefault="00F12705" w:rsidP="00F12705">
      <w:pPr>
        <w:pStyle w:val="Literaturverzeichnis"/>
      </w:pPr>
      <w:r w:rsidRPr="00F12705">
        <w:t>Bailey, R.: Simulations of Variability in the Luminescence Characteristics of Natural Quartz and its Implications for Estimates of Absorbed Dose, Radiation Protection Dosimetry, 100(1), 33–38, doi:10.1093/oxfordjournals.rpd.a005881, 2002.</w:t>
      </w:r>
    </w:p>
    <w:p w14:paraId="3861ACC4" w14:textId="77777777" w:rsidR="00F12705" w:rsidRPr="00F12705" w:rsidRDefault="00F12705" w:rsidP="00F12705">
      <w:pPr>
        <w:pStyle w:val="Literaturverzeichnis"/>
      </w:pPr>
      <w:r w:rsidRPr="00F12705">
        <w:t>Bailey, R. M.: The interpretation of quartz optically stimulated luminescence equivalent dose versus time plots, Radiation Measurements, 32(2), 129–140, doi:10.1016/S1350-4487(99)00256-5, 2000.</w:t>
      </w:r>
    </w:p>
    <w:p w14:paraId="162D9C8B" w14:textId="77777777" w:rsidR="00F12705" w:rsidRPr="00F12705" w:rsidRDefault="00F12705" w:rsidP="00F12705">
      <w:pPr>
        <w:pStyle w:val="Literaturverzeichnis"/>
      </w:pPr>
      <w:r w:rsidRPr="00F12705">
        <w:t>Bailey, R. M.: Paper II: The interpretation of measurement-time-dependent single-aliquot equivalent-dose estimates using predictions from a simple empirical model, Radiation Measurements, 37(6), 685–691, doi:10.1016/S1350-4487(03)00079-9, 2003.</w:t>
      </w:r>
    </w:p>
    <w:p w14:paraId="6EDB42F4" w14:textId="77777777" w:rsidR="00F12705" w:rsidRPr="00F12705" w:rsidRDefault="00F12705" w:rsidP="00F12705">
      <w:pPr>
        <w:pStyle w:val="Literaturverzeichnis"/>
      </w:pPr>
      <w:r w:rsidRPr="00F12705">
        <w:t>Bailey, R. M.: Direct measurement of the fast component of quartz optically stimulated luminescence and implications for the accuracy of optical dating, Quaternary Geochronology, 5(5), 559–568, doi:10.1016/j.quageo.2009.10.003, 2010.</w:t>
      </w:r>
    </w:p>
    <w:p w14:paraId="6CA48F43" w14:textId="77777777" w:rsidR="00F12705" w:rsidRPr="00F12705" w:rsidRDefault="00F12705" w:rsidP="00F12705">
      <w:pPr>
        <w:pStyle w:val="Literaturverzeichnis"/>
      </w:pPr>
      <w:r w:rsidRPr="00F12705">
        <w:t>Bailey, R. M., Smith, B. W. and Rhodes, E. J.: Partial bleaching and the decay form characteristics of quartz OSL, Radiation Measurements, 27(2), 123–136, doi:10.1016/S1350-4487(96)00157-6, 1997.</w:t>
      </w:r>
    </w:p>
    <w:p w14:paraId="0018EA84" w14:textId="77777777" w:rsidR="00F12705" w:rsidRPr="00F12705" w:rsidRDefault="00F12705" w:rsidP="00F12705">
      <w:pPr>
        <w:pStyle w:val="Literaturverzeichnis"/>
      </w:pPr>
      <w:r w:rsidRPr="00F12705">
        <w:t>Ballarini, M., Wallinga, J., Wintle, A. G. and Bos, A. J. J.: A modified SAR protocol for optical dating of individual grains from young quartz samples, Radiation Measurements, 42(3), 360–369, doi:10.1016/j.radmeas.2006.12.016, 2007.</w:t>
      </w:r>
    </w:p>
    <w:p w14:paraId="56E97017" w14:textId="77777777" w:rsidR="00F12705" w:rsidRPr="00F12705" w:rsidRDefault="00F12705" w:rsidP="00F12705">
      <w:pPr>
        <w:pStyle w:val="Literaturverzeichnis"/>
      </w:pPr>
      <w:r w:rsidRPr="00F12705">
        <w:t>Bluszcz, A. and Adamiec, G.: Application of differential evolution to fitting OSL decay curves, Radiation Measurements, 41(7–8), 886–891, doi:10.1016/j.radmeas.2006.05.016, 2006.</w:t>
      </w:r>
    </w:p>
    <w:p w14:paraId="547E0DA7" w14:textId="77777777" w:rsidR="00F12705" w:rsidRPr="00F12705" w:rsidRDefault="00F12705" w:rsidP="00F12705">
      <w:pPr>
        <w:pStyle w:val="Literaturverzeichnis"/>
      </w:pPr>
      <w:r w:rsidRPr="00F12705">
        <w:t>Bos, A. J. J. and Wallinga, J.: How to visualize quartz OSL signal components, Radiation Measurements, 47(9), 752–758, doi:10.1016/j.radmeas.2012.01.013, 2012.</w:t>
      </w:r>
    </w:p>
    <w:p w14:paraId="02DEAB58" w14:textId="77777777" w:rsidR="00F12705" w:rsidRPr="00F12705" w:rsidRDefault="00F12705" w:rsidP="00F12705">
      <w:pPr>
        <w:pStyle w:val="Literaturverzeichnis"/>
      </w:pPr>
      <w:r w:rsidRPr="00F12705">
        <w:t>Bulur, E.: An alternative technique for optically stimulated luminescence (OSL) experiment, Radiation Measurements, 26(5), 701–709, doi:10.1016/S1350-4487(97)82884-3, 1996.</w:t>
      </w:r>
    </w:p>
    <w:p w14:paraId="3360031F" w14:textId="77777777" w:rsidR="00F12705" w:rsidRPr="00F12705" w:rsidRDefault="00F12705" w:rsidP="00F12705">
      <w:pPr>
        <w:pStyle w:val="Literaturverzeichnis"/>
      </w:pPr>
      <w:r w:rsidRPr="00F12705">
        <w:t>Bulur, E.: A simple transformation for converting CW-OSL curves to LM-OSL curves, Radiation Measurements, 32(2), 141–145, doi:10.1016/S1350-4487(99)00247-4, 2000.</w:t>
      </w:r>
    </w:p>
    <w:p w14:paraId="05647FEE" w14:textId="77777777" w:rsidR="00F12705" w:rsidRPr="00F12705" w:rsidRDefault="00F12705" w:rsidP="00F12705">
      <w:pPr>
        <w:pStyle w:val="Literaturverzeichnis"/>
      </w:pPr>
      <w:r w:rsidRPr="00F12705">
        <w:lastRenderedPageBreak/>
        <w:t>Bulur, E., Bøtter-Jensen, L. and Murray, A. S.: Optically stimulated luminescence from quartz measured using the linear modulation technique, Radiation Measurements, 32(5–6), 407–411, doi:10.1016/S1350-4487(00)00115-3, 2000.</w:t>
      </w:r>
    </w:p>
    <w:p w14:paraId="7B8C7266" w14:textId="77777777" w:rsidR="00F12705" w:rsidRPr="00F12705" w:rsidRDefault="00F12705" w:rsidP="00F12705">
      <w:pPr>
        <w:pStyle w:val="Literaturverzeichnis"/>
      </w:pPr>
      <w:r w:rsidRPr="00F12705">
        <w:t>Choi, J. H., Murray, A. S., Cheong, C. S., Hong, D. G. and Chang, H. W.: The resolution of stratigraphic inconsistency in the luminescence ages of marine terrace sediments from Korea, Quaternary Science Reviews, 22(10–13), 1201–1206, doi:10.1016/S0277-3791(03)00022-2, 2003.</w:t>
      </w:r>
    </w:p>
    <w:p w14:paraId="560DA1F3" w14:textId="77777777" w:rsidR="00F12705" w:rsidRPr="00F12705" w:rsidRDefault="00F12705" w:rsidP="00F12705">
      <w:pPr>
        <w:pStyle w:val="Literaturverzeichnis"/>
      </w:pPr>
      <w:r w:rsidRPr="00F12705">
        <w:t>Cunningham, A. C. and Wallinga, J.: Selection of integration time intervals for quartz OSL decay curves, Quaternary Geochronology, 5(6), 657–666, doi:10.1016/j.quageo.2010.08.004, 2010.</w:t>
      </w:r>
    </w:p>
    <w:p w14:paraId="640ABA85" w14:textId="77777777" w:rsidR="00F12705" w:rsidRPr="00F12705" w:rsidRDefault="00F12705" w:rsidP="00F12705">
      <w:pPr>
        <w:pStyle w:val="Literaturverzeichnis"/>
      </w:pPr>
      <w:r w:rsidRPr="00F12705">
        <w:t>Durcan, J. A. and Duller, G. A. T.: The fast ratio: A rapid measure for testing the dominance of the fast component in the initial OSL signal from quartz, Radiation Measurements, 46(10), 1065–1072, doi:10.1016/j.radmeas.2011.07.016, 2011.</w:t>
      </w:r>
    </w:p>
    <w:p w14:paraId="0AA278F4" w14:textId="77777777" w:rsidR="00F12705" w:rsidRPr="00F12705" w:rsidRDefault="00F12705" w:rsidP="00F12705">
      <w:pPr>
        <w:pStyle w:val="Literaturverzeichnis"/>
      </w:pPr>
      <w:r w:rsidRPr="00F12705">
        <w:t>Fuchs, M. and Lang, A.: Luminescence dating of hillslope deposits—A review, Geomorphology, 109(1–2), 17–26, doi:10.1016/j.geomorph.2008.08.025, 2009.</w:t>
      </w:r>
    </w:p>
    <w:p w14:paraId="1606ED0E" w14:textId="77777777" w:rsidR="00F12705" w:rsidRPr="00F12705" w:rsidRDefault="00F12705" w:rsidP="00F12705">
      <w:pPr>
        <w:pStyle w:val="Literaturverzeichnis"/>
      </w:pPr>
      <w:r w:rsidRPr="00F12705">
        <w:t>Goble, R. J. and Rittenour, T. M.: A  Linear  Modulation  OSL  Study  of  the  Unstable  Ultrafast  Component   in   Samples   from   Glacial   Lake   Hitchcock,   Massachusetts, USA, Ancient TL, 24(2) [online] Available from: https://www.researchgate.net/publication/268359162_A_Linear_Modulation_OSL_Study_of_the_Unstable_Ultrafast_Component_in_Samples_from_Glacial_Lake_Hitchcock_Massachusetts_USA, 2006.</w:t>
      </w:r>
    </w:p>
    <w:p w14:paraId="22C0DF58" w14:textId="77777777" w:rsidR="00F12705" w:rsidRPr="00F12705" w:rsidRDefault="00F12705" w:rsidP="00F12705">
      <w:pPr>
        <w:pStyle w:val="Literaturverzeichnis"/>
      </w:pPr>
      <w:r w:rsidRPr="00F12705">
        <w:t>Huntley, D. J., Godfrey-Smith, D. I. and Thewalt, M. L. W.: Optical dating of sediments, Nature, 313(5998), 105–107, doi:10.1038/313105a0, 1985.</w:t>
      </w:r>
    </w:p>
    <w:p w14:paraId="5C4501B8" w14:textId="77777777" w:rsidR="00F12705" w:rsidRPr="00F12705" w:rsidRDefault="00F12705" w:rsidP="00F12705">
      <w:pPr>
        <w:pStyle w:val="Literaturverzeichnis"/>
      </w:pPr>
      <w:r w:rsidRPr="00F12705">
        <w:t>Istratov, A. A. and Vyvenko, O. F.: Exponential analysis in physical phenomena, Review of Scientific Instruments, 70(2), 1233–1257, doi:10.1063/1.1149581, 1999.</w:t>
      </w:r>
    </w:p>
    <w:p w14:paraId="5E5FC602" w14:textId="77777777" w:rsidR="00F12705" w:rsidRPr="00F12705" w:rsidRDefault="00F12705" w:rsidP="00F12705">
      <w:pPr>
        <w:pStyle w:val="Literaturverzeichnis"/>
      </w:pPr>
      <w:r w:rsidRPr="00F12705">
        <w:t>Jain, M., Murray, A. S. and Bøtter-Jensen, L.: Characterisation of blue-light stimulated luminescence components in different quartz samples: implications for dose measurement, Radiation Measurements, 37, 441–449, 2003.</w:t>
      </w:r>
    </w:p>
    <w:p w14:paraId="1B3C3696" w14:textId="77777777" w:rsidR="00F12705" w:rsidRPr="00F12705" w:rsidRDefault="00F12705" w:rsidP="00F12705">
      <w:pPr>
        <w:pStyle w:val="Literaturverzeichnis"/>
      </w:pPr>
      <w:r w:rsidRPr="00F12705">
        <w:t>Jain, M., Murray, A. S., Bøtter-Jensen, L. and Wintle, A. G.: A single-aliquot regenerative-dose method based on IR (1.49eV) bleaching of the fast OSL component in quartz, Radiation Measurements, 39(3), 309–318, doi:10.1016/j.radmeas.2004.05.004, 2005.</w:t>
      </w:r>
    </w:p>
    <w:p w14:paraId="7006D5A2" w14:textId="77777777" w:rsidR="00F12705" w:rsidRPr="00F12705" w:rsidRDefault="00F12705" w:rsidP="00F12705">
      <w:pPr>
        <w:pStyle w:val="Literaturverzeichnis"/>
      </w:pPr>
      <w:r w:rsidRPr="00F12705">
        <w:t>Jain, M., Choi, J. H. and Thomas, P. J.: The ultrafast OSL component in quartz: Origins and implications, Radiation Measurements, 43(2), 709–714, doi:10.1016/j.radmeas.2008.01.005, 2008.</w:t>
      </w:r>
    </w:p>
    <w:p w14:paraId="513E8A15" w14:textId="77777777" w:rsidR="00F12705" w:rsidRPr="00F12705" w:rsidRDefault="00F12705" w:rsidP="00F12705">
      <w:pPr>
        <w:pStyle w:val="Literaturverzeichnis"/>
      </w:pPr>
      <w:r w:rsidRPr="00F12705">
        <w:t>Kitis, G., Polymeris, G., Kiyak, N. and Pagonis, V.: Preliminary results towards the equivalence of transformed continuous-wave Optically Stimulated Luminescence (CW-OSL) and linearly-modulated (LM-OSL) signals in quartz, Geochronometria, 38(3), 209–216, doi:10.2478/s13386-011-0031-8, 2011.</w:t>
      </w:r>
    </w:p>
    <w:p w14:paraId="67442690" w14:textId="77777777" w:rsidR="00F12705" w:rsidRPr="00F12705" w:rsidRDefault="00F12705" w:rsidP="00F12705">
      <w:pPr>
        <w:pStyle w:val="Literaturverzeichnis"/>
      </w:pPr>
      <w:r w:rsidRPr="00F12705">
        <w:t>Klasen, N., Fischer, P., Lehmkuhl, F. and Hilgers, A.: Luminescence dating of loess deposits from the Remagen-Schwalbenberg site, Western Germany, Geochronometria, 42(1), doi:10.1515/geochr-2015-0008, 2015.</w:t>
      </w:r>
    </w:p>
    <w:p w14:paraId="3C884179" w14:textId="77777777" w:rsidR="00F12705" w:rsidRPr="00F12705" w:rsidRDefault="00F12705" w:rsidP="00F12705">
      <w:pPr>
        <w:pStyle w:val="Literaturverzeichnis"/>
      </w:pPr>
      <w:r w:rsidRPr="00F12705">
        <w:t>Kreutzer, S., Schmidt, C., Fuchs, M. C., Dietze, M., Fischer, M. and Fuchs, M.: Introducing an R package for luminescence dating analysis, Ancient TL, 30, 1–8, 2012.</w:t>
      </w:r>
    </w:p>
    <w:p w14:paraId="52448CA8" w14:textId="77777777" w:rsidR="00F12705" w:rsidRPr="00F12705" w:rsidRDefault="00F12705" w:rsidP="00F12705">
      <w:pPr>
        <w:pStyle w:val="Literaturverzeichnis"/>
      </w:pPr>
      <w:r w:rsidRPr="00F12705">
        <w:t>Li, B. and Li, S.-H.: Comparison of De estimates using the fast component and the medium component of quartz OSL, Radiation Measurements, 41(2), 125–136, doi:10.1016/j.radmeas.2005.06.037, 2006.</w:t>
      </w:r>
    </w:p>
    <w:p w14:paraId="2AD4F0BC" w14:textId="77777777" w:rsidR="00F12705" w:rsidRPr="00F12705" w:rsidRDefault="00F12705" w:rsidP="00F12705">
      <w:pPr>
        <w:pStyle w:val="Literaturverzeichnis"/>
      </w:pPr>
      <w:r w:rsidRPr="00F12705">
        <w:lastRenderedPageBreak/>
        <w:t>Mittelstraß, D.: Decomposition of weak optically stimulated luminescence signals and its application in retrospective dosimetry at quartz, Master thesis, TU Dresden, Dresden., 2019.</w:t>
      </w:r>
    </w:p>
    <w:p w14:paraId="46241EC2" w14:textId="77777777" w:rsidR="00F12705" w:rsidRPr="00F12705" w:rsidRDefault="00F12705" w:rsidP="00F12705">
      <w:pPr>
        <w:pStyle w:val="Literaturverzeichnis"/>
      </w:pPr>
      <w:r w:rsidRPr="00F12705">
        <w:t>Pagonis, V., Kreutzer, S., Duncan, A. R., Rajovic, E., Laag, C. and Schmidt, C.: On the stochastic uncertainties of thermally and optically stimulated luminescence signals: A Monte Carlo approach, Journal of Luminescence, 219, 116945, doi:10.1016/j.jlumin.2019.116945, 2020.</w:t>
      </w:r>
    </w:p>
    <w:p w14:paraId="72BCD6BC" w14:textId="77777777" w:rsidR="00F12705" w:rsidRPr="00F12705" w:rsidRDefault="00F12705" w:rsidP="00F12705">
      <w:pPr>
        <w:pStyle w:val="Literaturverzeichnis"/>
      </w:pPr>
      <w:r w:rsidRPr="00F12705">
        <w:t>Peng, J., Dong, Z., Han, F., Han, Y. and Dai, X.: Estimating the number of components in an OSL decay curve using the Bayesian Information Criterion, Geochronometria, 41(4), 334–341, doi:10.2478/s13386-013-0166-x, 2014.</w:t>
      </w:r>
    </w:p>
    <w:p w14:paraId="5186D777" w14:textId="77777777" w:rsidR="00F12705" w:rsidRPr="00F12705" w:rsidRDefault="00F12705" w:rsidP="00F12705">
      <w:pPr>
        <w:pStyle w:val="Literaturverzeichnis"/>
      </w:pPr>
      <w:r w:rsidRPr="00F12705">
        <w:t>Preusser, F., Chithambo, M. L., Götte, T., Martini, M., Ramseyer, K., Sendezera, E. J., Susino, G. J. and Wintle, A. G.: Quartz as a natural luminescence dosimeter, Earth-Science Reviews, 97(1–4), 184–214, doi:10.1016/j.earscirev.2009.09.006, 2009.</w:t>
      </w:r>
    </w:p>
    <w:p w14:paraId="3D04E319" w14:textId="77777777" w:rsidR="00F12705" w:rsidRPr="00F12705" w:rsidRDefault="00F12705" w:rsidP="00F12705">
      <w:pPr>
        <w:pStyle w:val="Literaturverzeichnis"/>
      </w:pPr>
      <w:r w:rsidRPr="00F12705">
        <w:t>Roberts, R. G., Jacobs, Z., Li, B., Jankowski, N. R., Cunningham, A. C. and Rosenfeld, A. B.: Optical dating in archaeology: thirty years in retrospect and grand challenges for the future, Journal of Archaeological Science, 56, 41–60, doi:10.1016/j.jas.2015.02.028, 2015.</w:t>
      </w:r>
    </w:p>
    <w:p w14:paraId="7F88FB03" w14:textId="77777777" w:rsidR="00F12705" w:rsidRPr="00F12705" w:rsidRDefault="00F12705" w:rsidP="00F12705">
      <w:pPr>
        <w:pStyle w:val="Literaturverzeichnis"/>
      </w:pPr>
      <w:r w:rsidRPr="00F12705">
        <w:t>Shen, Z. and Lang, A.: Quartz fast component opticallystimulated luminescence: Towards routine extraction for dating applications, Radiation Measurements, 89, 27–34, doi:10.1016/j.radmeas.2016.01.034, 2016.</w:t>
      </w:r>
    </w:p>
    <w:p w14:paraId="4512A67D" w14:textId="77777777" w:rsidR="00F12705" w:rsidRPr="00F12705" w:rsidRDefault="00F12705" w:rsidP="00F12705">
      <w:pPr>
        <w:pStyle w:val="Literaturverzeichnis"/>
      </w:pPr>
      <w:r w:rsidRPr="00F12705">
        <w:t>Singarayer, J. S. and Bailey, R. M.: Further investigations of the quartz optically stimulated luminescence components using linear modulation, Radiation Measurements, 37(4), 451–458, doi:10.1016/S1350-4487(03)00062-3, 2003.</w:t>
      </w:r>
    </w:p>
    <w:p w14:paraId="7789E1BF" w14:textId="77777777" w:rsidR="00F12705" w:rsidRPr="00F12705" w:rsidRDefault="00F12705" w:rsidP="00F12705">
      <w:pPr>
        <w:pStyle w:val="Literaturverzeichnis"/>
      </w:pPr>
      <w:r w:rsidRPr="00F12705">
        <w:t>Singarayer, J. S. and Bailey, R. M.: Component-resolved bleaching spectra of quartz optically stimulated luminescence: preliminary results and implications for dating, Radiation Measurements, 38(1), 111–118, doi:10.1016/S1350-4487(03)00250-6, 2004.</w:t>
      </w:r>
    </w:p>
    <w:p w14:paraId="7FA66281" w14:textId="77777777" w:rsidR="00F12705" w:rsidRPr="00F12705" w:rsidRDefault="00F12705" w:rsidP="00F12705">
      <w:pPr>
        <w:pStyle w:val="Literaturverzeichnis"/>
      </w:pPr>
      <w:r w:rsidRPr="00F12705">
        <w:t>Smith, B. W. and Rhodes, E. J.: Charge movements in quartz and their relevance to optical dating, Radiation Measurements, 23(2), 329–333, doi:10.1016/1350-4487(94)90060-4, 1994.</w:t>
      </w:r>
    </w:p>
    <w:p w14:paraId="2D1DF450" w14:textId="77777777" w:rsidR="00F12705" w:rsidRPr="00F12705" w:rsidRDefault="00F12705" w:rsidP="00F12705">
      <w:pPr>
        <w:pStyle w:val="Literaturverzeichnis"/>
      </w:pPr>
      <w:r w:rsidRPr="00F12705">
        <w:t>Solongo, S., Wagner, G. A. and Galbaatar, T.: The estimation of using the fast and medium components in fired quartz from archaeological site Karakorum, Mongolia, Radiation Measurements, 41(7–8), 1001–1008, doi:10.1016/j.radmeas.2006.05.023, 2006.</w:t>
      </w:r>
    </w:p>
    <w:p w14:paraId="713267DE" w14:textId="77777777" w:rsidR="00F12705" w:rsidRPr="00F12705" w:rsidRDefault="00F12705" w:rsidP="00F12705">
      <w:pPr>
        <w:pStyle w:val="Literaturverzeichnis"/>
      </w:pPr>
      <w:r w:rsidRPr="00F12705">
        <w:t>Steffen, D., Preusser, F. and Schlunegger, F.: OSL quartz age underestimation due to unstable signal components, Quaternary Geochronology, 4(5), 353–362, doi:10.1016/j.quageo.2009.05.015, 2009.</w:t>
      </w:r>
    </w:p>
    <w:p w14:paraId="35C7A271" w14:textId="77777777" w:rsidR="00F12705" w:rsidRPr="00F12705" w:rsidRDefault="00F12705" w:rsidP="00F12705">
      <w:pPr>
        <w:pStyle w:val="Literaturverzeichnis"/>
      </w:pPr>
      <w:r w:rsidRPr="00F12705">
        <w:t>Storn, R. and Price, K.: Differential Evolution – A Simple and Efficient Heuristic for global Optimization over Continuous Spaces, Journal of Global Optimization, 11(4), 341–359, doi:10.1023/A:1008202821328, 1997.</w:t>
      </w:r>
    </w:p>
    <w:p w14:paraId="46AF8704" w14:textId="77777777" w:rsidR="00F12705" w:rsidRPr="00F12705" w:rsidRDefault="00F12705" w:rsidP="00F12705">
      <w:pPr>
        <w:pStyle w:val="Literaturverzeichnis"/>
      </w:pPr>
      <w:r w:rsidRPr="00F12705">
        <w:t>Tsukamoto, S., Rink, W. J. and Watanuki, T.: OSL of tephric loess and volcanic quartz in Japan and an alternative procedure for estimating De from a fast OSL component, Radiation Measurements, 37(4), 459–465, doi:10.1016/S1350-4487(03)00054-4, 2003.</w:t>
      </w:r>
    </w:p>
    <w:p w14:paraId="56DB869C" w14:textId="77777777" w:rsidR="00F12705" w:rsidRPr="00F12705" w:rsidRDefault="00F12705" w:rsidP="00F12705">
      <w:pPr>
        <w:pStyle w:val="Literaturverzeichnis"/>
      </w:pPr>
      <w:r w:rsidRPr="00F12705">
        <w:t>Wintle, A. G. and Murray, A. S.: A review of quartz optically stimulated luminescence characteristics and their relevance in single-aliquot regeneration dating protocols, Radiation Measurements, 41, 369–391, 2006.</w:t>
      </w:r>
    </w:p>
    <w:p w14:paraId="1CA2D37A" w14:textId="50A47C32" w:rsidR="00E54BB7" w:rsidRDefault="00E54BB7" w:rsidP="00E54BB7">
      <w:r>
        <w:fldChar w:fldCharType="end"/>
      </w:r>
    </w:p>
    <w:p w14:paraId="5CA237A9" w14:textId="77777777" w:rsidR="00F5258E" w:rsidRDefault="00F5258E" w:rsidP="00E54BB7"/>
    <w:p w14:paraId="563E46CE" w14:textId="77777777" w:rsidR="00F5258E" w:rsidRDefault="003A4FB4" w:rsidP="003D5288">
      <w:r>
        <w:rPr>
          <w:noProof/>
          <w:lang w:eastAsia="en-GB"/>
        </w:rPr>
        <w:drawing>
          <wp:inline distT="0" distB="0" distL="0" distR="0" wp14:anchorId="6153335F" wp14:editId="4FE6B780">
            <wp:extent cx="5437643" cy="100584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Pub-RGB.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37643" cy="1005842"/>
                    </a:xfrm>
                    <a:prstGeom prst="rect">
                      <a:avLst/>
                    </a:prstGeom>
                  </pic:spPr>
                </pic:pic>
              </a:graphicData>
            </a:graphic>
          </wp:inline>
        </w:drawing>
      </w:r>
    </w:p>
    <w:p w14:paraId="2E2F22B5" w14:textId="77777777" w:rsidR="003A4FB4" w:rsidRDefault="003A4FB4" w:rsidP="003A4FB4">
      <w:pPr>
        <w:pStyle w:val="Beschriftung"/>
      </w:pPr>
      <w:r>
        <w:t xml:space="preserve">Figure </w:t>
      </w:r>
      <w:fldSimple w:instr=" SEQ Figure \* ARABIC ">
        <w:r w:rsidR="003118C8">
          <w:rPr>
            <w:noProof/>
          </w:rPr>
          <w:t>1</w:t>
        </w:r>
      </w:fldSimple>
      <w:r>
        <w:t>: The logo of Copernicus Publications.</w:t>
      </w:r>
    </w:p>
    <w:sectPr w:rsidR="003A4FB4" w:rsidSect="00F512A5">
      <w:footerReference w:type="default" r:id="rId15"/>
      <w:pgSz w:w="11907" w:h="13608"/>
      <w:pgMar w:top="567" w:right="936" w:bottom="1338" w:left="936" w:header="0" w:footer="737" w:gutter="0"/>
      <w:lnNumType w:countBy="5" w:distance="227"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21F080" w14:textId="77777777" w:rsidR="00D76F7B" w:rsidRDefault="00D76F7B" w:rsidP="006D0C96">
      <w:pPr>
        <w:spacing w:line="240" w:lineRule="auto"/>
      </w:pPr>
      <w:r>
        <w:separator/>
      </w:r>
    </w:p>
  </w:endnote>
  <w:endnote w:type="continuationSeparator" w:id="0">
    <w:p w14:paraId="1BA5F71A" w14:textId="77777777" w:rsidR="00D76F7B" w:rsidRDefault="00D76F7B"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7788171"/>
      <w:docPartObj>
        <w:docPartGallery w:val="Page Numbers (Bottom of Page)"/>
        <w:docPartUnique/>
      </w:docPartObj>
    </w:sdtPr>
    <w:sdtEndPr>
      <w:rPr>
        <w:noProof/>
      </w:rPr>
    </w:sdtEndPr>
    <w:sdtContent>
      <w:p w14:paraId="5576ABD1" w14:textId="77777777" w:rsidR="00E7758E" w:rsidRDefault="00E7758E">
        <w:pPr>
          <w:pStyle w:val="Fuzeile"/>
          <w:jc w:val="center"/>
        </w:pPr>
        <w:r>
          <w:fldChar w:fldCharType="begin"/>
        </w:r>
        <w:r>
          <w:instrText xml:space="preserve"> PAGE   \* MERGEFORMAT </w:instrText>
        </w:r>
        <w:r>
          <w:fldChar w:fldCharType="separate"/>
        </w:r>
        <w:r w:rsidR="00B064FF">
          <w:rPr>
            <w:noProof/>
          </w:rPr>
          <w:t>8</w:t>
        </w:r>
        <w:r>
          <w:rPr>
            <w:noProof/>
          </w:rPr>
          <w:fldChar w:fldCharType="end"/>
        </w:r>
      </w:p>
    </w:sdtContent>
  </w:sdt>
  <w:p w14:paraId="44AA5123" w14:textId="77777777" w:rsidR="00E7758E" w:rsidRDefault="00E7758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9C4BB6" w14:textId="77777777" w:rsidR="00D76F7B" w:rsidRDefault="00D76F7B" w:rsidP="006D0C96">
      <w:pPr>
        <w:spacing w:line="240" w:lineRule="auto"/>
      </w:pPr>
      <w:r>
        <w:separator/>
      </w:r>
    </w:p>
  </w:footnote>
  <w:footnote w:type="continuationSeparator" w:id="0">
    <w:p w14:paraId="343A2C47" w14:textId="77777777" w:rsidR="00D76F7B" w:rsidRDefault="00D76F7B" w:rsidP="006D0C9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109B2"/>
    <w:multiLevelType w:val="hybridMultilevel"/>
    <w:tmpl w:val="C32CE380"/>
    <w:lvl w:ilvl="0" w:tplc="47480EF2">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3907FD"/>
    <w:multiLevelType w:val="hybridMultilevel"/>
    <w:tmpl w:val="69F2CF82"/>
    <w:lvl w:ilvl="0" w:tplc="A790CA7C">
      <w:start w:val="3"/>
      <w:numFmt w:val="bullet"/>
      <w:lvlText w:val="-"/>
      <w:lvlJc w:val="left"/>
      <w:pPr>
        <w:ind w:left="405" w:hanging="360"/>
      </w:pPr>
      <w:rPr>
        <w:rFonts w:ascii="Times New Roman" w:eastAsia="Times New Roman" w:hAnsi="Times New Roman" w:cs="Times New Roman"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
    <w:nsid w:val="23621EB8"/>
    <w:multiLevelType w:val="hybridMultilevel"/>
    <w:tmpl w:val="B3626938"/>
    <w:lvl w:ilvl="0" w:tplc="F29A847E">
      <w:start w:val="1"/>
      <w:numFmt w:val="bullet"/>
      <w:pStyle w:val="Bullets"/>
      <w:lvlText w:val=""/>
      <w:lvlJc w:val="left"/>
      <w:pPr>
        <w:ind w:left="597" w:hanging="360"/>
      </w:pPr>
      <w:rPr>
        <w:rFonts w:ascii="Wingdings" w:hAnsi="Wingdings" w:hint="default"/>
      </w:rPr>
    </w:lvl>
    <w:lvl w:ilvl="1" w:tplc="08090003">
      <w:start w:val="1"/>
      <w:numFmt w:val="bullet"/>
      <w:lvlText w:val="o"/>
      <w:lvlJc w:val="left"/>
      <w:pPr>
        <w:ind w:left="1317" w:hanging="360"/>
      </w:pPr>
      <w:rPr>
        <w:rFonts w:ascii="Courier New" w:hAnsi="Courier New" w:cs="Courier New" w:hint="default"/>
      </w:rPr>
    </w:lvl>
    <w:lvl w:ilvl="2" w:tplc="08090005">
      <w:start w:val="1"/>
      <w:numFmt w:val="bullet"/>
      <w:lvlText w:val=""/>
      <w:lvlJc w:val="left"/>
      <w:pPr>
        <w:ind w:left="2037" w:hanging="360"/>
      </w:pPr>
      <w:rPr>
        <w:rFonts w:ascii="Wingdings" w:hAnsi="Wingdings" w:hint="default"/>
      </w:rPr>
    </w:lvl>
    <w:lvl w:ilvl="3" w:tplc="08090001">
      <w:start w:val="1"/>
      <w:numFmt w:val="bullet"/>
      <w:lvlText w:val=""/>
      <w:lvlJc w:val="left"/>
      <w:pPr>
        <w:ind w:left="2757" w:hanging="360"/>
      </w:pPr>
      <w:rPr>
        <w:rFonts w:ascii="Symbol" w:hAnsi="Symbol" w:hint="default"/>
      </w:rPr>
    </w:lvl>
    <w:lvl w:ilvl="4" w:tplc="08090003" w:tentative="1">
      <w:start w:val="1"/>
      <w:numFmt w:val="bullet"/>
      <w:lvlText w:val="o"/>
      <w:lvlJc w:val="left"/>
      <w:pPr>
        <w:ind w:left="3477" w:hanging="360"/>
      </w:pPr>
      <w:rPr>
        <w:rFonts w:ascii="Courier New" w:hAnsi="Courier New" w:cs="Courier New" w:hint="default"/>
      </w:rPr>
    </w:lvl>
    <w:lvl w:ilvl="5" w:tplc="08090005" w:tentative="1">
      <w:start w:val="1"/>
      <w:numFmt w:val="bullet"/>
      <w:lvlText w:val=""/>
      <w:lvlJc w:val="left"/>
      <w:pPr>
        <w:ind w:left="4197" w:hanging="360"/>
      </w:pPr>
      <w:rPr>
        <w:rFonts w:ascii="Wingdings" w:hAnsi="Wingdings" w:hint="default"/>
      </w:rPr>
    </w:lvl>
    <w:lvl w:ilvl="6" w:tplc="08090001" w:tentative="1">
      <w:start w:val="1"/>
      <w:numFmt w:val="bullet"/>
      <w:lvlText w:val=""/>
      <w:lvlJc w:val="left"/>
      <w:pPr>
        <w:ind w:left="4917" w:hanging="360"/>
      </w:pPr>
      <w:rPr>
        <w:rFonts w:ascii="Symbol" w:hAnsi="Symbol" w:hint="default"/>
      </w:rPr>
    </w:lvl>
    <w:lvl w:ilvl="7" w:tplc="08090003" w:tentative="1">
      <w:start w:val="1"/>
      <w:numFmt w:val="bullet"/>
      <w:lvlText w:val="o"/>
      <w:lvlJc w:val="left"/>
      <w:pPr>
        <w:ind w:left="5637" w:hanging="360"/>
      </w:pPr>
      <w:rPr>
        <w:rFonts w:ascii="Courier New" w:hAnsi="Courier New" w:cs="Courier New" w:hint="default"/>
      </w:rPr>
    </w:lvl>
    <w:lvl w:ilvl="8" w:tplc="08090005" w:tentative="1">
      <w:start w:val="1"/>
      <w:numFmt w:val="bullet"/>
      <w:lvlText w:val=""/>
      <w:lvlJc w:val="left"/>
      <w:pPr>
        <w:ind w:left="6357" w:hanging="360"/>
      </w:pPr>
      <w:rPr>
        <w:rFonts w:ascii="Wingdings" w:hAnsi="Wingdings" w:hint="default"/>
      </w:rPr>
    </w:lvl>
  </w:abstractNum>
  <w:abstractNum w:abstractNumId="4">
    <w:nsid w:val="2D9438D9"/>
    <w:multiLevelType w:val="hybridMultilevel"/>
    <w:tmpl w:val="43241B88"/>
    <w:lvl w:ilvl="0" w:tplc="7004B0CE">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7F34A93"/>
    <w:multiLevelType w:val="hybridMultilevel"/>
    <w:tmpl w:val="6A7EFB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3"/>
  </w:num>
  <w:num w:numId="3">
    <w:abstractNumId w:val="1"/>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213"/>
    <w:rsid w:val="0002723D"/>
    <w:rsid w:val="00053B87"/>
    <w:rsid w:val="0005690A"/>
    <w:rsid w:val="000636F5"/>
    <w:rsid w:val="00065FA2"/>
    <w:rsid w:val="00075F28"/>
    <w:rsid w:val="000A1B66"/>
    <w:rsid w:val="000C3A9F"/>
    <w:rsid w:val="000C4FD5"/>
    <w:rsid w:val="00102A90"/>
    <w:rsid w:val="001043EE"/>
    <w:rsid w:val="00117817"/>
    <w:rsid w:val="00140BF4"/>
    <w:rsid w:val="00152636"/>
    <w:rsid w:val="001A5BFC"/>
    <w:rsid w:val="001C5EB9"/>
    <w:rsid w:val="001F2E18"/>
    <w:rsid w:val="00203F92"/>
    <w:rsid w:val="0020571F"/>
    <w:rsid w:val="002504D2"/>
    <w:rsid w:val="00265AE7"/>
    <w:rsid w:val="00267BBE"/>
    <w:rsid w:val="00282EA5"/>
    <w:rsid w:val="002859B1"/>
    <w:rsid w:val="00287FF1"/>
    <w:rsid w:val="00290184"/>
    <w:rsid w:val="002A3706"/>
    <w:rsid w:val="002C7171"/>
    <w:rsid w:val="002D1A44"/>
    <w:rsid w:val="002E2E7D"/>
    <w:rsid w:val="002F7E66"/>
    <w:rsid w:val="00305EE0"/>
    <w:rsid w:val="003118C8"/>
    <w:rsid w:val="0032329A"/>
    <w:rsid w:val="00346BAE"/>
    <w:rsid w:val="00347D08"/>
    <w:rsid w:val="00370A9E"/>
    <w:rsid w:val="003A3839"/>
    <w:rsid w:val="003A4FB4"/>
    <w:rsid w:val="003D5288"/>
    <w:rsid w:val="003E1AB3"/>
    <w:rsid w:val="003E3323"/>
    <w:rsid w:val="003E4B01"/>
    <w:rsid w:val="004156FF"/>
    <w:rsid w:val="004233D5"/>
    <w:rsid w:val="00430FEC"/>
    <w:rsid w:val="00436180"/>
    <w:rsid w:val="00450DB9"/>
    <w:rsid w:val="00460BE2"/>
    <w:rsid w:val="00463568"/>
    <w:rsid w:val="004A05C3"/>
    <w:rsid w:val="004B70BC"/>
    <w:rsid w:val="004C2B8F"/>
    <w:rsid w:val="004D0F1A"/>
    <w:rsid w:val="004D2EEA"/>
    <w:rsid w:val="004D5E60"/>
    <w:rsid w:val="004E3733"/>
    <w:rsid w:val="00501845"/>
    <w:rsid w:val="00505C81"/>
    <w:rsid w:val="00505D2B"/>
    <w:rsid w:val="0055217B"/>
    <w:rsid w:val="00555C3D"/>
    <w:rsid w:val="00557C7F"/>
    <w:rsid w:val="00564213"/>
    <w:rsid w:val="00594551"/>
    <w:rsid w:val="005A4F32"/>
    <w:rsid w:val="005B0921"/>
    <w:rsid w:val="005C0BD8"/>
    <w:rsid w:val="005C7737"/>
    <w:rsid w:val="005E3BC2"/>
    <w:rsid w:val="005F2C59"/>
    <w:rsid w:val="006326D7"/>
    <w:rsid w:val="00662594"/>
    <w:rsid w:val="00670F05"/>
    <w:rsid w:val="006A1AAE"/>
    <w:rsid w:val="006C2C66"/>
    <w:rsid w:val="006D0C96"/>
    <w:rsid w:val="0070537F"/>
    <w:rsid w:val="00714D00"/>
    <w:rsid w:val="00722B22"/>
    <w:rsid w:val="0074325B"/>
    <w:rsid w:val="00746AAC"/>
    <w:rsid w:val="00751A44"/>
    <w:rsid w:val="00754343"/>
    <w:rsid w:val="00796A7F"/>
    <w:rsid w:val="007A4AE5"/>
    <w:rsid w:val="007B0739"/>
    <w:rsid w:val="007B403B"/>
    <w:rsid w:val="007C0CDC"/>
    <w:rsid w:val="007D7B34"/>
    <w:rsid w:val="00833187"/>
    <w:rsid w:val="00855006"/>
    <w:rsid w:val="00856F04"/>
    <w:rsid w:val="008B719F"/>
    <w:rsid w:val="008E1DCA"/>
    <w:rsid w:val="008E213F"/>
    <w:rsid w:val="008E3110"/>
    <w:rsid w:val="009138E6"/>
    <w:rsid w:val="009150E4"/>
    <w:rsid w:val="0091617C"/>
    <w:rsid w:val="0091791F"/>
    <w:rsid w:val="00932F15"/>
    <w:rsid w:val="00943440"/>
    <w:rsid w:val="00957E55"/>
    <w:rsid w:val="00966CD6"/>
    <w:rsid w:val="00985B00"/>
    <w:rsid w:val="009969BE"/>
    <w:rsid w:val="009D38E2"/>
    <w:rsid w:val="009E6B31"/>
    <w:rsid w:val="009F2C0A"/>
    <w:rsid w:val="00A32F07"/>
    <w:rsid w:val="00A35729"/>
    <w:rsid w:val="00AA0AE0"/>
    <w:rsid w:val="00AA75F8"/>
    <w:rsid w:val="00AC0368"/>
    <w:rsid w:val="00AC309B"/>
    <w:rsid w:val="00AC4BEA"/>
    <w:rsid w:val="00AC6378"/>
    <w:rsid w:val="00AD20AD"/>
    <w:rsid w:val="00AE4157"/>
    <w:rsid w:val="00AE6A7D"/>
    <w:rsid w:val="00AF0701"/>
    <w:rsid w:val="00AF3DBA"/>
    <w:rsid w:val="00B039BE"/>
    <w:rsid w:val="00B064FF"/>
    <w:rsid w:val="00B11AA0"/>
    <w:rsid w:val="00B4015F"/>
    <w:rsid w:val="00B5719D"/>
    <w:rsid w:val="00B75342"/>
    <w:rsid w:val="00B859D4"/>
    <w:rsid w:val="00B94A58"/>
    <w:rsid w:val="00B95F8D"/>
    <w:rsid w:val="00BD0523"/>
    <w:rsid w:val="00BD6809"/>
    <w:rsid w:val="00C1589F"/>
    <w:rsid w:val="00C16574"/>
    <w:rsid w:val="00C26311"/>
    <w:rsid w:val="00C274BE"/>
    <w:rsid w:val="00C35812"/>
    <w:rsid w:val="00C4684B"/>
    <w:rsid w:val="00C528A2"/>
    <w:rsid w:val="00C82F79"/>
    <w:rsid w:val="00CA4485"/>
    <w:rsid w:val="00CC51D0"/>
    <w:rsid w:val="00CE7C00"/>
    <w:rsid w:val="00CF67AC"/>
    <w:rsid w:val="00CF77AC"/>
    <w:rsid w:val="00D40CE0"/>
    <w:rsid w:val="00D5773E"/>
    <w:rsid w:val="00D75A7F"/>
    <w:rsid w:val="00D76F7B"/>
    <w:rsid w:val="00D9417A"/>
    <w:rsid w:val="00D97ED5"/>
    <w:rsid w:val="00DA0972"/>
    <w:rsid w:val="00DB4E53"/>
    <w:rsid w:val="00DB7C09"/>
    <w:rsid w:val="00DC14EC"/>
    <w:rsid w:val="00DC5815"/>
    <w:rsid w:val="00E00339"/>
    <w:rsid w:val="00E0639F"/>
    <w:rsid w:val="00E142A8"/>
    <w:rsid w:val="00E54BB7"/>
    <w:rsid w:val="00E7758E"/>
    <w:rsid w:val="00E8279E"/>
    <w:rsid w:val="00E9593F"/>
    <w:rsid w:val="00EA06F0"/>
    <w:rsid w:val="00EB1313"/>
    <w:rsid w:val="00EB486D"/>
    <w:rsid w:val="00ED6B96"/>
    <w:rsid w:val="00EE0A52"/>
    <w:rsid w:val="00EE58C0"/>
    <w:rsid w:val="00F01077"/>
    <w:rsid w:val="00F038E5"/>
    <w:rsid w:val="00F12705"/>
    <w:rsid w:val="00F1495C"/>
    <w:rsid w:val="00F35903"/>
    <w:rsid w:val="00F512A5"/>
    <w:rsid w:val="00F5258E"/>
    <w:rsid w:val="00F6012C"/>
    <w:rsid w:val="00F64C9C"/>
    <w:rsid w:val="00F90A5D"/>
    <w:rsid w:val="00FB54AB"/>
    <w:rsid w:val="00FF30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E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D40CE0"/>
    <w:pPr>
      <w:spacing w:line="360" w:lineRule="auto"/>
      <w:jc w:val="both"/>
    </w:pPr>
    <w:rPr>
      <w:rFonts w:ascii="Times New Roman" w:eastAsia="Times New Roman" w:hAnsi="Times New Roman"/>
      <w:szCs w:val="24"/>
      <w:lang w:eastAsia="de-DE"/>
    </w:rPr>
  </w:style>
  <w:style w:type="paragraph" w:styleId="berschrift1">
    <w:name w:val="heading 1"/>
    <w:basedOn w:val="Standard"/>
    <w:next w:val="Standard"/>
    <w:link w:val="berschrift1Zchn"/>
    <w:qFormat/>
    <w:rsid w:val="00075F28"/>
    <w:pPr>
      <w:keepNext/>
      <w:spacing w:before="480" w:after="240" w:line="240" w:lineRule="auto"/>
      <w:outlineLvl w:val="0"/>
    </w:pPr>
    <w:rPr>
      <w:rFonts w:cs="Arial"/>
      <w:b/>
      <w:bCs/>
      <w:color w:val="000000"/>
      <w:kern w:val="32"/>
      <w:szCs w:val="32"/>
    </w:rPr>
  </w:style>
  <w:style w:type="paragraph" w:styleId="berschrift2">
    <w:name w:val="heading 2"/>
    <w:basedOn w:val="Standard"/>
    <w:next w:val="Standard"/>
    <w:link w:val="berschrift2Zchn"/>
    <w:qFormat/>
    <w:rsid w:val="00E00339"/>
    <w:pPr>
      <w:keepNext/>
      <w:spacing w:before="240" w:after="240" w:line="240" w:lineRule="auto"/>
      <w:outlineLvl w:val="1"/>
    </w:pPr>
    <w:rPr>
      <w:rFonts w:cs="Arial"/>
      <w:b/>
      <w:bCs/>
      <w:iCs/>
      <w:szCs w:val="28"/>
    </w:rPr>
  </w:style>
  <w:style w:type="paragraph" w:styleId="berschrift3">
    <w:name w:val="heading 3"/>
    <w:basedOn w:val="Standard"/>
    <w:next w:val="Standard"/>
    <w:link w:val="berschrift3Zchn"/>
    <w:qFormat/>
    <w:rsid w:val="005A4F32"/>
    <w:pPr>
      <w:keepNext/>
      <w:spacing w:before="240" w:after="240" w:line="240" w:lineRule="auto"/>
      <w:outlineLvl w:val="2"/>
    </w:pPr>
    <w:rPr>
      <w:rFonts w:cs="Arial"/>
      <w:b/>
      <w:bCs/>
      <w:szCs w:val="26"/>
    </w:rPr>
  </w:style>
  <w:style w:type="paragraph" w:styleId="berschrift4">
    <w:name w:val="heading 4"/>
    <w:basedOn w:val="Standard"/>
    <w:next w:val="Standard"/>
    <w:link w:val="berschrift4Zchn"/>
    <w:rsid w:val="00ED6B96"/>
    <w:pPr>
      <w:keepNext/>
      <w:outlineLvl w:val="3"/>
    </w:pPr>
    <w:rPr>
      <w:b/>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treff">
    <w:name w:val="Betreff"/>
    <w:basedOn w:val="Standard"/>
    <w:next w:val="Standard"/>
    <w:rsid w:val="00ED6B96"/>
    <w:rPr>
      <w:b/>
    </w:rPr>
  </w:style>
  <w:style w:type="paragraph" w:customStyle="1" w:styleId="Bullets">
    <w:name w:val="Bullets"/>
    <w:basedOn w:val="Standard"/>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NormaleTabelle"/>
    <w:rsid w:val="00ED6B96"/>
    <w:rPr>
      <w:rFonts w:ascii="Verdana" w:eastAsia="Times New Roman" w:hAnsi="Verdana"/>
      <w:sz w:val="19"/>
    </w:rPr>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08" w:type="dxa"/>
        <w:bottom w:w="0" w:type="dxa"/>
        <w:right w:w="108" w:type="dxa"/>
      </w:tblCellMar>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Kopfzeile">
    <w:name w:val="header"/>
    <w:basedOn w:val="Standard"/>
    <w:link w:val="KopfzeileZchn"/>
    <w:rsid w:val="00ED6B96"/>
    <w:pPr>
      <w:tabs>
        <w:tab w:val="center" w:pos="4536"/>
        <w:tab w:val="right" w:pos="9072"/>
      </w:tabs>
    </w:pPr>
  </w:style>
  <w:style w:type="character" w:customStyle="1" w:styleId="berschrift1Zchn">
    <w:name w:val="Überschrift 1 Zchn"/>
    <w:link w:val="berschrift1"/>
    <w:rsid w:val="00075F28"/>
    <w:rPr>
      <w:rFonts w:ascii="Times New Roman" w:eastAsia="Times New Roman" w:hAnsi="Times New Roman" w:cs="Arial"/>
      <w:b/>
      <w:bCs/>
      <w:color w:val="000000"/>
      <w:kern w:val="32"/>
      <w:szCs w:val="32"/>
      <w:lang w:eastAsia="de-DE"/>
    </w:rPr>
  </w:style>
  <w:style w:type="character" w:customStyle="1" w:styleId="berschrift3Zchn">
    <w:name w:val="Überschrift 3 Zchn"/>
    <w:link w:val="berschrift3"/>
    <w:rsid w:val="005A4F32"/>
    <w:rPr>
      <w:rFonts w:ascii="Times New Roman" w:eastAsia="Times New Roman" w:hAnsi="Times New Roman" w:cs="Arial"/>
      <w:b/>
      <w:bCs/>
      <w:szCs w:val="26"/>
      <w:lang w:eastAsia="de-DE"/>
    </w:rPr>
  </w:style>
  <w:style w:type="character" w:customStyle="1" w:styleId="berschrift4Zchn">
    <w:name w:val="Überschrift 4 Zchn"/>
    <w:link w:val="berschrift4"/>
    <w:rsid w:val="00796A7F"/>
    <w:rPr>
      <w:rFonts w:ascii="Verdana" w:eastAsia="Times New Roman" w:hAnsi="Verdana" w:cs="Times New Roman"/>
      <w:b/>
      <w:bCs/>
      <w:sz w:val="19"/>
      <w:szCs w:val="28"/>
      <w:lang w:eastAsia="de-DE"/>
    </w:rPr>
  </w:style>
  <w:style w:type="character" w:customStyle="1" w:styleId="KopfzeileZchn">
    <w:name w:val="Kopfzeile Zchn"/>
    <w:link w:val="Kopfzeile"/>
    <w:rsid w:val="00ED6B96"/>
    <w:rPr>
      <w:rFonts w:ascii="Verdana" w:eastAsia="Times New Roman" w:hAnsi="Verdana" w:cs="Times New Roman"/>
      <w:sz w:val="19"/>
      <w:szCs w:val="24"/>
      <w:lang w:eastAsia="de-DE"/>
    </w:rPr>
  </w:style>
  <w:style w:type="character" w:customStyle="1" w:styleId="berschrift2Zchn">
    <w:name w:val="Überschrift 2 Zchn"/>
    <w:link w:val="berschrift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Standard"/>
    <w:rsid w:val="00ED6B96"/>
    <w:pPr>
      <w:spacing w:line="160" w:lineRule="exact"/>
    </w:pPr>
    <w:rPr>
      <w:color w:val="808080"/>
      <w:sz w:val="13"/>
    </w:rPr>
  </w:style>
  <w:style w:type="paragraph" w:customStyle="1" w:styleId="Name">
    <w:name w:val="Name"/>
    <w:basedOn w:val="Standard"/>
    <w:rsid w:val="00ED6B96"/>
    <w:pPr>
      <w:spacing w:before="160" w:after="80"/>
    </w:pPr>
    <w:rPr>
      <w:rFonts w:ascii="Book Antiqua" w:hAnsi="Book Antiqua"/>
      <w:color w:val="808080"/>
      <w:sz w:val="22"/>
    </w:rPr>
  </w:style>
  <w:style w:type="paragraph" w:customStyle="1" w:styleId="CopernicusWordtemplate">
    <w:name w:val="Copernicus_Word_template"/>
    <w:basedOn w:val="Standard"/>
    <w:link w:val="CopernicusWordtemplateChar"/>
    <w:rsid w:val="00B5719D"/>
  </w:style>
  <w:style w:type="character" w:customStyle="1" w:styleId="CopernicusWordtemplateChar">
    <w:name w:val="Copernicus_Word_template Char"/>
    <w:basedOn w:val="Absatz-Standardschriftart"/>
    <w:link w:val="CopernicusWordtemplate"/>
    <w:rsid w:val="00B5719D"/>
    <w:rPr>
      <w:rFonts w:ascii="Times New Roman" w:eastAsia="Times New Roman" w:hAnsi="Times New Roman"/>
      <w:sz w:val="24"/>
      <w:szCs w:val="24"/>
      <w:lang w:eastAsia="de-DE"/>
    </w:rPr>
  </w:style>
  <w:style w:type="character" w:styleId="Zeilennummer">
    <w:name w:val="line number"/>
    <w:basedOn w:val="Absatz-Standardschriftart"/>
    <w:uiPriority w:val="99"/>
    <w:semiHidden/>
    <w:unhideWhenUsed/>
    <w:rsid w:val="00D40CE0"/>
  </w:style>
  <w:style w:type="paragraph" w:customStyle="1" w:styleId="MStitle">
    <w:name w:val="MS title"/>
    <w:basedOn w:val="Standard"/>
    <w:link w:val="MStitleChar"/>
    <w:qFormat/>
    <w:rsid w:val="0091791F"/>
    <w:pPr>
      <w:spacing w:before="360" w:line="440" w:lineRule="exact"/>
      <w:contextualSpacing/>
    </w:pPr>
    <w:rPr>
      <w:b/>
      <w:sz w:val="34"/>
    </w:rPr>
  </w:style>
  <w:style w:type="paragraph" w:styleId="Listenabsatz">
    <w:name w:val="List Paragraph"/>
    <w:basedOn w:val="Standard"/>
    <w:uiPriority w:val="34"/>
    <w:rsid w:val="00B4015F"/>
    <w:pPr>
      <w:ind w:left="720"/>
      <w:contextualSpacing/>
    </w:pPr>
  </w:style>
  <w:style w:type="character" w:customStyle="1" w:styleId="MStitleChar">
    <w:name w:val="MS title Char"/>
    <w:basedOn w:val="Absatz-Standardschriftart"/>
    <w:link w:val="MStitle"/>
    <w:rsid w:val="0091791F"/>
    <w:rPr>
      <w:rFonts w:ascii="Times New Roman" w:eastAsia="Times New Roman" w:hAnsi="Times New Roman"/>
      <w:b/>
      <w:sz w:val="34"/>
      <w:szCs w:val="24"/>
      <w:lang w:eastAsia="de-DE"/>
    </w:rPr>
  </w:style>
  <w:style w:type="paragraph" w:customStyle="1" w:styleId="Affiliation">
    <w:name w:val="Affiliation"/>
    <w:basedOn w:val="Standard"/>
    <w:link w:val="AffiliationChar"/>
    <w:qFormat/>
    <w:rsid w:val="00450DB9"/>
    <w:pPr>
      <w:spacing w:before="120" w:line="240" w:lineRule="auto"/>
      <w:contextualSpacing/>
    </w:pPr>
  </w:style>
  <w:style w:type="character" w:styleId="Platzhaltertext">
    <w:name w:val="Placeholder Text"/>
    <w:basedOn w:val="Absatz-Standardschriftart"/>
    <w:uiPriority w:val="99"/>
    <w:semiHidden/>
    <w:rsid w:val="003D5288"/>
    <w:rPr>
      <w:color w:val="808080"/>
    </w:rPr>
  </w:style>
  <w:style w:type="character" w:customStyle="1" w:styleId="AffiliationChar">
    <w:name w:val="Affiliation Char"/>
    <w:basedOn w:val="Absatz-Standardschriftart"/>
    <w:link w:val="Affiliation"/>
    <w:rsid w:val="00450DB9"/>
    <w:rPr>
      <w:rFonts w:ascii="Times New Roman" w:eastAsia="Times New Roman" w:hAnsi="Times New Roman"/>
      <w:szCs w:val="24"/>
      <w:lang w:eastAsia="de-DE"/>
    </w:rPr>
  </w:style>
  <w:style w:type="paragraph" w:styleId="Sprechblasentext">
    <w:name w:val="Balloon Text"/>
    <w:basedOn w:val="Standard"/>
    <w:link w:val="SprechblasentextZchn"/>
    <w:uiPriority w:val="99"/>
    <w:semiHidden/>
    <w:unhideWhenUsed/>
    <w:rsid w:val="003D528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5288"/>
    <w:rPr>
      <w:rFonts w:ascii="Tahoma" w:eastAsia="Times New Roman" w:hAnsi="Tahoma" w:cs="Tahoma"/>
      <w:sz w:val="16"/>
      <w:szCs w:val="16"/>
      <w:lang w:eastAsia="de-DE"/>
    </w:rPr>
  </w:style>
  <w:style w:type="paragraph" w:customStyle="1" w:styleId="Equation">
    <w:name w:val="Equation"/>
    <w:basedOn w:val="Standard"/>
    <w:link w:val="EquationChar"/>
    <w:rsid w:val="00C35812"/>
    <w:pPr>
      <w:spacing w:before="120" w:after="120"/>
    </w:pPr>
    <w:rPr>
      <w:rFonts w:ascii="Cambria Math" w:hAnsi="Cambria Math"/>
    </w:rPr>
  </w:style>
  <w:style w:type="paragraph" w:styleId="Beschriftung">
    <w:name w:val="caption"/>
    <w:basedOn w:val="Standard"/>
    <w:next w:val="Standard"/>
    <w:uiPriority w:val="35"/>
    <w:unhideWhenUsed/>
    <w:qFormat/>
    <w:rsid w:val="003A4FB4"/>
    <w:pPr>
      <w:spacing w:after="200" w:line="240" w:lineRule="auto"/>
    </w:pPr>
    <w:rPr>
      <w:b/>
      <w:bCs/>
      <w:sz w:val="18"/>
      <w:szCs w:val="18"/>
    </w:rPr>
  </w:style>
  <w:style w:type="character" w:customStyle="1" w:styleId="EquationChar">
    <w:name w:val="Equation Char"/>
    <w:basedOn w:val="Absatz-Standardschriftart"/>
    <w:link w:val="Equation"/>
    <w:rsid w:val="00C35812"/>
    <w:rPr>
      <w:rFonts w:ascii="Cambria Math" w:eastAsia="Times New Roman" w:hAnsi="Cambria Math"/>
      <w:szCs w:val="24"/>
      <w:lang w:eastAsia="de-DE"/>
    </w:rPr>
  </w:style>
  <w:style w:type="paragraph" w:styleId="Fuzeile">
    <w:name w:val="footer"/>
    <w:basedOn w:val="Standard"/>
    <w:link w:val="FuzeileZchn"/>
    <w:uiPriority w:val="99"/>
    <w:unhideWhenUsed/>
    <w:rsid w:val="006D0C96"/>
    <w:pPr>
      <w:tabs>
        <w:tab w:val="center" w:pos="4513"/>
        <w:tab w:val="right" w:pos="9026"/>
      </w:tabs>
      <w:spacing w:line="240" w:lineRule="auto"/>
    </w:pPr>
  </w:style>
  <w:style w:type="character" w:customStyle="1" w:styleId="FuzeileZchn">
    <w:name w:val="Fußzeile Zchn"/>
    <w:basedOn w:val="Absatz-Standardschriftart"/>
    <w:link w:val="Fuzeile"/>
    <w:uiPriority w:val="99"/>
    <w:rsid w:val="006D0C96"/>
    <w:rPr>
      <w:rFonts w:ascii="Times New Roman" w:eastAsia="Times New Roman" w:hAnsi="Times New Roman"/>
      <w:szCs w:val="24"/>
      <w:lang w:eastAsia="de-DE"/>
    </w:rPr>
  </w:style>
  <w:style w:type="paragraph" w:customStyle="1" w:styleId="Correspondence">
    <w:name w:val="Correspondence"/>
    <w:basedOn w:val="Standard"/>
    <w:link w:val="CorrespondenceChar"/>
    <w:qFormat/>
    <w:rsid w:val="008E213F"/>
    <w:pPr>
      <w:spacing w:before="120" w:after="360" w:line="240" w:lineRule="auto"/>
    </w:pPr>
  </w:style>
  <w:style w:type="character" w:customStyle="1" w:styleId="CorrespondenceChar">
    <w:name w:val="Correspondence Char"/>
    <w:basedOn w:val="Absatz-Standardschriftart"/>
    <w:link w:val="Correspondence"/>
    <w:rsid w:val="008E213F"/>
    <w:rPr>
      <w:rFonts w:ascii="Times New Roman" w:eastAsia="Times New Roman" w:hAnsi="Times New Roman"/>
      <w:szCs w:val="24"/>
      <w:lang w:eastAsia="de-DE"/>
    </w:rPr>
  </w:style>
  <w:style w:type="paragraph" w:customStyle="1" w:styleId="Authors">
    <w:name w:val="Authors"/>
    <w:basedOn w:val="Standard"/>
    <w:link w:val="AuthorsChar"/>
    <w:qFormat/>
    <w:rsid w:val="00BD0523"/>
    <w:pPr>
      <w:spacing w:before="180" w:line="240" w:lineRule="auto"/>
      <w:contextualSpacing/>
    </w:pPr>
    <w:rPr>
      <w:sz w:val="24"/>
    </w:rPr>
  </w:style>
  <w:style w:type="character" w:customStyle="1" w:styleId="AuthorsChar">
    <w:name w:val="Authors Char"/>
    <w:basedOn w:val="Absatz-Standardschriftart"/>
    <w:link w:val="Authors"/>
    <w:rsid w:val="00BD0523"/>
    <w:rPr>
      <w:rFonts w:ascii="Times New Roman" w:eastAsia="Times New Roman" w:hAnsi="Times New Roman"/>
      <w:sz w:val="24"/>
      <w:szCs w:val="24"/>
      <w:lang w:eastAsia="de-DE"/>
    </w:rPr>
  </w:style>
  <w:style w:type="paragraph" w:styleId="Literaturverzeichnis">
    <w:name w:val="Bibliography"/>
    <w:basedOn w:val="Standard"/>
    <w:next w:val="Standard"/>
    <w:uiPriority w:val="37"/>
    <w:unhideWhenUsed/>
    <w:rsid w:val="00E54BB7"/>
    <w:pPr>
      <w:spacing w:after="240" w:line="240" w:lineRule="auto"/>
    </w:pPr>
  </w:style>
  <w:style w:type="table" w:styleId="Tabellenraster">
    <w:name w:val="Table Grid"/>
    <w:basedOn w:val="NormaleTabelle"/>
    <w:uiPriority w:val="59"/>
    <w:semiHidden/>
    <w:unhideWhenUsed/>
    <w:rsid w:val="00F038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elnummer">
    <w:name w:val="Formelnummer"/>
    <w:basedOn w:val="Standard"/>
    <w:link w:val="FormelnummerZchn"/>
    <w:qFormat/>
    <w:rsid w:val="005B0921"/>
    <w:pPr>
      <w:widowControl w:val="0"/>
      <w:suppressAutoHyphens/>
      <w:autoSpaceDN w:val="0"/>
      <w:spacing w:before="240" w:after="240" w:line="312" w:lineRule="auto"/>
      <w:jc w:val="right"/>
      <w:textAlignment w:val="baseline"/>
    </w:pPr>
    <w:rPr>
      <w:rFonts w:asciiTheme="majorHAnsi" w:eastAsia="Arial Unicode MS" w:hAnsiTheme="majorHAnsi" w:cs="Tahoma"/>
      <w:color w:val="000000"/>
      <w:kern w:val="3"/>
      <w:sz w:val="22"/>
      <w:szCs w:val="22"/>
      <w:lang w:eastAsia="en-US"/>
    </w:rPr>
  </w:style>
  <w:style w:type="paragraph" w:customStyle="1" w:styleId="Formel">
    <w:name w:val="Formel"/>
    <w:basedOn w:val="Standard"/>
    <w:qFormat/>
    <w:rsid w:val="005B0921"/>
    <w:pPr>
      <w:widowControl w:val="0"/>
      <w:suppressAutoHyphens/>
      <w:autoSpaceDN w:val="0"/>
      <w:spacing w:before="240" w:after="240" w:line="312" w:lineRule="auto"/>
      <w:textAlignment w:val="baseline"/>
    </w:pPr>
    <w:rPr>
      <w:rFonts w:ascii="Cambria Math" w:eastAsia="Arial Unicode MS" w:hAnsi="Cambria Math" w:cs="Tahoma"/>
      <w:color w:val="000000"/>
      <w:kern w:val="3"/>
      <w:sz w:val="22"/>
      <w:szCs w:val="22"/>
      <w:lang w:eastAsia="en-US"/>
    </w:rPr>
  </w:style>
  <w:style w:type="character" w:customStyle="1" w:styleId="FormelnummerZchn">
    <w:name w:val="Formelnummer Zchn"/>
    <w:basedOn w:val="Absatz-Standardschriftart"/>
    <w:link w:val="Formelnummer"/>
    <w:rsid w:val="005B0921"/>
    <w:rPr>
      <w:rFonts w:asciiTheme="majorHAnsi" w:eastAsia="Arial Unicode MS" w:hAnsiTheme="majorHAnsi" w:cs="Tahoma"/>
      <w:color w:val="000000"/>
      <w:kern w:val="3"/>
      <w:sz w:val="22"/>
      <w:szCs w:val="22"/>
      <w:lang w:eastAsia="en-US"/>
    </w:rPr>
  </w:style>
  <w:style w:type="paragraph" w:customStyle="1" w:styleId="Absatz">
    <w:name w:val="Absatz"/>
    <w:link w:val="AbsatzZchn"/>
    <w:autoRedefine/>
    <w:qFormat/>
    <w:rsid w:val="004233D5"/>
    <w:pPr>
      <w:widowControl w:val="0"/>
      <w:suppressAutoHyphens/>
      <w:autoSpaceDN w:val="0"/>
      <w:spacing w:after="120" w:line="312" w:lineRule="auto"/>
      <w:jc w:val="both"/>
      <w:textAlignment w:val="baseline"/>
    </w:pPr>
    <w:rPr>
      <w:rFonts w:ascii="Cambria" w:eastAsia="Arial Unicode MS" w:hAnsi="Cambria" w:cs="Tahoma"/>
      <w:color w:val="000000"/>
      <w:kern w:val="3"/>
      <w:sz w:val="22"/>
      <w:szCs w:val="22"/>
      <w:lang w:eastAsia="en-US"/>
    </w:rPr>
  </w:style>
  <w:style w:type="character" w:customStyle="1" w:styleId="AbsatzZchn">
    <w:name w:val="Absatz Zchn"/>
    <w:basedOn w:val="Absatz-Standardschriftart"/>
    <w:link w:val="Absatz"/>
    <w:rsid w:val="004233D5"/>
    <w:rPr>
      <w:rFonts w:ascii="Cambria" w:eastAsia="Arial Unicode MS" w:hAnsi="Cambria" w:cs="Tahoma"/>
      <w:color w:val="000000"/>
      <w:kern w:val="3"/>
      <w:sz w:val="22"/>
      <w:szCs w:val="22"/>
      <w:lang w:eastAsia="en-US"/>
    </w:rPr>
  </w:style>
  <w:style w:type="paragraph" w:customStyle="1" w:styleId="RCode">
    <w:name w:val="R Code"/>
    <w:basedOn w:val="Standard"/>
    <w:link w:val="RCodeZchn"/>
    <w:qFormat/>
    <w:rsid w:val="004A05C3"/>
    <w:rPr>
      <w:rFonts w:ascii="Courier New" w:hAnsi="Courier New" w:cs="Courier New"/>
      <w:noProof/>
    </w:rPr>
  </w:style>
  <w:style w:type="character" w:customStyle="1" w:styleId="RCodeZchn">
    <w:name w:val="R Code Zchn"/>
    <w:basedOn w:val="Absatz-Standardschriftart"/>
    <w:link w:val="RCode"/>
    <w:rsid w:val="004A05C3"/>
    <w:rPr>
      <w:rFonts w:ascii="Courier New" w:eastAsia="Times New Roman" w:hAnsi="Courier New" w:cs="Courier New"/>
      <w:noProof/>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D40CE0"/>
    <w:pPr>
      <w:spacing w:line="360" w:lineRule="auto"/>
      <w:jc w:val="both"/>
    </w:pPr>
    <w:rPr>
      <w:rFonts w:ascii="Times New Roman" w:eastAsia="Times New Roman" w:hAnsi="Times New Roman"/>
      <w:szCs w:val="24"/>
      <w:lang w:eastAsia="de-DE"/>
    </w:rPr>
  </w:style>
  <w:style w:type="paragraph" w:styleId="berschrift1">
    <w:name w:val="heading 1"/>
    <w:basedOn w:val="Standard"/>
    <w:next w:val="Standard"/>
    <w:link w:val="berschrift1Zchn"/>
    <w:qFormat/>
    <w:rsid w:val="00075F28"/>
    <w:pPr>
      <w:keepNext/>
      <w:spacing w:before="480" w:after="240" w:line="240" w:lineRule="auto"/>
      <w:outlineLvl w:val="0"/>
    </w:pPr>
    <w:rPr>
      <w:rFonts w:cs="Arial"/>
      <w:b/>
      <w:bCs/>
      <w:color w:val="000000"/>
      <w:kern w:val="32"/>
      <w:szCs w:val="32"/>
    </w:rPr>
  </w:style>
  <w:style w:type="paragraph" w:styleId="berschrift2">
    <w:name w:val="heading 2"/>
    <w:basedOn w:val="Standard"/>
    <w:next w:val="Standard"/>
    <w:link w:val="berschrift2Zchn"/>
    <w:qFormat/>
    <w:rsid w:val="00E00339"/>
    <w:pPr>
      <w:keepNext/>
      <w:spacing w:before="240" w:after="240" w:line="240" w:lineRule="auto"/>
      <w:outlineLvl w:val="1"/>
    </w:pPr>
    <w:rPr>
      <w:rFonts w:cs="Arial"/>
      <w:b/>
      <w:bCs/>
      <w:iCs/>
      <w:szCs w:val="28"/>
    </w:rPr>
  </w:style>
  <w:style w:type="paragraph" w:styleId="berschrift3">
    <w:name w:val="heading 3"/>
    <w:basedOn w:val="Standard"/>
    <w:next w:val="Standard"/>
    <w:link w:val="berschrift3Zchn"/>
    <w:qFormat/>
    <w:rsid w:val="005A4F32"/>
    <w:pPr>
      <w:keepNext/>
      <w:spacing w:before="240" w:after="240" w:line="240" w:lineRule="auto"/>
      <w:outlineLvl w:val="2"/>
    </w:pPr>
    <w:rPr>
      <w:rFonts w:cs="Arial"/>
      <w:b/>
      <w:bCs/>
      <w:szCs w:val="26"/>
    </w:rPr>
  </w:style>
  <w:style w:type="paragraph" w:styleId="berschrift4">
    <w:name w:val="heading 4"/>
    <w:basedOn w:val="Standard"/>
    <w:next w:val="Standard"/>
    <w:link w:val="berschrift4Zchn"/>
    <w:rsid w:val="00ED6B96"/>
    <w:pPr>
      <w:keepNext/>
      <w:outlineLvl w:val="3"/>
    </w:pPr>
    <w:rPr>
      <w:b/>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treff">
    <w:name w:val="Betreff"/>
    <w:basedOn w:val="Standard"/>
    <w:next w:val="Standard"/>
    <w:rsid w:val="00ED6B96"/>
    <w:rPr>
      <w:b/>
    </w:rPr>
  </w:style>
  <w:style w:type="paragraph" w:customStyle="1" w:styleId="Bullets">
    <w:name w:val="Bullets"/>
    <w:basedOn w:val="Standard"/>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NormaleTabelle"/>
    <w:rsid w:val="00ED6B96"/>
    <w:rPr>
      <w:rFonts w:ascii="Verdana" w:eastAsia="Times New Roman" w:hAnsi="Verdana"/>
      <w:sz w:val="19"/>
    </w:rPr>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08" w:type="dxa"/>
        <w:bottom w:w="0" w:type="dxa"/>
        <w:right w:w="108" w:type="dxa"/>
      </w:tblCellMar>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Kopfzeile">
    <w:name w:val="header"/>
    <w:basedOn w:val="Standard"/>
    <w:link w:val="KopfzeileZchn"/>
    <w:rsid w:val="00ED6B96"/>
    <w:pPr>
      <w:tabs>
        <w:tab w:val="center" w:pos="4536"/>
        <w:tab w:val="right" w:pos="9072"/>
      </w:tabs>
    </w:pPr>
  </w:style>
  <w:style w:type="character" w:customStyle="1" w:styleId="berschrift1Zchn">
    <w:name w:val="Überschrift 1 Zchn"/>
    <w:link w:val="berschrift1"/>
    <w:rsid w:val="00075F28"/>
    <w:rPr>
      <w:rFonts w:ascii="Times New Roman" w:eastAsia="Times New Roman" w:hAnsi="Times New Roman" w:cs="Arial"/>
      <w:b/>
      <w:bCs/>
      <w:color w:val="000000"/>
      <w:kern w:val="32"/>
      <w:szCs w:val="32"/>
      <w:lang w:eastAsia="de-DE"/>
    </w:rPr>
  </w:style>
  <w:style w:type="character" w:customStyle="1" w:styleId="berschrift3Zchn">
    <w:name w:val="Überschrift 3 Zchn"/>
    <w:link w:val="berschrift3"/>
    <w:rsid w:val="005A4F32"/>
    <w:rPr>
      <w:rFonts w:ascii="Times New Roman" w:eastAsia="Times New Roman" w:hAnsi="Times New Roman" w:cs="Arial"/>
      <w:b/>
      <w:bCs/>
      <w:szCs w:val="26"/>
      <w:lang w:eastAsia="de-DE"/>
    </w:rPr>
  </w:style>
  <w:style w:type="character" w:customStyle="1" w:styleId="berschrift4Zchn">
    <w:name w:val="Überschrift 4 Zchn"/>
    <w:link w:val="berschrift4"/>
    <w:rsid w:val="00796A7F"/>
    <w:rPr>
      <w:rFonts w:ascii="Verdana" w:eastAsia="Times New Roman" w:hAnsi="Verdana" w:cs="Times New Roman"/>
      <w:b/>
      <w:bCs/>
      <w:sz w:val="19"/>
      <w:szCs w:val="28"/>
      <w:lang w:eastAsia="de-DE"/>
    </w:rPr>
  </w:style>
  <w:style w:type="character" w:customStyle="1" w:styleId="KopfzeileZchn">
    <w:name w:val="Kopfzeile Zchn"/>
    <w:link w:val="Kopfzeile"/>
    <w:rsid w:val="00ED6B96"/>
    <w:rPr>
      <w:rFonts w:ascii="Verdana" w:eastAsia="Times New Roman" w:hAnsi="Verdana" w:cs="Times New Roman"/>
      <w:sz w:val="19"/>
      <w:szCs w:val="24"/>
      <w:lang w:eastAsia="de-DE"/>
    </w:rPr>
  </w:style>
  <w:style w:type="character" w:customStyle="1" w:styleId="berschrift2Zchn">
    <w:name w:val="Überschrift 2 Zchn"/>
    <w:link w:val="berschrift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Standard"/>
    <w:rsid w:val="00ED6B96"/>
    <w:pPr>
      <w:spacing w:line="160" w:lineRule="exact"/>
    </w:pPr>
    <w:rPr>
      <w:color w:val="808080"/>
      <w:sz w:val="13"/>
    </w:rPr>
  </w:style>
  <w:style w:type="paragraph" w:customStyle="1" w:styleId="Name">
    <w:name w:val="Name"/>
    <w:basedOn w:val="Standard"/>
    <w:rsid w:val="00ED6B96"/>
    <w:pPr>
      <w:spacing w:before="160" w:after="80"/>
    </w:pPr>
    <w:rPr>
      <w:rFonts w:ascii="Book Antiqua" w:hAnsi="Book Antiqua"/>
      <w:color w:val="808080"/>
      <w:sz w:val="22"/>
    </w:rPr>
  </w:style>
  <w:style w:type="paragraph" w:customStyle="1" w:styleId="CopernicusWordtemplate">
    <w:name w:val="Copernicus_Word_template"/>
    <w:basedOn w:val="Standard"/>
    <w:link w:val="CopernicusWordtemplateChar"/>
    <w:rsid w:val="00B5719D"/>
  </w:style>
  <w:style w:type="character" w:customStyle="1" w:styleId="CopernicusWordtemplateChar">
    <w:name w:val="Copernicus_Word_template Char"/>
    <w:basedOn w:val="Absatz-Standardschriftart"/>
    <w:link w:val="CopernicusWordtemplate"/>
    <w:rsid w:val="00B5719D"/>
    <w:rPr>
      <w:rFonts w:ascii="Times New Roman" w:eastAsia="Times New Roman" w:hAnsi="Times New Roman"/>
      <w:sz w:val="24"/>
      <w:szCs w:val="24"/>
      <w:lang w:eastAsia="de-DE"/>
    </w:rPr>
  </w:style>
  <w:style w:type="character" w:styleId="Zeilennummer">
    <w:name w:val="line number"/>
    <w:basedOn w:val="Absatz-Standardschriftart"/>
    <w:uiPriority w:val="99"/>
    <w:semiHidden/>
    <w:unhideWhenUsed/>
    <w:rsid w:val="00D40CE0"/>
  </w:style>
  <w:style w:type="paragraph" w:customStyle="1" w:styleId="MStitle">
    <w:name w:val="MS title"/>
    <w:basedOn w:val="Standard"/>
    <w:link w:val="MStitleChar"/>
    <w:qFormat/>
    <w:rsid w:val="0091791F"/>
    <w:pPr>
      <w:spacing w:before="360" w:line="440" w:lineRule="exact"/>
      <w:contextualSpacing/>
    </w:pPr>
    <w:rPr>
      <w:b/>
      <w:sz w:val="34"/>
    </w:rPr>
  </w:style>
  <w:style w:type="paragraph" w:styleId="Listenabsatz">
    <w:name w:val="List Paragraph"/>
    <w:basedOn w:val="Standard"/>
    <w:uiPriority w:val="34"/>
    <w:rsid w:val="00B4015F"/>
    <w:pPr>
      <w:ind w:left="720"/>
      <w:contextualSpacing/>
    </w:pPr>
  </w:style>
  <w:style w:type="character" w:customStyle="1" w:styleId="MStitleChar">
    <w:name w:val="MS title Char"/>
    <w:basedOn w:val="Absatz-Standardschriftart"/>
    <w:link w:val="MStitle"/>
    <w:rsid w:val="0091791F"/>
    <w:rPr>
      <w:rFonts w:ascii="Times New Roman" w:eastAsia="Times New Roman" w:hAnsi="Times New Roman"/>
      <w:b/>
      <w:sz w:val="34"/>
      <w:szCs w:val="24"/>
      <w:lang w:eastAsia="de-DE"/>
    </w:rPr>
  </w:style>
  <w:style w:type="paragraph" w:customStyle="1" w:styleId="Affiliation">
    <w:name w:val="Affiliation"/>
    <w:basedOn w:val="Standard"/>
    <w:link w:val="AffiliationChar"/>
    <w:qFormat/>
    <w:rsid w:val="00450DB9"/>
    <w:pPr>
      <w:spacing w:before="120" w:line="240" w:lineRule="auto"/>
      <w:contextualSpacing/>
    </w:pPr>
  </w:style>
  <w:style w:type="character" w:styleId="Platzhaltertext">
    <w:name w:val="Placeholder Text"/>
    <w:basedOn w:val="Absatz-Standardschriftart"/>
    <w:uiPriority w:val="99"/>
    <w:semiHidden/>
    <w:rsid w:val="003D5288"/>
    <w:rPr>
      <w:color w:val="808080"/>
    </w:rPr>
  </w:style>
  <w:style w:type="character" w:customStyle="1" w:styleId="AffiliationChar">
    <w:name w:val="Affiliation Char"/>
    <w:basedOn w:val="Absatz-Standardschriftart"/>
    <w:link w:val="Affiliation"/>
    <w:rsid w:val="00450DB9"/>
    <w:rPr>
      <w:rFonts w:ascii="Times New Roman" w:eastAsia="Times New Roman" w:hAnsi="Times New Roman"/>
      <w:szCs w:val="24"/>
      <w:lang w:eastAsia="de-DE"/>
    </w:rPr>
  </w:style>
  <w:style w:type="paragraph" w:styleId="Sprechblasentext">
    <w:name w:val="Balloon Text"/>
    <w:basedOn w:val="Standard"/>
    <w:link w:val="SprechblasentextZchn"/>
    <w:uiPriority w:val="99"/>
    <w:semiHidden/>
    <w:unhideWhenUsed/>
    <w:rsid w:val="003D528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5288"/>
    <w:rPr>
      <w:rFonts w:ascii="Tahoma" w:eastAsia="Times New Roman" w:hAnsi="Tahoma" w:cs="Tahoma"/>
      <w:sz w:val="16"/>
      <w:szCs w:val="16"/>
      <w:lang w:eastAsia="de-DE"/>
    </w:rPr>
  </w:style>
  <w:style w:type="paragraph" w:customStyle="1" w:styleId="Equation">
    <w:name w:val="Equation"/>
    <w:basedOn w:val="Standard"/>
    <w:link w:val="EquationChar"/>
    <w:rsid w:val="00C35812"/>
    <w:pPr>
      <w:spacing w:before="120" w:after="120"/>
    </w:pPr>
    <w:rPr>
      <w:rFonts w:ascii="Cambria Math" w:hAnsi="Cambria Math"/>
    </w:rPr>
  </w:style>
  <w:style w:type="paragraph" w:styleId="Beschriftung">
    <w:name w:val="caption"/>
    <w:basedOn w:val="Standard"/>
    <w:next w:val="Standard"/>
    <w:uiPriority w:val="35"/>
    <w:unhideWhenUsed/>
    <w:qFormat/>
    <w:rsid w:val="003A4FB4"/>
    <w:pPr>
      <w:spacing w:after="200" w:line="240" w:lineRule="auto"/>
    </w:pPr>
    <w:rPr>
      <w:b/>
      <w:bCs/>
      <w:sz w:val="18"/>
      <w:szCs w:val="18"/>
    </w:rPr>
  </w:style>
  <w:style w:type="character" w:customStyle="1" w:styleId="EquationChar">
    <w:name w:val="Equation Char"/>
    <w:basedOn w:val="Absatz-Standardschriftart"/>
    <w:link w:val="Equation"/>
    <w:rsid w:val="00C35812"/>
    <w:rPr>
      <w:rFonts w:ascii="Cambria Math" w:eastAsia="Times New Roman" w:hAnsi="Cambria Math"/>
      <w:szCs w:val="24"/>
      <w:lang w:eastAsia="de-DE"/>
    </w:rPr>
  </w:style>
  <w:style w:type="paragraph" w:styleId="Fuzeile">
    <w:name w:val="footer"/>
    <w:basedOn w:val="Standard"/>
    <w:link w:val="FuzeileZchn"/>
    <w:uiPriority w:val="99"/>
    <w:unhideWhenUsed/>
    <w:rsid w:val="006D0C96"/>
    <w:pPr>
      <w:tabs>
        <w:tab w:val="center" w:pos="4513"/>
        <w:tab w:val="right" w:pos="9026"/>
      </w:tabs>
      <w:spacing w:line="240" w:lineRule="auto"/>
    </w:pPr>
  </w:style>
  <w:style w:type="character" w:customStyle="1" w:styleId="FuzeileZchn">
    <w:name w:val="Fußzeile Zchn"/>
    <w:basedOn w:val="Absatz-Standardschriftart"/>
    <w:link w:val="Fuzeile"/>
    <w:uiPriority w:val="99"/>
    <w:rsid w:val="006D0C96"/>
    <w:rPr>
      <w:rFonts w:ascii="Times New Roman" w:eastAsia="Times New Roman" w:hAnsi="Times New Roman"/>
      <w:szCs w:val="24"/>
      <w:lang w:eastAsia="de-DE"/>
    </w:rPr>
  </w:style>
  <w:style w:type="paragraph" w:customStyle="1" w:styleId="Correspondence">
    <w:name w:val="Correspondence"/>
    <w:basedOn w:val="Standard"/>
    <w:link w:val="CorrespondenceChar"/>
    <w:qFormat/>
    <w:rsid w:val="008E213F"/>
    <w:pPr>
      <w:spacing w:before="120" w:after="360" w:line="240" w:lineRule="auto"/>
    </w:pPr>
  </w:style>
  <w:style w:type="character" w:customStyle="1" w:styleId="CorrespondenceChar">
    <w:name w:val="Correspondence Char"/>
    <w:basedOn w:val="Absatz-Standardschriftart"/>
    <w:link w:val="Correspondence"/>
    <w:rsid w:val="008E213F"/>
    <w:rPr>
      <w:rFonts w:ascii="Times New Roman" w:eastAsia="Times New Roman" w:hAnsi="Times New Roman"/>
      <w:szCs w:val="24"/>
      <w:lang w:eastAsia="de-DE"/>
    </w:rPr>
  </w:style>
  <w:style w:type="paragraph" w:customStyle="1" w:styleId="Authors">
    <w:name w:val="Authors"/>
    <w:basedOn w:val="Standard"/>
    <w:link w:val="AuthorsChar"/>
    <w:qFormat/>
    <w:rsid w:val="00BD0523"/>
    <w:pPr>
      <w:spacing w:before="180" w:line="240" w:lineRule="auto"/>
      <w:contextualSpacing/>
    </w:pPr>
    <w:rPr>
      <w:sz w:val="24"/>
    </w:rPr>
  </w:style>
  <w:style w:type="character" w:customStyle="1" w:styleId="AuthorsChar">
    <w:name w:val="Authors Char"/>
    <w:basedOn w:val="Absatz-Standardschriftart"/>
    <w:link w:val="Authors"/>
    <w:rsid w:val="00BD0523"/>
    <w:rPr>
      <w:rFonts w:ascii="Times New Roman" w:eastAsia="Times New Roman" w:hAnsi="Times New Roman"/>
      <w:sz w:val="24"/>
      <w:szCs w:val="24"/>
      <w:lang w:eastAsia="de-DE"/>
    </w:rPr>
  </w:style>
  <w:style w:type="paragraph" w:styleId="Literaturverzeichnis">
    <w:name w:val="Bibliography"/>
    <w:basedOn w:val="Standard"/>
    <w:next w:val="Standard"/>
    <w:uiPriority w:val="37"/>
    <w:unhideWhenUsed/>
    <w:rsid w:val="00E54BB7"/>
    <w:pPr>
      <w:spacing w:after="240" w:line="240" w:lineRule="auto"/>
    </w:pPr>
  </w:style>
  <w:style w:type="table" w:styleId="Tabellenraster">
    <w:name w:val="Table Grid"/>
    <w:basedOn w:val="NormaleTabelle"/>
    <w:uiPriority w:val="59"/>
    <w:semiHidden/>
    <w:unhideWhenUsed/>
    <w:rsid w:val="00F038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elnummer">
    <w:name w:val="Formelnummer"/>
    <w:basedOn w:val="Standard"/>
    <w:link w:val="FormelnummerZchn"/>
    <w:qFormat/>
    <w:rsid w:val="005B0921"/>
    <w:pPr>
      <w:widowControl w:val="0"/>
      <w:suppressAutoHyphens/>
      <w:autoSpaceDN w:val="0"/>
      <w:spacing w:before="240" w:after="240" w:line="312" w:lineRule="auto"/>
      <w:jc w:val="right"/>
      <w:textAlignment w:val="baseline"/>
    </w:pPr>
    <w:rPr>
      <w:rFonts w:asciiTheme="majorHAnsi" w:eastAsia="Arial Unicode MS" w:hAnsiTheme="majorHAnsi" w:cs="Tahoma"/>
      <w:color w:val="000000"/>
      <w:kern w:val="3"/>
      <w:sz w:val="22"/>
      <w:szCs w:val="22"/>
      <w:lang w:eastAsia="en-US"/>
    </w:rPr>
  </w:style>
  <w:style w:type="paragraph" w:customStyle="1" w:styleId="Formel">
    <w:name w:val="Formel"/>
    <w:basedOn w:val="Standard"/>
    <w:qFormat/>
    <w:rsid w:val="005B0921"/>
    <w:pPr>
      <w:widowControl w:val="0"/>
      <w:suppressAutoHyphens/>
      <w:autoSpaceDN w:val="0"/>
      <w:spacing w:before="240" w:after="240" w:line="312" w:lineRule="auto"/>
      <w:textAlignment w:val="baseline"/>
    </w:pPr>
    <w:rPr>
      <w:rFonts w:ascii="Cambria Math" w:eastAsia="Arial Unicode MS" w:hAnsi="Cambria Math" w:cs="Tahoma"/>
      <w:color w:val="000000"/>
      <w:kern w:val="3"/>
      <w:sz w:val="22"/>
      <w:szCs w:val="22"/>
      <w:lang w:eastAsia="en-US"/>
    </w:rPr>
  </w:style>
  <w:style w:type="character" w:customStyle="1" w:styleId="FormelnummerZchn">
    <w:name w:val="Formelnummer Zchn"/>
    <w:basedOn w:val="Absatz-Standardschriftart"/>
    <w:link w:val="Formelnummer"/>
    <w:rsid w:val="005B0921"/>
    <w:rPr>
      <w:rFonts w:asciiTheme="majorHAnsi" w:eastAsia="Arial Unicode MS" w:hAnsiTheme="majorHAnsi" w:cs="Tahoma"/>
      <w:color w:val="000000"/>
      <w:kern w:val="3"/>
      <w:sz w:val="22"/>
      <w:szCs w:val="22"/>
      <w:lang w:eastAsia="en-US"/>
    </w:rPr>
  </w:style>
  <w:style w:type="paragraph" w:customStyle="1" w:styleId="Absatz">
    <w:name w:val="Absatz"/>
    <w:link w:val="AbsatzZchn"/>
    <w:autoRedefine/>
    <w:qFormat/>
    <w:rsid w:val="004233D5"/>
    <w:pPr>
      <w:widowControl w:val="0"/>
      <w:suppressAutoHyphens/>
      <w:autoSpaceDN w:val="0"/>
      <w:spacing w:after="120" w:line="312" w:lineRule="auto"/>
      <w:jc w:val="both"/>
      <w:textAlignment w:val="baseline"/>
    </w:pPr>
    <w:rPr>
      <w:rFonts w:ascii="Cambria" w:eastAsia="Arial Unicode MS" w:hAnsi="Cambria" w:cs="Tahoma"/>
      <w:color w:val="000000"/>
      <w:kern w:val="3"/>
      <w:sz w:val="22"/>
      <w:szCs w:val="22"/>
      <w:lang w:eastAsia="en-US"/>
    </w:rPr>
  </w:style>
  <w:style w:type="character" w:customStyle="1" w:styleId="AbsatzZchn">
    <w:name w:val="Absatz Zchn"/>
    <w:basedOn w:val="Absatz-Standardschriftart"/>
    <w:link w:val="Absatz"/>
    <w:rsid w:val="004233D5"/>
    <w:rPr>
      <w:rFonts w:ascii="Cambria" w:eastAsia="Arial Unicode MS" w:hAnsi="Cambria" w:cs="Tahoma"/>
      <w:color w:val="000000"/>
      <w:kern w:val="3"/>
      <w:sz w:val="22"/>
      <w:szCs w:val="22"/>
      <w:lang w:eastAsia="en-US"/>
    </w:rPr>
  </w:style>
  <w:style w:type="paragraph" w:customStyle="1" w:styleId="RCode">
    <w:name w:val="R Code"/>
    <w:basedOn w:val="Standard"/>
    <w:link w:val="RCodeZchn"/>
    <w:qFormat/>
    <w:rsid w:val="004A05C3"/>
    <w:rPr>
      <w:rFonts w:ascii="Courier New" w:hAnsi="Courier New" w:cs="Courier New"/>
      <w:noProof/>
    </w:rPr>
  </w:style>
  <w:style w:type="character" w:customStyle="1" w:styleId="RCodeZchn">
    <w:name w:val="R Code Zchn"/>
    <w:basedOn w:val="Absatz-Standardschriftart"/>
    <w:link w:val="RCode"/>
    <w:rsid w:val="004A05C3"/>
    <w:rPr>
      <w:rFonts w:ascii="Courier New" w:eastAsia="Times New Roman" w:hAnsi="Courier New" w:cs="Courier New"/>
      <w:noProof/>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189265">
      <w:bodyDiv w:val="1"/>
      <w:marLeft w:val="0"/>
      <w:marRight w:val="0"/>
      <w:marTop w:val="0"/>
      <w:marBottom w:val="0"/>
      <w:divBdr>
        <w:top w:val="none" w:sz="0" w:space="0" w:color="auto"/>
        <w:left w:val="none" w:sz="0" w:space="0" w:color="auto"/>
        <w:bottom w:val="none" w:sz="0" w:space="0" w:color="auto"/>
        <w:right w:val="none" w:sz="0" w:space="0" w:color="auto"/>
      </w:divBdr>
    </w:div>
    <w:div w:id="72175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dirk.mittelstrass@luminescence.de"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C1DC9-0060-4F6B-ADCB-539ADC75B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
  <TotalTime>0</TotalTime>
  <Pages>1</Pages>
  <Words>13786</Words>
  <Characters>78584</Characters>
  <Application>Microsoft Office Word</Application>
  <DocSecurity>0</DocSecurity>
  <Lines>654</Lines>
  <Paragraphs>184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Blank</vt:lpstr>
      <vt:lpstr>Blank</vt:lpstr>
    </vt:vector>
  </TitlesOfParts>
  <Company>Copernicus Gesellschaft mbH</Company>
  <LinksUpToDate>false</LinksUpToDate>
  <CharactersWithSpaces>92186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Dirk Mittelstrass</cp:lastModifiedBy>
  <cp:revision>78</cp:revision>
  <cp:lastPrinted>2016-02-01T07:21:00Z</cp:lastPrinted>
  <dcterms:created xsi:type="dcterms:W3CDTF">2015-12-16T05:52:00Z</dcterms:created>
  <dcterms:modified xsi:type="dcterms:W3CDTF">2020-10-22T18:07:00Z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id="4CahZJ6X"/&gt;&lt;style id="http://www.zotero.org/styles/copernicus-publications" hasBibliography="1" bibliographyStyleHasBeenSet="1"/&gt;&lt;prefs&gt;&lt;pref name="fieldType" value="Field"/&gt;&lt;/prefs&gt;&lt;/data&gt;</vt:lpwstr>
  </property>
</Properties>
</file>