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Access Control Policy</w:t>
      </w:r>
    </w:p>
    <w:p>
      <w:r>
        <w:t>Policy ID: AC-001</w:t>
        <w:br/>
        <w:t>Effective Date: ________________</w:t>
        <w:br/>
        <w:t>Owner: IT Security Team</w:t>
      </w:r>
    </w:p>
    <w:p>
      <w:pPr>
        <w:pStyle w:val="Heading1"/>
      </w:pPr>
      <w:r>
        <w:t>Purpose</w:t>
      </w:r>
    </w:p>
    <w:p>
      <w:r>
        <w:t>To ensure that access to electronic protected health information (ePHI) is restricted to authorized users.</w:t>
      </w:r>
    </w:p>
    <w:p>
      <w:pPr>
        <w:pStyle w:val="Heading1"/>
      </w:pPr>
      <w:r>
        <w:t>Scope</w:t>
      </w:r>
    </w:p>
    <w:p>
      <w:r>
        <w:t>Applies to all employees, contractors, and third-party users accessing systems that store or process ePHI.</w:t>
      </w:r>
    </w:p>
    <w:p>
      <w:pPr>
        <w:pStyle w:val="Heading1"/>
      </w:pPr>
      <w:r>
        <w:t>Policy Statements</w:t>
      </w:r>
    </w:p>
    <w:p>
      <w:r>
        <w:t>- Unique user IDs must be assigned.</w:t>
        <w:br/>
        <w:t>- Shared accounts are prohibited.</w:t>
        <w:br/>
        <w:t>- Inactivity timeout is set to 15 minutes.</w:t>
        <w:br/>
        <w:t>- Access must be revoked immediately upon termination.</w:t>
      </w:r>
    </w:p>
    <w:p>
      <w:pPr>
        <w:pStyle w:val="Heading1"/>
      </w:pPr>
      <w:r>
        <w:t>Enforcement</w:t>
      </w:r>
    </w:p>
    <w:p>
      <w:r>
        <w:t>Violations may result in disciplinary action, including termination and legal penalties.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