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Архитектура и план проверки Draweb</w:t>
      </w:r>
    </w:p>
    <w:p>
      <w:pPr>
        <w:pStyle w:val="Subtitle"/>
      </w:pPr>
      <w:r>
        <w:t xml:space="preserve">Материалы для разделов 7 и 9 дипломного проекта</w:t>
      </w:r>
    </w:p>
    <w:p>
      <w:pPr>
        <w:pStyle w:val="Normal"/>
      </w:pPr>
      <w:r>
        <w:t xml:space="preserve">Draweb — среда создания и редактирования React прототипов по текстовому запросу и изображению. В этом документе представлены границы системы, пользовательские сценарии, черновая структура компонентов и план проверки текущего MVP. В коде приложение также называется VisionForge AI.</w:t>
      </w:r>
    </w:p>
    <w:p>
      <w:pPr>
        <w:pStyle w:val="Heading1"/>
      </w:pPr>
      <w:r>
        <w:t xml:space="preserve">7 Архитектура и диаграммы</w:t>
      </w:r>
    </w:p>
    <w:p>
      <w:pPr>
        <w:pStyle w:val="Heading2"/>
      </w:pPr>
      <w:r>
        <w:t xml:space="preserve">7 1 Контекст системы</w:t>
      </w:r>
    </w:p>
    <w:p>
      <w:pPr>
        <w:pStyle w:val="Normal"/>
      </w:pPr>
      <w:r>
        <w:t xml:space="preserve">System Context показывает систему целиком, её пользователя и внешние зависимости. Пользователь создаёт проекты, отправляет запросы, проверяет предлагаемые изменения и получает исходники. Внешний AI провайдер обрабатывает запросы через сервер; API ключ не передаётся в сгенерированный сайт.</w:t>
      </w:r>
    </w:p>
    <w:p>
      <w:pPr>
        <w:jc w:val="center"/>
        <w:spacing w:after="80"/>
      </w:pPr>
      <w:r>
        <w:drawing>
          <wp:inline distT="0" distB="0" distL="0" distR="0">
            <wp:extent cx="5943600" cy="3368040"/>
            <wp:docPr id="1" name="context" descr="Рисунок 7 1 — Контекст системы Drawe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7 1 — Контекст системы Draweb</w:t>
      </w:r>
    </w:p>
    <w:p>
      <w:pPr>
        <w:pStyle w:val="Normal"/>
      </w:pPr>
      <w:r>
        <w:t xml:space="preserve">В границу Draweb входят браузерный интерфейс, серверное API, хранилище SQLite и механизм компиляции. Локальная файловая система используется для базы данных и ключа шифрования; ZIP экспорт скачивается пользователем. OpenAI и Anthropic показаны как альтернативные внешние провайдеры.</w:t>
      </w:r>
    </w:p>
    <w:p>
      <w:pPr>
        <w:pStyle w:val="Normal"/>
      </w:pPr>
      <w:r>
        <w:t xml:space="preserve">Текущий объём — frontend прототипы с React и React DOM. Генерация и запуск backend приложений, совместное редактирование и публикация сайтов относятся к последующим этапам.</w:t>
      </w:r>
    </w:p>
    <w:p>
      <w:r>
        <w:br w:type="page"/>
      </w:r>
    </w:p>
    <w:p>
      <w:pPr>
        <w:pStyle w:val="Heading1"/>
      </w:pPr>
      <w:r>
        <w:t xml:space="preserve">7 2 Пользовательские сценарии</w:t>
      </w:r>
    </w:p>
    <w:p>
      <w:pPr>
        <w:pStyle w:val="Normal"/>
      </w:pPr>
      <w:r>
        <w:t xml:space="preserve">Use Case Diagram показывает цели пользователя. Основной актор — пользователь, внешний вспомогательный актор — AI провайдер. Все сценарии работы с проектами предполагают вход в аккаунт; подключение провайдера необходимо только для генерации.</w:t>
      </w:r>
    </w:p>
    <w:p>
      <w:pPr>
        <w:jc w:val="center"/>
        <w:spacing w:after="80"/>
      </w:pPr>
      <w:r>
        <w:drawing>
          <wp:inline distT="0" distB="0" distL="0" distR="0">
            <wp:extent cx="5943600" cy="4873752"/>
            <wp:docPr id="2" name="usecase" descr="Рисунок 7 2 — Диаграмма вариантов использовани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7 2 — Диаграмма вариантов использования</w:t>
      </w:r>
    </w:p>
    <w:p>
      <w:pPr>
        <w:pStyle w:val="Normal"/>
      </w:pPr>
      <w:r>
        <w:t xml:space="preserve">Основной сценарий UC03–UC04: пользователь открывает проект, задаёт запрос и при необходимости прикладывает изображение. Сервер получает предложение от модели, проверяет структуру файлов и компиляцию. Пользователь просматривает diff и явно применяет изменения. После применения обновляются исходники, версия и предпросмотр.</w:t>
      </w:r>
    </w:p>
    <w:p>
      <w:pPr>
        <w:pStyle w:val="Normal"/>
      </w:pPr>
      <w:r>
        <w:t xml:space="preserve">Альтернативы: модель запрашивает уточнение; провайдер возвращает ошибку; предложение не компилируется; версия проекта изменилась. В этих случаях изменения не должны применяться автоматически. На диаграмме линии обозначают участие акторов, а не порядок действий.</w:t>
      </w:r>
    </w:p>
    <w:p>
      <w:r>
        <w:br w:type="page"/>
      </w:r>
    </w:p>
    <w:p>
      <w:pPr>
        <w:pStyle w:val="Heading1"/>
      </w:pPr>
      <w:r>
        <w:t xml:space="preserve">7 3 Черновая структура компонентов</w:t>
      </w:r>
    </w:p>
    <w:p>
      <w:pPr>
        <w:pStyle w:val="Normal"/>
      </w:pPr>
      <w:r>
        <w:t xml:space="preserve">Component Diagram раскрывает внутреннее устройство MVP. Интерфейс обращается к Express API; сервер проверяет доступ и версии, работает с SQLite, вызывает AI адаптер и собирает код для предпросмотра. Это логические компоненты одного приложения, а не отдельные микросервисы.</w:t>
      </w:r>
    </w:p>
    <w:p>
      <w:pPr>
        <w:jc w:val="center"/>
        <w:spacing w:after="80"/>
      </w:pPr>
      <w:r>
        <w:drawing>
          <wp:inline distT="0" distB="0" distL="0" distR="0">
            <wp:extent cx="5943600" cy="4358640"/>
            <wp:docPr id="3" name="components" descr="Рисунок 7 3 — Черновая диаграмма компоненто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7 3 — Черновая диаграмма компонентов</w:t>
      </w:r>
    </w:p>
    <w:p>
      <w:pPr>
        <w:pStyle w:val="Heading2"/>
      </w:pPr>
      <w:r>
        <w:t xml:space="preserve">Обязанности и границы доверия</w:t>
      </w:r>
    </w:p>
    <w:p>
      <w:pPr>
        <w:pStyle w:val="Normal"/>
      </w:pPr>
      <w:r>
        <w:t xml:space="preserve">App.tsx управляет рабочим пространством, api.ts выполняет запросы, CodeEditor.tsx подключает Monaco. app.js координирует операции; store.js хранит аккаунты, проекты и снимки, хеширует пароли и шифрует ключи. ai.js нормализует запросы к провайдерам. code.js компилирует файлы в памяти и изменяет JSX через AST. templates.js содержит стартовые проекты.</w:t>
      </w:r>
    </w:p>
    <w:p>
      <w:pPr>
        <w:pStyle w:val="Normal"/>
      </w:pPr>
      <w:r>
        <w:t xml:space="preserve">Предпросмотр работает в iframe с sandbox без same-origin привилегий. CSP ограничивает сетевые действия; сообщения выбора элемента проверяются по источнику и каналу. Это изоляция браузерных полномочий, но не ограничение CPU и памяти: бесконечный цикл всё ещё может заблокировать процесс браузера.</w:t>
      </w:r>
    </w:p>
    <w:p>
      <w:r>
        <w:br w:type="page"/>
      </w:r>
    </w:p>
    <w:p>
      <w:pPr>
        <w:pStyle w:val="Heading1"/>
      </w:pPr>
      <w:r>
        <w:t xml:space="preserve">9 План проверки проекта</w:t>
      </w:r>
    </w:p>
    <w:p>
      <w:pPr>
        <w:pStyle w:val="Heading2"/>
      </w:pPr>
      <w:r>
        <w:t xml:space="preserve">9 1 Цель и условия проверки</w:t>
      </w:r>
    </w:p>
    <w:p>
      <w:pPr>
        <w:pStyle w:val="Normal"/>
      </w:pPr>
      <w:r>
        <w:t xml:space="preserve">Verification Plan определяет, что проверяется, как измеряется результат и по каким критериям принимается MVP. Проверяются полный пользовательский цикл, сохранность исходников, контроль доступа и качество получаемых прототипов. Ниже приведены план и предлагаемые критерии, а не результаты выполненного эксперимента.</w:t>
      </w:r>
    </w:p>
    <w:p>
      <w:pPr>
        <w:pStyle w:val="Normal"/>
      </w:pPr>
      <w:r>
        <w:t xml:space="preserve">Стенд: Node.js 24 или новее, установленный Google Chrome, зафиксированные зависимости из package-lock.json и отдельная временная база SQLite. Перед запуском записываются версия ОС, CPU, объём RAM, версия браузера и хеш проверяемого коммита. Рабочая база пользователей не используется.</w:t>
      </w:r>
    </w:p>
    <w:p>
      <w:pPr>
        <w:pStyle w:val="Heading2"/>
      </w:pPr>
      <w:r>
        <w:t xml:space="preserve">9 2 Матрица проверок</w:t>
      </w:r>
    </w:p>
    <w:tbl>
      <w:tblPr>
        <w:tblW w:w="960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700"/>
        <w:gridCol w:w="3750"/>
        <w:gridCol w:w="4150"/>
      </w:tblGrid>
      <w:tr>
        <w:trPr>
          <w:tblHeader/>
          <w:cantSplit/>
        </w:trPr>
        <w:tc>
          <w:tcPr>
            <w:tcW w:w="1700" w:type="dxa"/>
            <w:vAlign w:val="center"/>
            <w:shd w:fill="E8EDF2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  <w:b/>
              </w:rPr>
              <w:t>ID и уровень</w:t>
            </w:r>
          </w:p>
        </w:tc>
        <w:tc>
          <w:tcPr>
            <w:tcW w:w="3750" w:type="dxa"/>
            <w:vAlign w:val="center"/>
            <w:shd w:fill="E8EDF2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  <w:b/>
              </w:rPr>
              <w:t>Действие или условие</w:t>
            </w:r>
          </w:p>
        </w:tc>
        <w:tc>
          <w:tcPr>
            <w:tcW w:w="4150" w:type="dxa"/>
            <w:vAlign w:val="center"/>
            <w:shd w:fill="E8EDF2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  <w:b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T01 API</w:t>
            </w:r>
          </w:p>
        </w:tc>
        <w:tc>
          <w:tcPr>
            <w:tcW w:w="37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Регистрация, вход, выход; запрос без сессии</w:t>
            </w:r>
          </w:p>
        </w:tc>
        <w:tc>
          <w:tcPr>
            <w:tcW w:w="41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Рабочая сессия; после выхода доступ закрыт; без сессии — 401.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T02 API</w:t>
            </w:r>
          </w:p>
        </w:tc>
        <w:tc>
          <w:tcPr>
            <w:tcW w:w="37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Второй аккаунт открывает и экспортирует чужой проект</w:t>
            </w:r>
          </w:p>
        </w:tc>
        <w:tc>
          <w:tcPr>
            <w:tcW w:w="41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Отказ без раскрытия данных; текущий API возвращает 404.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T03 API</w:t>
            </w:r>
          </w:p>
        </w:tc>
        <w:tc>
          <w:tcPr>
            <w:tcW w:w="37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Сохранение с актуальной и устаревшей revision</w:t>
            </w:r>
          </w:p>
        </w:tc>
        <w:tc>
          <w:tcPr>
            <w:tcW w:w="41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Актуальная запись сохранена; устаревшая — 409 без перезаписи.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T04 AI и API</w:t>
            </w:r>
          </w:p>
        </w:tc>
        <w:tc>
          <w:tcPr>
            <w:tcW w:w="37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Запрос с изображением; просмотр и применение предложения</w:t>
            </w:r>
          </w:p>
        </w:tc>
        <w:tc>
          <w:tcPr>
            <w:tcW w:w="41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Изображение включено в запрос; исходники меняются после подтверждения.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T05 Негативный</w:t>
            </w:r>
          </w:p>
        </w:tc>
        <w:tc>
          <w:tcPr>
            <w:tcW w:w="37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Неверный JSON, ошибка провайдера, невалидный код</w:t>
            </w:r>
          </w:p>
        </w:tc>
        <w:tc>
          <w:tcPr>
            <w:tcW w:w="41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Понятная ошибка; исходники проекта не изменены.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T06 Компилятор</w:t>
            </w:r>
          </w:p>
        </w:tc>
        <w:tc>
          <w:tcPr>
            <w:tcW w:w="37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JSX правка текста и стиля; динамические выражения</w:t>
            </w:r>
          </w:p>
        </w:tc>
        <w:tc>
          <w:tcPr>
            <w:tcW w:w="41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Обработчики сохранены; небезопасная визуальная правка отклонена.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T07 UI</w:t>
            </w:r>
          </w:p>
        </w:tc>
        <w:tc>
          <w:tcPr>
            <w:tcW w:w="37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Правка в Monaco, сохранение, перезагрузка страницы</w:t>
            </w:r>
          </w:p>
        </w:tc>
        <w:tc>
          <w:tcPr>
            <w:tcW w:w="41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Сохранённый исходник восстановлен; предпросмотр соответствует ему.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T08 UI и API</w:t>
            </w:r>
          </w:p>
        </w:tc>
        <w:tc>
          <w:tcPr>
            <w:tcW w:w="37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Восстановление снимка и ZIP экспорт</w:t>
            </w:r>
          </w:p>
        </w:tc>
        <w:tc>
          <w:tcPr>
            <w:tcW w:w="41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Исходники совпадают со снимком; экспорт запускается отдельно.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T09 Безопасность</w:t>
            </w:r>
          </w:p>
        </w:tc>
        <w:tc>
          <w:tcPr>
            <w:tcW w:w="37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Чтение настроек, экспорт и запрос с чужим Origin</w:t>
            </w:r>
          </w:p>
        </w:tc>
        <w:tc>
          <w:tcPr>
            <w:tcW w:w="41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Нет открытого API ключа; запрещённый Origin получает отказ.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T10 UI</w:t>
            </w:r>
          </w:p>
        </w:tc>
        <w:tc>
          <w:tcPr>
            <w:tcW w:w="37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Ширины 1440, 768 и 390 px; ссылки и React форма</w:t>
            </w:r>
          </w:p>
        </w:tc>
        <w:tc>
          <w:tcPr>
            <w:tcW w:w="41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Проверены компоновка, навигация и локальные обработчики.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Основа автоматизации уже есть в tests/platform.test.js и scripts/verify-browser.mjs. Матрица шире существующих проверок: отсутствующие случаи требуется добавить или выполнить вручную и зафиксировать отдельно.</w:t>
      </w:r>
    </w:p>
    <w:p>
      <w:r>
        <w:br w:type="page"/>
      </w:r>
    </w:p>
    <w:p>
      <w:pPr>
        <w:pStyle w:val="Heading1"/>
      </w:pPr>
      <w:r>
        <w:t xml:space="preserve">9 3 Метрики и критерии приёмки</w:t>
      </w:r>
    </w:p>
    <w:p>
      <w:pPr>
        <w:pStyle w:val="Normal"/>
      </w:pPr>
      <w:r>
        <w:t xml:space="preserve">Пороговые значения ниже предлагаются для дипломного эксперимента и согласуются с руководителем до сбора данных. Прохождение сборки подтверждает компилируемость кода, но не корректность поведения и не сходство с референсом.</w:t>
      </w:r>
    </w:p>
    <w:tbl>
      <w:tblPr>
        <w:tblW w:w="960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200"/>
        <w:gridCol w:w="4350"/>
        <w:gridCol w:w="3050"/>
      </w:tblGrid>
      <w:tr>
        <w:trPr>
          <w:tblHeader/>
          <w:cantSplit/>
        </w:trPr>
        <w:tc>
          <w:tcPr>
            <w:tcW w:w="2200" w:type="dxa"/>
            <w:vAlign w:val="center"/>
            <w:shd w:fill="E8EDF2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  <w:b/>
              </w:rPr>
              <w:t>Метрика</w:t>
            </w:r>
          </w:p>
        </w:tc>
        <w:tc>
          <w:tcPr>
            <w:tcW w:w="4350" w:type="dxa"/>
            <w:vAlign w:val="center"/>
            <w:shd w:fill="E8EDF2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  <w:b/>
              </w:rPr>
              <w:t>Как измерять</w:t>
            </w:r>
          </w:p>
        </w:tc>
        <w:tc>
          <w:tcPr>
            <w:tcW w:w="3050" w:type="dxa"/>
            <w:vAlign w:val="center"/>
            <w:shd w:fill="E8EDF2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  <w:b/>
              </w:rPr>
              <w:t>Предлагаемый критерий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Критические сценарии</w:t>
            </w:r>
          </w:p>
        </w:tc>
        <w:tc>
          <w:tcPr>
            <w:tcW w:w="43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Число пройденных критических тестов / число выполненных критических тестов × 100%. Все T01–T09 считаются критическими.</w:t>
            </w:r>
          </w:p>
        </w:tc>
        <w:tc>
          <w:tcPr>
            <w:tcW w:w="30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100%; ни одного дефекта с потерей данных, утечкой ключа или доступом к чужому проекту.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Успех первой генерации</w:t>
            </w:r>
          </w:p>
        </w:tc>
        <w:tc>
          <w:tcPr>
            <w:tcW w:w="43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Доля первых ответов с валидными файлами, которые компилируются и открываются без ошибки при загрузке. Ошибки и таймауты входят в знаменатель.</w:t>
            </w:r>
          </w:p>
        </w:tc>
        <w:tc>
          <w:tcPr>
            <w:tcW w:w="30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Не менее 90% на фиксированной выборке.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Выполнение требований</w:t>
            </w:r>
          </w:p>
        </w:tc>
        <w:tc>
          <w:tcPr>
            <w:tcW w:w="43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Доля выполненных пунктов заранее составленного функционального чек-листа каждого задания.</w:t>
            </w:r>
          </w:p>
        </w:tc>
        <w:tc>
          <w:tcPr>
            <w:tcW w:w="30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Не менее 90% обязательных пунктов для итогового прототипа.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Визуальное сходство</w:t>
            </w:r>
          </w:p>
        </w:tc>
        <w:tc>
          <w:tcPr>
            <w:tcW w:w="43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Два независимых оценщика: структура, типографика, цвета, отступы, адаптивность; каждая оценка от 1 до 5.</w:t>
            </w:r>
          </w:p>
        </w:tc>
        <w:tc>
          <w:tcPr>
            <w:tcW w:w="30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Средняя оценка не ниже 4,0; отдельно представить расхождения оценщиков.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Время выполнения</w:t>
            </w:r>
          </w:p>
        </w:tc>
        <w:tc>
          <w:tcPr>
            <w:tcW w:w="43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От получения задания до выполнения чек-листа; учитывать генерацию, ожидание, правки и повторные попытки.</w:t>
            </w:r>
          </w:p>
        </w:tc>
        <w:tc>
          <w:tcPr>
            <w:tcW w:w="30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Медиана времени Draweb не выше baseline; желаемое снижение — 20%.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Задержка интерфейса</w:t>
            </w:r>
          </w:p>
        </w:tc>
        <w:tc>
          <w:tcPr>
            <w:tcW w:w="43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От сохранения исходника до готового предпросмотра; 30 повторений на одинаковом проекте, после одного прогрева.</w:t>
            </w:r>
          </w:p>
        </w:tc>
        <w:tc>
          <w:tcPr>
            <w:tcW w:w="30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p95 не более 3 с на зафиксированном стенде; AI задержка считается отдельно.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Сохранность и экспорт</w:t>
            </w:r>
          </w:p>
        </w:tc>
        <w:tc>
          <w:tcPr>
            <w:tcW w:w="43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Сравнение исходников до и после восстановления; проверка файлов ZIP и отдельного запуска.</w:t>
            </w:r>
          </w:p>
        </w:tc>
        <w:tc>
          <w:tcPr>
            <w:tcW w:w="305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Полное совпадение ожидаемых исходников; успешный запуск экспорта.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Для времени показываются медиана и p95; для долей — числитель и знаменатель. p95 определяется как значение с рангом ceil(0,95 × n) в отсортированной выборке. Дополнительно записываются число AI запросов, ошибки провайдера и доступные сведения о расходе токенов.</w:t>
      </w:r>
    </w:p>
    <w:p>
      <w:r>
        <w:br w:type="page"/>
      </w:r>
    </w:p>
    <w:p>
      <w:pPr>
        <w:pStyle w:val="Heading1"/>
      </w:pPr>
      <w:r>
        <w:t xml:space="preserve">9 4 Базовое решение для сравнения</w:t>
      </w:r>
    </w:p>
    <w:p>
      <w:pPr>
        <w:pStyle w:val="Heading2"/>
      </w:pPr>
      <w:r>
        <w:t xml:space="preserve">Что принимается за baseline</w:t>
      </w:r>
    </w:p>
    <w:p>
      <w:pPr>
        <w:pStyle w:val="Normal"/>
      </w:pPr>
      <w:r>
        <w:t xml:space="preserve">Базовое решение — обычная генерация React кода через тот же AI API с последующим ручным редактированием в редакторе и запуском через Vite. В baseline не используются визуальные правки Draweb, его diff, автоматическое применение и история снимков. Baseline предстоит подготовить как отдельный экспериментальный процесс.</w:t>
      </w:r>
    </w:p>
    <w:p>
      <w:pPr>
        <w:pStyle w:val="Normal"/>
      </w:pPr>
      <w:r>
        <w:t xml:space="preserve">Сравнение проверяет пользу рабочего процесса Draweb, а не превосходство одной модели над другой. Для обоих вариантов фиксируются один провайдер, один идентификатор модели, одинаковые референсы, требования, начальные исходники и лимиты запросов. Точные системные и пользовательские сообщения сохраняются; необходимые различия формата ответа документируются.</w:t>
      </w:r>
    </w:p>
    <w:p>
      <w:pPr>
        <w:pStyle w:val="Heading2"/>
      </w:pPr>
      <w:r>
        <w:t xml:space="preserve">Выборка и порядок эксперимента</w:t>
      </w:r>
    </w:p>
    <w:p>
      <w:pPr>
        <w:pStyle w:val="Normal"/>
      </w:pPr>
      <w:r>
        <w:t xml:space="preserve">Подготовить 10 заданий: четыре простых лендинга, три страницы с формой или локальным интерактивным элементом, три многораздельные страницы с адаптивной компоновкой. Для каждого задания заранее сохранить референс, список обязательных элементов, действия для проверки и размеры экрана. Внешние изображения и шрифты должны быть доступны одинаково в обоих вариантах.</w:t>
      </w:r>
    </w:p>
    <w:p>
      <w:pPr>
        <w:pStyle w:val="Normal"/>
      </w:pPr>
      <w:r>
        <w:t xml:space="preserve">Каждое задание выполнить трижды в каждом варианте: всего 60 попыток. Ограничить попытку 20 минутами и пятью AI запросами. Невыполненное задание записывается как неуспех; его фактически затраченное время сохраняется. Таймауты и отказы API не удаляются из основной выборки; причины отмечаются отдельно.</w:t>
      </w:r>
    </w:p>
    <w:p>
      <w:pPr>
        <w:pStyle w:val="Normal"/>
      </w:pPr>
      <w:r>
        <w:t xml:space="preserve">Дияр и Расул чередуют варианты и задания. Для каждого задания распределить повторы так, чтобы оба участника работали с обоими вариантами; порядок менять между заданиями. Перед измерениями провести по одному тренировочному заданию вне выборки. Эффект обучения учитывать при интерпретации результатов.</w:t>
      </w:r>
    </w:p>
    <w:p>
      <w:pPr>
        <w:pStyle w:val="Heading2"/>
      </w:pPr>
      <w:r>
        <w:t xml:space="preserve">Проверка результата и гипотеза</w:t>
      </w:r>
    </w:p>
    <w:p>
      <w:pPr>
        <w:pStyle w:val="Normal"/>
      </w:pPr>
      <w:r>
        <w:t xml:space="preserve">Оценщикам передаются обезличенные скриншоты с одинаковыми размерами экрана и результаты функциональных проверок. Оценка 1 означает существенное несоответствие, 3 — частичное выполнение с заметными отличиями, 5 — выполнение критерия с минимальными отличиями. Промежуточные значения 2 и 4 используются между этими уровнями.</w:t>
      </w:r>
    </w:p>
    <w:p>
      <w:pPr>
        <w:pStyle w:val="Normal"/>
      </w:pPr>
      <w:r>
        <w:t xml:space="preserve">Основная гипотеза: Draweb сокращает время получения редактируемого прототипа без снижения доли выполненных требований. Снижение времени вычисляется как (медиана baseline − медиана Draweb) / медиана baseline × 100%. Обе медианы показываются вместе с долей успешных попыток; время успешных попыток также приводится отдельно.</w:t>
      </w:r>
    </w:p>
    <w:p>
      <w:r>
        <w:br w:type="page"/>
      </w:r>
    </w:p>
    <w:p>
      <w:pPr>
        <w:pStyle w:val="Heading1"/>
      </w:pPr>
      <w:r>
        <w:t xml:space="preserve">9 5 Порядок выполнения и отчётность</w:t>
      </w:r>
    </w:p>
    <w:p>
      <w:pPr>
        <w:pStyle w:val="Heading2"/>
      </w:pPr>
      <w:r>
        <w:t xml:space="preserve">Последовательность проверки</w:t>
      </w:r>
    </w:p>
    <w:p>
      <w:pPr>
        <w:pStyle w:val="Normal"/>
      </w:pPr>
      <w:r>
        <w:t xml:space="preserve">1. Зафиксировать версию проекта, стенд, выборку, чек-листы и критерии. Подготовить временную базу и тестовые аккаунты. Не включать реальные API ключи в отчёт или скриншоты.</w:t>
      </w:r>
    </w:p>
    <w:p>
      <w:pPr>
        <w:pStyle w:val="Normal"/>
      </w:pPr>
      <w:r>
        <w:t xml:space="preserve">2. Выполнить npm ci, npm test и npm run build. Затем выполнить npm run test:browser при установленном Chrome и наличии dist. Сохранить журналы, дату, код завершения и найденные ошибки.</w:t>
      </w:r>
    </w:p>
    <w:p>
      <w:pPr>
        <w:pStyle w:val="Normal"/>
      </w:pPr>
      <w:r>
        <w:t xml:space="preserve">3. Выполнить недостающие негативные и ручные проверки из матрицы. Проверить восстановление после перезапуска сервера и отдельный запуск ZIP экспорта. Исправления связать с идентификаторами тестов и повторить затронутые проверки.</w:t>
      </w:r>
    </w:p>
    <w:p>
      <w:pPr>
        <w:pStyle w:val="Normal"/>
      </w:pPr>
      <w:r>
        <w:t xml:space="preserve">4. Провести отдельный эксперимент с реальным провайдером по разделу 9 4. Контролируемые ответы в автоматических тестах не использовать как доказательство качества реальной генерации.</w:t>
      </w:r>
    </w:p>
    <w:p>
      <w:pPr>
        <w:pStyle w:val="Normal"/>
      </w:pPr>
      <w:r>
        <w:t xml:space="preserve">5. Свести результаты по каждому варианту, перечислить невыполненные критерии и ограничения. Заключение о достижении целей делать после измерений.</w:t>
      </w:r>
    </w:p>
    <w:p>
      <w:pPr>
        <w:pStyle w:val="Heading2"/>
      </w:pPr>
      <w:r>
        <w:t xml:space="preserve">Запись одной экспериментальной попытки</w:t>
      </w:r>
    </w:p>
    <w:tbl>
      <w:tblPr>
        <w:tblW w:w="9600" w:type="dxa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400"/>
        <w:gridCol w:w="7200"/>
      </w:tblGrid>
      <w:tr>
        <w:trPr>
          <w:tblHeader/>
          <w:cantSplit/>
        </w:trPr>
        <w:tc>
          <w:tcPr>
            <w:tcW w:w="2400" w:type="dxa"/>
            <w:vAlign w:val="center"/>
            <w:shd w:fill="E8EDF2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  <w:b/>
              </w:rPr>
              <w:t>Поле</w:t>
            </w:r>
          </w:p>
        </w:tc>
        <w:tc>
          <w:tcPr>
            <w:tcW w:w="7200" w:type="dxa"/>
            <w:vAlign w:val="center"/>
            <w:shd w:fill="E8EDF2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  <w:b/>
              </w:rPr>
              <w:t>Что записать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Идентификация</w:t>
            </w:r>
          </w:p>
        </w:tc>
        <w:tc>
          <w:tcPr>
            <w:tcW w:w="72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Задание, повтор, вариант, участник, дата, хеш коммита.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Условия</w:t>
            </w:r>
          </w:p>
        </w:tc>
        <w:tc>
          <w:tcPr>
            <w:tcW w:w="72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Стенд, модель, параметры, начальные файлы, референс и точные запросы.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Измерения</w:t>
            </w:r>
          </w:p>
        </w:tc>
        <w:tc>
          <w:tcPr>
            <w:tcW w:w="72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Время, число запросов, успех первой генерации, выполненные пункты чек-листа.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Качество</w:t>
            </w:r>
          </w:p>
        </w:tc>
        <w:tc>
          <w:tcPr>
            <w:tcW w:w="72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Оценки двух оценщиков по каждому критерию, скриншоты, ошибки и ограничения.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Доказательства</w:t>
            </w:r>
          </w:p>
        </w:tc>
        <w:tc>
          <w:tcPr>
            <w:tcW w:w="7200" w:type="dxa"/>
            <w:vAlign w:val="center"/>
          </w:tcPr>
          <w:p>
            <w:pPr>
              <w:spacing w:before="30" w:after="45" w:line="250" w:lineRule="auto"/>
            </w:pPr>
            <w:r>
              <w:rPr>
                <w:rFonts w:ascii="Times New Roman" w:hAnsi="Times New Roman"/>
                <w:sz w:val="21"/>
              </w:rPr>
              <w:t>Журнал теста, итоговые исходники, ZIP и путь к материалам попытки.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Ограничения интерпретации</w:t>
      </w:r>
    </w:p>
    <w:p>
      <w:pPr>
        <w:pStyle w:val="Normal"/>
      </w:pPr>
      <w:r>
        <w:t xml:space="preserve">Два участника и десять заданий дают предварительную оценку MVP. Результаты зависят от опыта участников, версии модели и выбранных заданий. Нагрузочная проверка публичного сервиса, независимый аудит безопасности и исследование удобства на широкой группе пользователей требуют отдельной работы.</w:t>
      </w:r>
    </w:p>
    <w:p>
      <w:pPr>
        <w:pStyle w:val="Heading2"/>
      </w:pPr>
      <w:r>
        <w:t xml:space="preserve">Основания для описания реализации</w:t>
      </w:r>
    </w:p>
    <w:p>
      <w:pPr>
        <w:pStyle w:val="Normal"/>
      </w:pPr>
      <w:r>
        <w:t xml:space="preserve">Репозиторий: https://github.com/Dirolka/draWeb. Описание объёма: README.md. Компоненты: src/App.tsx, src/CodeEditor.tsx, src/api.ts, server/app.js, server/store.js, server/ai.js, server/code.js, server/templates.js. Основа проверок: tests/platform.test.js, scripts/verify-browser.mjs и package.json.</w:t>
      </w:r>
    </w:p>
    <w:sectPr>
      <w:footerReference w:type="default" r:id="footer"/>
      <w:pgSz w:w="11906" w:h="16838"/>
      <w:pgMar w:top="1000" w:bottom="1000" w:left="1134" w:right="1134" w:header="400" w:footer="450"/>
    </w:sectPr>
  </w:body>
</w:document>
</file>

<file path=word/footer.xml><?xml version="1.0" encoding="utf-8"?>
<w:ftr xmlns:w="http://schemas.openxmlformats.org/wordprocessingml/2006/main">
  <w:p>
    <w:pPr>
      <w:jc w:val="center"/>
    </w:pPr>
    <w:r>
      <w:rPr>
        <w:sz w:val="20"/>
      </w:rP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color w:val="000000"/>
        <w:lang w:val="ru-RU"/>
      </w:rPr>
    </w:rPrDefault>
    <w:pPrDefault>
      <w:pPr>
        <w:spacing w:after="120" w:line="276" w:lineRule="auto"/>
      </w:pPr>
    </w:pPrDefault>
  </w:docDefaults>
  <w:style w:type="paragraph" w:styleId="Normal">
    <w:name w:val="Normal"/>
    <w:pPr>
      <w:spacing w:before="0" w:after="100"/>
    </w:pPr>
    <w:rPr>
      <w:color w:val="000000"/>
      <w:sz w:val="24"/>
    </w:rPr>
  </w:style>
  <w:style w:type="paragraph" w:styleId="Title">
    <w:name w:val="Title"/>
    <w:basedOn w:val="Normal"/>
    <w:pPr>
      <w:spacing w:before="0" w:after="160"/>
    </w:pPr>
    <w:rPr>
      <w:color w:val="000000"/>
      <w:sz w:val="36"/>
      <w:b/>
    </w:rPr>
  </w:style>
  <w:style w:type="paragraph" w:styleId="Subtitle">
    <w:name w:val="Subtitle"/>
    <w:basedOn w:val="Normal"/>
    <w:pPr>
      <w:spacing w:before="0" w:after="100"/>
    </w:pPr>
    <w:rPr>
      <w:color w:val="000000"/>
      <w:sz w:val="24"/>
    </w:rPr>
  </w:style>
  <w:style w:type="paragraph" w:styleId="Heading1">
    <w:name w:val="Heading1"/>
    <w:basedOn w:val="Normal"/>
    <w:pPr>
      <w:keepNext/>
      <w:keepLines/>
      <w:spacing w:before="0" w:after="100"/>
    </w:pPr>
    <w:rPr>
      <w:color w:val="000000"/>
      <w:sz w:val="30"/>
      <w:b/>
    </w:rPr>
  </w:style>
  <w:style w:type="paragraph" w:styleId="Heading2">
    <w:name w:val="Heading2"/>
    <w:basedOn w:val="Normal"/>
    <w:pPr>
      <w:keepNext/>
      <w:keepLines/>
      <w:spacing w:before="120" w:after="100"/>
    </w:pPr>
    <w:rPr>
      <w:color w:val="000000"/>
      <w:sz w:val="26"/>
      <w:b/>
    </w:rPr>
  </w:style>
  <w:style w:type="paragraph" w:styleId="Caption">
    <w:name w:val="Caption"/>
    <w:basedOn w:val="Normal"/>
    <w:pPr>
      <w:spacing w:before="0" w:after="100"/>
      <w:jc w:val="center"/>
    </w:pPr>
    <w:rPr>
      <w:color w:val="000000"/>
      <w:sz w:val="21"/>
    </w:rPr>
  </w:style>
</w:styles>
</file>

<file path=word/_rels/document.xml.rels><?xml version="1.0"?><Relationships xmlns="http://schemas.openxmlformats.org/package/2006/relationships"><Relationship Id="styles" Type="http://schemas.openxmlformats.org/officeDocument/2006/relationships/styles" Target="styles.xml"/><Relationship Id="footer" Type="http://schemas.openxmlformats.org/officeDocument/2006/relationships/footer" Target="footer.xml"/><Relationship Id="img1" Type="http://schemas.openxmlformats.org/officeDocument/2006/relationships/image" Target="media/context.png"/><Relationship Id="img2" Type="http://schemas.openxmlformats.org/officeDocument/2006/relationships/image" Target="media/usecase.png"/><Relationship Id="img3" Type="http://schemas.openxmlformats.org/officeDocument/2006/relationships/image" Target="media/components.png"/></Relationships>
</file>