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Execution Strategy</w:t>
      </w:r>
    </w:p>
    <w:p>
      <w:pPr>
        <w:spacing w:after="360"/>
        <w:jc w:val="center"/>
      </w:pPr>
      <w:r>
        <w:rPr>
          <w:rFonts w:ascii="Arial" w:cs="Arial" w:eastAsia="Arial" w:hAnsi="Arial"/>
          <w:sz w:val="28"/>
          <w:szCs w:val="28"/>
          <w:u w:val="single"/>
        </w:rPr>
        <w:t xml:space="preserve">Phase 1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Create a repeatable, data-driven approach to uncover hiring demand, mapping out buying influence, and convert market intelligence into meetings and opportunities.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Management Approach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Manage through data and cadence on the Game Plan document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Activity Metrics in Bullhorn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Attempted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Conversations held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Contacts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Meetings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Time-of-day call effectiveness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Leadership Rhythm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Weekly deputy 1:1s focused on data +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Bi-weekly Bullhorn reporting comes out Monday and Wednesday.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Immediate escalation of “red flags”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Consistent accountability to activity, not just outcomes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Self-Management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One daily win tied to effort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Trust the process; results follow volume + quality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Execution Strategy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Market Intelligence Collection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Each AM conducts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5+ recruiter-style conversations</w:t>
      </w:r>
      <w:r>
        <w:rPr>
          <w:rFonts w:ascii="Arial" w:cs="Arial" w:eastAsia="Arial" w:hAnsi="Arial"/>
          <w:sz w:val="24"/>
          <w:szCs w:val="24"/>
        </w:rPr>
        <w:t xml:space="preserve"> per target account to gather insight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Skillsets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Clearance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Hiring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Team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Onsite vs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Hiring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Compensation signals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Outcome: </w:t>
      </w:r>
      <w:r>
        <w:rPr>
          <w:rFonts w:ascii="Arial" w:cs="Arial" w:eastAsia="Arial" w:hAnsi="Arial"/>
          <w:sz w:val="24"/>
          <w:szCs w:val="24"/>
        </w:rPr>
        <w:t xml:space="preserve">Actionable hiring intelligence, not just contacts.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Example: Manager names, Contact Information, Leads, Project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Buying Hierarchy Mapping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Using collected data, build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minimum 30-contact map</w:t>
      </w:r>
      <w:r>
        <w:rPr>
          <w:rFonts w:ascii="Arial" w:cs="Arial" w:eastAsia="Arial" w:hAnsi="Arial"/>
          <w:sz w:val="24"/>
          <w:szCs w:val="24"/>
        </w:rPr>
        <w:t xml:space="preserve"> per account: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Executive Sponsor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Decision Maker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Influencer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Gatekeeper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Other stakeholders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Outcome: </w:t>
      </w:r>
      <w:r>
        <w:rPr>
          <w:rFonts w:ascii="Arial" w:cs="Arial" w:eastAsia="Arial" w:hAnsi="Arial"/>
          <w:sz w:val="24"/>
          <w:szCs w:val="24"/>
        </w:rPr>
        <w:t xml:space="preserve">Full visibility into who drives hiring decisions.</w:t>
      </w:r>
    </w:p>
    <w:p>
      <w:pPr>
        <w:pBdr>
          <w:bottom w:val="single" w:color="999999" w:sz="1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Prime Past Performance Alignment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Translate known past performance into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account-specific relevance</w:t>
      </w:r>
      <w:r>
        <w:rPr>
          <w:rFonts w:ascii="Arial" w:cs="Arial" w:eastAsia="Arial" w:hAnsi="Arial"/>
          <w:sz w:val="24"/>
          <w:szCs w:val="24"/>
        </w:rPr>
        <w:t xml:space="preserve"> using intelligence from steps 1 and 2.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Outcome: </w:t>
      </w:r>
      <w:r>
        <w:rPr>
          <w:rFonts w:ascii="Arial" w:cs="Arial" w:eastAsia="Arial" w:hAnsi="Arial"/>
          <w:sz w:val="24"/>
          <w:szCs w:val="24"/>
        </w:rPr>
        <w:t xml:space="preserve">Credible, targeted messaging tied to real hiring pain.</w:t>
      </w:r>
    </w:p>
    <w:p>
      <w:pPr>
        <w:pBdr>
          <w:bottom w:val="single" w:color="999999" w:sz="1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Cold Outreach Execution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Cold call the full mapped list.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Goal: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the meeting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Confirm follow-up email</w:t>
      </w:r>
    </w:p>
    <w:p>
      <w:pPr>
        <w:pBdr>
          <w:bottom w:val="single" w:color="999999" w:sz="1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Scale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a standardized, “cookie-cutter” process for the deputies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Double insight and emotionless activity reporting x2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Identify account gaps that generate new hiring demand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2026-02-19T18:52:07.413Z</dcterms:created>
  <dcterms:modified xsi:type="dcterms:W3CDTF">2026-02-19T18:52:07.414Z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