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宏硕建设 ERP 测试报告</w:t>
      </w:r>
    </w:p>
    <w:p>
      <w:pPr>
        <w:spacing w:after="240"/>
      </w:pPr>
      <w:r>
        <w:rPr>
          <w:rFonts w:ascii="Calibri" w:hAnsi="Calibri" w:eastAsia="Microsoft YaHei"/>
          <w:b w:val="0"/>
          <w:color w:val="4B5563"/>
          <w:sz w:val="26"/>
        </w:rPr>
        <w:t>测试用例资产与本地自动化回归结果</w:t>
      </w:r>
    </w:p>
    <w:p>
      <w:pPr>
        <w:spacing w:after="40"/>
      </w:pPr>
      <w:r>
        <w:rPr>
          <w:rFonts w:ascii="Calibri" w:hAnsi="Calibri" w:eastAsia="Microsoft YaHei"/>
          <w:b/>
          <w:color w:val="12355B"/>
          <w:sz w:val="21"/>
        </w:rPr>
        <w:t>项目：</w:t>
      </w:r>
      <w:r>
        <w:rPr>
          <w:rFonts w:ascii="Calibri" w:hAnsi="Calibri" w:eastAsia="Microsoft YaHei"/>
          <w:b w:val="0"/>
          <w:color w:val="000000"/>
          <w:sz w:val="21"/>
        </w:rPr>
        <w:t>Hongshuo-ERP-AI / hongshuo-construction-erp-ai</w:t>
      </w:r>
    </w:p>
    <w:p>
      <w:pPr>
        <w:spacing w:after="40"/>
      </w:pPr>
      <w:r>
        <w:rPr>
          <w:rFonts w:ascii="Calibri" w:hAnsi="Calibri" w:eastAsia="Microsoft YaHei"/>
          <w:b/>
          <w:color w:val="12355B"/>
          <w:sz w:val="21"/>
        </w:rPr>
        <w:t>测试时间：</w:t>
      </w:r>
      <w:r>
        <w:rPr>
          <w:rFonts w:ascii="Calibri" w:hAnsi="Calibri" w:eastAsia="Microsoft YaHei"/>
          <w:b w:val="0"/>
          <w:color w:val="000000"/>
          <w:sz w:val="21"/>
        </w:rPr>
        <w:t>2026-06-01 10:45-10:56 Asia/Shanghai</w:t>
      </w:r>
    </w:p>
    <w:p>
      <w:pPr>
        <w:spacing w:after="40"/>
      </w:pPr>
      <w:r>
        <w:rPr>
          <w:rFonts w:ascii="Calibri" w:hAnsi="Calibri" w:eastAsia="Microsoft YaHei"/>
          <w:b/>
          <w:color w:val="12355B"/>
          <w:sz w:val="21"/>
        </w:rPr>
        <w:t>测试范围：</w:t>
      </w:r>
      <w:r>
        <w:rPr>
          <w:rFonts w:ascii="Calibri" w:hAnsi="Calibri" w:eastAsia="Microsoft YaHei"/>
          <w:b w:val="0"/>
          <w:color w:val="000000"/>
          <w:sz w:val="21"/>
        </w:rPr>
        <w:t>前端单元/组件、后端单元/接口/集成、E2E 导航流、业务验收用例矩阵</w:t>
      </w:r>
    </w:p>
    <w:p>
      <w:pPr>
        <w:spacing w:after="40"/>
      </w:pPr>
      <w:r>
        <w:rPr>
          <w:rFonts w:ascii="Calibri" w:hAnsi="Calibri" w:eastAsia="Microsoft YaHei"/>
          <w:b/>
          <w:color w:val="12355B"/>
          <w:sz w:val="21"/>
        </w:rPr>
        <w:t>配套资产：</w:t>
      </w:r>
      <w:r>
        <w:rPr>
          <w:rFonts w:ascii="Calibri" w:hAnsi="Calibri" w:eastAsia="Microsoft YaHei"/>
          <w:b w:val="0"/>
          <w:color w:val="000000"/>
          <w:sz w:val="21"/>
        </w:rPr>
        <w:t>docs/testing/宏硕ERP测试用例.xlsx</w:t>
      </w:r>
    </w:p>
    <w:p>
      <w:pPr>
        <w:spacing w:after="40"/>
      </w:pPr>
      <w:r>
        <w:rPr>
          <w:rFonts w:ascii="Calibri" w:hAnsi="Calibri" w:eastAsia="Microsoft YaHei"/>
          <w:b/>
          <w:color w:val="12355B"/>
          <w:sz w:val="21"/>
        </w:rPr>
        <w:t>总体结论：</w:t>
      </w:r>
      <w:r>
        <w:rPr>
          <w:rFonts w:ascii="Calibri" w:hAnsi="Calibri" w:eastAsia="Microsoft YaHei"/>
          <w:b w:val="0"/>
          <w:color w:val="000000"/>
          <w:sz w:val="21"/>
        </w:rPr>
        <w:t>本地自动化回归通过；公网部署与少量业务流仍列为发布前手工验证项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EF4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Microsoft YaHei"/>
                <w:b/>
                <w:color w:val="12355B"/>
                <w:sz w:val="22"/>
              </w:rPr>
              <w:t>结论：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Vitest、Maven 和 Playwright 三层自动化共 235 个用例通过，未发现阻塞缺陷。Excel 已沉淀 58 条业务测试用例和 235 条自动化索引；上线前仍需执行公网路由、源站暴露和导出文件的只读/手工验收。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 w:eastAsia="Microsoft YaHei"/>
          <w:b/>
          <w:color w:val="1F4D78"/>
          <w:sz w:val="32"/>
        </w:rPr>
        <w:t>一、执行摘要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层级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命令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用例数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通过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失败</w:t>
            </w:r>
          </w:p>
        </w:tc>
        <w:tc>
          <w:tcPr>
            <w:tcW w:type="dxa" w:w="10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耗时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7"/>
              </w:rPr>
              <w:t>结果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前端单元/组件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npm run test:run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4.04s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1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后端单元/接口/集成</w:t>
            </w:r>
          </w:p>
        </w:tc>
        <w:tc>
          <w:tcPr>
            <w:tcW w:type="dxa" w:w="33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mvn test</w:t>
            </w:r>
          </w:p>
        </w:tc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114</w:t>
            </w:r>
          </w:p>
        </w:tc>
        <w:tc>
          <w:tcPr>
            <w:tcW w:type="dxa" w:w="7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114</w:t>
            </w:r>
          </w:p>
        </w:tc>
        <w:tc>
          <w:tcPr>
            <w:tcW w:type="dxa" w:w="7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15.862s</w:t>
            </w:r>
          </w:p>
        </w:tc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E2E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npx playwright test --config .codex-tmp/playwright-3001.config.ts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9.1s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E2E 原始 npm run test:e2e 受固定 3000 端口已占用影响；随后使用现有 127.0.0.1:3000 Vite 服务和本机 Chrome channel 执行临时 Playwright 配置，8 条 E2E 用例通过。</w:t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1F4D78"/>
          <w:sz w:val="32"/>
        </w:rPr>
        <w:t>二、用例资产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Excel 工作簿包含 58 条业务测试用例、235 条自动化索引、执行记录、模块概览和风险待办。业务用例中 P0 用例 32 条，状态分布为：通过 48 条，待执行 9 条，部分通过 1 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8"/>
              </w:rPr>
              <w:t>自动化覆盖模块</w:t>
            </w:r>
          </w:p>
        </w:tc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8"/>
              </w:rPr>
              <w:t>索引用例数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项目管理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72</w:t>
            </w:r>
          </w:p>
        </w:tc>
      </w:tr>
      <w:tr>
        <w:tc>
          <w:tcPr>
            <w:tcW w:type="dxa" w:w="69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库存物料</w:t>
            </w:r>
          </w:p>
        </w:tc>
        <w:tc>
          <w:tcPr>
            <w:tcW w:type="dxa" w:w="20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37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权限与用户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69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财务收支</w:t>
            </w:r>
          </w:p>
        </w:tc>
        <w:tc>
          <w:tcPr>
            <w:tcW w:type="dxa" w:w="20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仪表盘与消息中心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69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登录与安全</w:t>
            </w:r>
          </w:p>
        </w:tc>
        <w:tc>
          <w:tcPr>
            <w:tcW w:type="dxa" w:w="20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操作日志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69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服务层/AI</w:t>
            </w:r>
          </w:p>
        </w:tc>
        <w:tc>
          <w:tcPr>
            <w:tcW w:type="dxa" w:w="20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 w:eastAsia="Microsoft YaHei"/>
          <w:b/>
          <w:color w:val="1F4D78"/>
          <w:sz w:val="32"/>
        </w:rPr>
        <w:t>三、重点通过路径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认证与权限：未登录业务接口拒绝、登录公开、非管理员敏感操作拒绝、代理层拦截历史默认凭据和伪造 token。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项目与合同：项目 CRUD、里程碑维护、项目详情渲染、合同创建与项目金额回算均有自动化覆盖。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财务闭环：大额支出状态分流、财务审批、材料成本回写项目、收入回写已收款覆盖服务级与 HTTP 级集成测试。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库存与审批：物料 CRUD、低库存筛选、出入库审批、消息中心待审批出库跳转均通过自动化验证。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color w:val="000000"/>
          <w:sz w:val="21"/>
        </w:rPr>
        <w:t>系统壳层：主导航、深链 tab 初始化、无权限回落、消息中心弹层、用户/角色/权限配置组件均通过前端测试。</w:t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1F4D78"/>
          <w:sz w:val="32"/>
        </w:rPr>
        <w:t>四、风险与待办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编号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领域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等级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说明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建议动作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2355B"/>
                <w:sz w:val="15"/>
              </w:rPr>
              <w:t>状态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R-001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E2E 环境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官方 E2E 命令依赖固定 3000 端口和 Playwright 浏览器缓存。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CI 预装/缓存浏览器；本地已有服务时支持复用或独立端口。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待优化</w:t>
            </w:r>
          </w:p>
        </w:tc>
      </w:tr>
      <w:tr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R-002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AI 决策室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现有测试文档明确 AI 决策室不纳入自动化测试范围。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发布 AI 入口、密钥或流式响应时补充 mock 与契约测试。</w:t>
            </w:r>
          </w:p>
        </w:tc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跟踪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R-003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公网部署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高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本地自动化不等同于 Cloudflare/Tunnel/Nginx 生产链路验证。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上线前执行只读公网接口、CORS、鉴权和代理路径回归。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发布前验证</w:t>
            </w:r>
          </w:p>
        </w:tc>
      </w:tr>
      <w:tr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R-004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安全回归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高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项目曾重点修复未授权 API 读取与直接源站暴露风险。</w:t>
            </w:r>
          </w:p>
        </w:tc>
        <w:tc>
          <w:tcPr>
            <w:tcW w:type="dxa" w:w="28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保留 ApiSecurityIntegrationTest 与 edgeAuth 为发布门禁。</w:t>
            </w:r>
          </w:p>
        </w:tc>
        <w:tc>
          <w:tcPr>
            <w:tcW w:type="dxa" w:w="9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持续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R-005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工作区状态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低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执行时已有 Login/Login.tsx 与 index.css 未提交改动。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本次仅新增测试文档，不纳入既有 UI 改动。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说明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 w:eastAsia="Microsoft YaHei"/>
          <w:b/>
          <w:color w:val="1F4D78"/>
          <w:sz w:val="32"/>
        </w:rPr>
        <w:t>五、发布建议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当前本地回归可以作为合并/交付的基础质量依据。若本次要面向公网或生产发布，建议追加三项发布前验证：Cloudflare Pages 到后端 API 的同源路由、直接源站不可绕过代理鉴权、Excel/报表导出的字段与金额格式抽查。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本次仅新增测试用例与测试报告文档；执行时工作区已有 Login/Login.tsx 与 index.css 未提交改动，未纳入本次文档提交范围。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4B5563"/>
        <w:sz w:val="18"/>
      </w:rPr>
      <w:t>内部测试交付物 | 本地自动化结果以当前工作区为准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4B5563"/>
        <w:sz w:val="18"/>
      </w:rPr>
      <w:t>宏硕建设 ERP 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