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executive-summary"/>
    <w:p>
      <w:pPr>
        <w:pStyle w:val="Heading1"/>
      </w:pPr>
      <w:r>
        <w:t xml:space="preserve">Executive Summary</w:t>
      </w:r>
    </w:p>
    <w:p>
      <w:pPr>
        <w:pStyle w:val="FirstParagraph"/>
      </w:pPr>
      <w:r>
        <w:t xml:space="preserve">To identify predicate devices and compare specifications, we must mirror the FDA’s own equivalence criteria. For 510(k) submissions, FDA requires the new device to have the</w:t>
      </w:r>
      <w:r>
        <w:t xml:space="preserve"> </w:t>
      </w:r>
      <w:r>
        <w:rPr>
          <w:b/>
          <w:bCs/>
        </w:rPr>
        <w:t xml:space="preserve">same intended use</w:t>
      </w:r>
      <w:r>
        <w:t xml:space="preserve"> </w:t>
      </w:r>
      <w:r>
        <w:t xml:space="preserve">as its predicate and any differences in technological characteristics must</w:t>
      </w:r>
      <w:r>
        <w:t xml:space="preserve"> </w:t>
      </w:r>
      <w:r>
        <w:rPr>
          <w:i/>
          <w:iCs/>
        </w:rPr>
        <w:t xml:space="preserve">not raise new questions of safety or effectiveness</w:t>
      </w:r>
      <w:hyperlink r:id="rId21">
        <w:r>
          <w:rPr>
            <w:rStyle w:val="Hyperlink"/>
          </w:rPr>
          <w:t xml:space="preserve">[1]</w:t>
        </w:r>
      </w:hyperlink>
      <w:hyperlink r:id="rId22">
        <w:r>
          <w:rPr>
            <w:rStyle w:val="Hyperlink"/>
          </w:rPr>
          <w:t xml:space="preserve">[2]</w:t>
        </w:r>
      </w:hyperlink>
      <w:r>
        <w:t xml:space="preserve">. Once those checks pass, FDA then evaluates whether the new device is “as safe and effective” as the predicate by reviewing performance data (bench tests, biocompatibility, software validation, and, if needed, clinical data)</w:t>
      </w:r>
      <w:hyperlink r:id="rId23">
        <w:r>
          <w:rPr>
            <w:rStyle w:val="Hyperlink"/>
          </w:rPr>
          <w:t xml:space="preserve">[3]</w:t>
        </w:r>
      </w:hyperlink>
      <w:hyperlink r:id="rId24">
        <w:r>
          <w:rPr>
            <w:rStyle w:val="Hyperlink"/>
          </w:rPr>
          <w:t xml:space="preserve">[4]</w:t>
        </w:r>
      </w:hyperlink>
      <w:r>
        <w:t xml:space="preserve">. PMA and De Novo submissions instead focus on a complete</w:t>
      </w:r>
      <w:r>
        <w:t xml:space="preserve"> </w:t>
      </w:r>
      <w:r>
        <w:rPr>
          <w:i/>
          <w:iCs/>
        </w:rPr>
        <w:t xml:space="preserve">safety/effectiveness profile</w:t>
      </w:r>
      <w:r>
        <w:t xml:space="preserve">, including device descriptions, rigorous preclinical studies, and clinical trials</w:t>
      </w:r>
      <w:hyperlink r:id="rId25">
        <w:r>
          <w:rPr>
            <w:rStyle w:val="Hyperlink"/>
          </w:rPr>
          <w:t xml:space="preserve">[5]</w:t>
        </w:r>
      </w:hyperlink>
      <w:hyperlink r:id="rId26">
        <w:r>
          <w:rPr>
            <w:rStyle w:val="Hyperlink"/>
          </w:rPr>
          <w:t xml:space="preserve">[6]</w:t>
        </w:r>
      </w:hyperlink>
      <w:r>
        <w:t xml:space="preserve">. Key device attributes (intended use, indications, technology, materials, performance metrics, risk features, labeling) thus drive similarity assessments. Our refined scoring system will map user-defined metrics (e.g. target performance, populations) onto a normalized set of these attributes. Each attribute is weighted by regulatory importance (e.g. intended use carries high weight for 510(k) equivalence), and distance measures (numeric differences or categorical matches) will quantify closeness. Missing or ambiguous data are handled via imputation or conservative defaults, ensuring deterministic, transparent scoring. We will compute a composite similarity score (for example, a weighted sum of normalized distances) and rank predicates accordingly. Workflow steps (device search → attribute extraction → similarity scoring → ranking) and detailed algorithms are diagrammed below. Data will be drawn from FDA’s public sources (510(k)/PMA/De Novo databases, Devices@FDA, classification tables, labeling), parsed into structured attributes, and validated by retrospective tests on known device-clearance pairs.</w:t>
      </w:r>
    </w:p>
    <w:bookmarkStart w:id="33" w:name="X4221ef706deaede30d7c78dda23c6615c73c9e5"/>
    <w:p>
      <w:pPr>
        <w:pStyle w:val="Heading2"/>
      </w:pPr>
      <w:r>
        <w:t xml:space="preserve">Regulatory Comparison and Equivalence Criteria</w:t>
      </w:r>
    </w:p>
    <w:p>
      <w:pPr>
        <w:numPr>
          <w:ilvl w:val="0"/>
          <w:numId w:val="1001"/>
        </w:numPr>
      </w:pPr>
      <w:r>
        <w:rPr>
          <w:b/>
          <w:bCs/>
        </w:rPr>
        <w:t xml:space="preserve">510(k) (Substantial Equivalence):</w:t>
      </w:r>
      <w:r>
        <w:t xml:space="preserve"> </w:t>
      </w:r>
      <w:r>
        <w:t xml:space="preserve">FDA defines a new device as</w:t>
      </w:r>
      <w:r>
        <w:t xml:space="preserve"> </w:t>
      </w:r>
      <w:r>
        <w:rPr>
          <w:i/>
          <w:iCs/>
        </w:rPr>
        <w:t xml:space="preserve">“substantially equivalent”</w:t>
      </w:r>
      <w:r>
        <w:t xml:space="preserve"> </w:t>
      </w:r>
      <w:r>
        <w:t xml:space="preserve">(SE) to a predicate if it has the</w:t>
      </w:r>
      <w:r>
        <w:t xml:space="preserve"> </w:t>
      </w:r>
      <w:r>
        <w:rPr>
          <w:b/>
          <w:bCs/>
        </w:rPr>
        <w:t xml:space="preserve">same intended use</w:t>
      </w:r>
      <w:r>
        <w:t xml:space="preserve"> </w:t>
      </w:r>
      <w:r>
        <w:t xml:space="preserve">and either identical technological characteristics</w:t>
      </w:r>
      <w:r>
        <w:t xml:space="preserve"> </w:t>
      </w:r>
      <w:r>
        <w:rPr>
          <w:i/>
          <w:iCs/>
        </w:rPr>
        <w:t xml:space="preserve">or</w:t>
      </w:r>
      <w:r>
        <w:t xml:space="preserve"> </w:t>
      </w:r>
      <w:r>
        <w:t xml:space="preserve">differences that “do not raise different questions of safety and effectiveness”</w:t>
      </w:r>
      <w:hyperlink r:id="rId21">
        <w:r>
          <w:rPr>
            <w:rStyle w:val="Hyperlink"/>
          </w:rPr>
          <w:t xml:space="preserve">[1]</w:t>
        </w:r>
      </w:hyperlink>
      <w:hyperlink r:id="rId22">
        <w:r>
          <w:rPr>
            <w:rStyle w:val="Hyperlink"/>
          </w:rPr>
          <w:t xml:space="preserve">[2]</w:t>
        </w:r>
      </w:hyperlink>
      <w:r>
        <w:t xml:space="preserve">. In practice, manufacturers must provide a side-by-side</w:t>
      </w:r>
      <w:r>
        <w:t xml:space="preserve"> </w:t>
      </w:r>
      <w:r>
        <w:rPr>
          <w:i/>
          <w:iCs/>
        </w:rPr>
        <w:t xml:space="preserve">comparison table</w:t>
      </w:r>
      <w:r>
        <w:t xml:space="preserve"> </w:t>
      </w:r>
      <w:r>
        <w:t xml:space="preserve">of the new device vs. predicate (listing intended use, indications, materials, energy source, design features, performance specs, etc.) and explain why any differences are not critical</w:t>
      </w:r>
      <w:hyperlink r:id="rId27">
        <w:r>
          <w:rPr>
            <w:rStyle w:val="Hyperlink"/>
          </w:rPr>
          <w:t xml:space="preserve">[7]</w:t>
        </w:r>
      </w:hyperlink>
      <w:hyperlink r:id="rId28">
        <w:r>
          <w:rPr>
            <w:rStyle w:val="Hyperlink"/>
          </w:rPr>
          <w:t xml:space="preserve">[8]</w:t>
        </w:r>
      </w:hyperlink>
      <w:r>
        <w:t xml:space="preserve">. FDA guidance (and decision summaries) emphasize intended use as the primary filter</w:t>
      </w:r>
      <w:hyperlink r:id="rId21">
        <w:r>
          <w:rPr>
            <w:rStyle w:val="Hyperlink"/>
          </w:rPr>
          <w:t xml:space="preserve">[1]</w:t>
        </w:r>
      </w:hyperlink>
      <w:hyperlink r:id="rId29">
        <w:r>
          <w:rPr>
            <w:rStyle w:val="Hyperlink"/>
          </w:rPr>
          <w:t xml:space="preserve">[9]</w:t>
        </w:r>
      </w:hyperlink>
      <w:r>
        <w:t xml:space="preserve">; changes in indications or population do not necessarily change intended use unless they introduce a new safety/effectiveness issue</w:t>
      </w:r>
      <w:hyperlink r:id="rId30">
        <w:r>
          <w:rPr>
            <w:rStyle w:val="Hyperlink"/>
          </w:rPr>
          <w:t xml:space="preserve">[10]</w:t>
        </w:r>
      </w:hyperlink>
      <w:hyperlink r:id="rId29">
        <w:r>
          <w:rPr>
            <w:rStyle w:val="Hyperlink"/>
          </w:rPr>
          <w:t xml:space="preserve">[9]</w:t>
        </w:r>
      </w:hyperlink>
      <w:r>
        <w:t xml:space="preserve">. For example, two imaging devices might both be “for diagnosing cardiac anomalies” (intended use) even if one specifies a narrower patient population. After intended use is cleared, reviewers examine technological characteristics (materials, energy source, algorithms, etc.) and decide if any new safety questions arise</w:t>
      </w:r>
      <w:hyperlink r:id="rId31">
        <w:r>
          <w:rPr>
            <w:rStyle w:val="Hyperlink"/>
          </w:rPr>
          <w:t xml:space="preserve">[11]</w:t>
        </w:r>
      </w:hyperlink>
      <w:hyperlink r:id="rId22">
        <w:r>
          <w:rPr>
            <w:rStyle w:val="Hyperlink"/>
          </w:rPr>
          <w:t xml:space="preserve">[2]</w:t>
        </w:r>
      </w:hyperlink>
      <w:r>
        <w:t xml:space="preserve">. Finally, FDA looks at performance data: nonclinical (bench, biocompatibility, sterility, EMC, software validation, etc.) and clinical data if needed. The goal is to show the new device is</w:t>
      </w:r>
      <w:r>
        <w:t xml:space="preserve"> </w:t>
      </w:r>
      <w:r>
        <w:rPr>
          <w:i/>
          <w:iCs/>
        </w:rPr>
        <w:t xml:space="preserve">as safe and effective</w:t>
      </w:r>
      <w:r>
        <w:t xml:space="preserve"> </w:t>
      </w:r>
      <w:r>
        <w:t xml:space="preserve">as its predicate</w:t>
      </w:r>
      <w:hyperlink r:id="rId23">
        <w:r>
          <w:rPr>
            <w:rStyle w:val="Hyperlink"/>
          </w:rPr>
          <w:t xml:space="preserve">[3]</w:t>
        </w:r>
      </w:hyperlink>
      <w:hyperlink r:id="rId24">
        <w:r>
          <w:rPr>
            <w:rStyle w:val="Hyperlink"/>
          </w:rPr>
          <w:t xml:space="preserve">[4]</w:t>
        </w:r>
      </w:hyperlink>
      <w:r>
        <w:t xml:space="preserve">. If all criteria are met, FDA issues an SE “clearance” letter. If SE is not met, FDA may issue a “Not SE” determination, prompting a PMA or De Novo route.</w:t>
      </w:r>
    </w:p>
    <w:p>
      <w:pPr>
        <w:numPr>
          <w:ilvl w:val="0"/>
          <w:numId w:val="1001"/>
        </w:numPr>
      </w:pPr>
      <w:r>
        <w:rPr>
          <w:b/>
          <w:bCs/>
        </w:rPr>
        <w:t xml:space="preserve">PMA (Premarket Approval):</w:t>
      </w:r>
      <w:r>
        <w:t xml:space="preserve"> </w:t>
      </w:r>
      <w:r>
        <w:t xml:space="preserve">For Class III devices, FDA requires premarket approval based on “reasonable assurance of safety and effectiveness.” Unlike 510(k), PMA does not rely on a predicate. Instead, the sponsor must submit comprehensive data (bench tests, animal studies, and human clinical trials) to support all claims</w:t>
      </w:r>
      <w:hyperlink r:id="rId25">
        <w:r>
          <w:rPr>
            <w:rStyle w:val="Hyperlink"/>
          </w:rPr>
          <w:t xml:space="preserve">[5]</w:t>
        </w:r>
      </w:hyperlink>
      <w:hyperlink r:id="rId32">
        <w:r>
          <w:rPr>
            <w:rStyle w:val="Hyperlink"/>
          </w:rPr>
          <w:t xml:space="preserve">[12]</w:t>
        </w:r>
      </w:hyperlink>
      <w:r>
        <w:t xml:space="preserve">. The FDA generates a public</w:t>
      </w:r>
      <w:r>
        <w:t xml:space="preserve"> </w:t>
      </w:r>
      <w:r>
        <w:rPr>
          <w:i/>
          <w:iCs/>
        </w:rPr>
        <w:t xml:space="preserve">Summary of Safety and Effectiveness Data</w:t>
      </w:r>
      <w:r>
        <w:t xml:space="preserve"> </w:t>
      </w:r>
      <w:r>
        <w:t xml:space="preserve">(SSED) that outlines the device description, preclinical testing, and clinical evidence used to approve or deny the PMA</w:t>
      </w:r>
      <w:hyperlink r:id="rId25">
        <w:r>
          <w:rPr>
            <w:rStyle w:val="Hyperlink"/>
          </w:rPr>
          <w:t xml:space="preserve">[5]</w:t>
        </w:r>
      </w:hyperlink>
      <w:r>
        <w:t xml:space="preserve">. Language in PMA approval letters typically emphasizes benefit-risk analysis, labeling restrictions, and post-approval controls rather than “substantial equivalence.” For our purposes, PMA-to-PMA comparisons would weight attributes like risk mitigations, labeling and trial results (e.g. adverse event rates) more heavily, since predicate comparison is not the focus.</w:t>
      </w:r>
    </w:p>
    <w:p>
      <w:pPr>
        <w:numPr>
          <w:ilvl w:val="0"/>
          <w:numId w:val="1001"/>
        </w:numPr>
      </w:pPr>
      <w:r>
        <w:rPr>
          <w:b/>
          <w:bCs/>
        </w:rPr>
        <w:t xml:space="preserve">De Novo Classification:</w:t>
      </w:r>
      <w:r>
        <w:t xml:space="preserve"> </w:t>
      </w:r>
      <w:r>
        <w:t xml:space="preserve">De Novo is for novel low-to-moderate-risk devices with</w:t>
      </w:r>
      <w:r>
        <w:t xml:space="preserve"> </w:t>
      </w:r>
      <w:r>
        <w:rPr>
          <w:i/>
          <w:iCs/>
        </w:rPr>
        <w:t xml:space="preserve">no</w:t>
      </w:r>
      <w:r>
        <w:t xml:space="preserve"> </w:t>
      </w:r>
      <w:r>
        <w:t xml:space="preserve">existing predicate. FDA evaluates safety/effectiveness much like a PMA, but grants a new Class I/II classification with special controls. Importantly, FDA</w:t>
      </w:r>
      <w:r>
        <w:t xml:space="preserve"> </w:t>
      </w:r>
      <w:r>
        <w:rPr>
          <w:i/>
          <w:iCs/>
        </w:rPr>
        <w:t xml:space="preserve">voluntarily publishes decision summaries</w:t>
      </w:r>
      <w:r>
        <w:t xml:space="preserve"> </w:t>
      </w:r>
      <w:r>
        <w:t xml:space="preserve">for granted De Novo requests</w:t>
      </w:r>
      <w:hyperlink r:id="rId26">
        <w:r>
          <w:rPr>
            <w:rStyle w:val="Hyperlink"/>
          </w:rPr>
          <w:t xml:space="preserve">[6]</w:t>
        </w:r>
      </w:hyperlink>
      <w:r>
        <w:t xml:space="preserve">. These summaries provide an “objective and balanced” account of the evidence basis and outline the clinical/performance data needed to justify the classification. Once granted, the De Novo device itself becomes a legal predicate for future 510(k)s. Thus, comparisons involving De Novo devices involve checking that a candidate device matches the new De Novo device’s declared intended use and adheres to its special controls. The De Novo summary often lists the device description, indications, design, and evidence – making it a rich source of attribute data for our scoring system.</w:t>
      </w:r>
    </w:p>
    <w:p>
      <w:pPr>
        <w:pStyle w:val="FirstParagraph"/>
      </w:pPr>
      <w:r>
        <w:t xml:space="preserve">The table below compares relative importance of key attributes in each submission context. (Weights are illustrative; actual weighting may be tuned.)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Attribute</w:t>
            </w:r>
          </w:p>
        </w:tc>
        <w:tc>
          <w:tcPr/>
          <w:p>
            <w:pPr>
              <w:pStyle w:val="Compact"/>
              <w:jc w:val="center"/>
            </w:pPr>
            <w:r>
              <w:rPr>
                <w:b/>
                <w:bCs/>
              </w:rPr>
              <w:t xml:space="preserve">510(k) Weight</w:t>
            </w:r>
          </w:p>
        </w:tc>
        <w:tc>
          <w:tcPr/>
          <w:p>
            <w:pPr>
              <w:pStyle w:val="Compact"/>
              <w:jc w:val="center"/>
            </w:pPr>
            <w:r>
              <w:rPr>
                <w:b/>
                <w:bCs/>
              </w:rPr>
              <w:t xml:space="preserve">PMA Weight</w:t>
            </w:r>
          </w:p>
        </w:tc>
        <w:tc>
          <w:tcPr/>
          <w:p>
            <w:pPr>
              <w:pStyle w:val="Compact"/>
              <w:jc w:val="center"/>
            </w:pPr>
            <w:r>
              <w:rPr>
                <w:b/>
                <w:bCs/>
              </w:rPr>
              <w:t xml:space="preserve">De Novo Weight</w:t>
            </w:r>
          </w:p>
        </w:tc>
        <w:tc>
          <w:tcPr/>
          <w:p>
            <w:pPr>
              <w:pStyle w:val="Compact"/>
            </w:pPr>
            <w:r>
              <w:rPr>
                <w:b/>
                <w:bCs/>
              </w:rPr>
              <w:t xml:space="preserve">Rationale</w:t>
            </w:r>
          </w:p>
        </w:tc>
      </w:tr>
      <w:tr>
        <w:tc>
          <w:tcPr/>
          <w:p>
            <w:pPr>
              <w:pStyle w:val="Compact"/>
            </w:pPr>
            <w:r>
              <w:t xml:space="preserve">Intended Use / Indications</w:t>
            </w:r>
          </w:p>
        </w:tc>
        <w:tc>
          <w:tcPr/>
          <w:p>
            <w:pPr>
              <w:pStyle w:val="Compact"/>
              <w:jc w:val="center"/>
            </w:pPr>
            <w:r>
              <w:t xml:space="preserve">0.30</w:t>
            </w:r>
          </w:p>
        </w:tc>
        <w:tc>
          <w:tcPr/>
          <w:p>
            <w:pPr>
              <w:pStyle w:val="Compact"/>
              <w:jc w:val="center"/>
            </w:pPr>
            <w:r>
              <w:t xml:space="preserve">0.10</w:t>
            </w:r>
          </w:p>
        </w:tc>
        <w:tc>
          <w:tcPr/>
          <w:p>
            <w:pPr>
              <w:pStyle w:val="Compact"/>
              <w:jc w:val="center"/>
            </w:pPr>
            <w:r>
              <w:t xml:space="preserve">0.20</w:t>
            </w:r>
          </w:p>
        </w:tc>
        <w:tc>
          <w:tcPr/>
          <w:p>
            <w:pPr>
              <w:pStyle w:val="Compact"/>
            </w:pPr>
            <w:r>
              <w:t xml:space="preserve">In 510(k), intended use is mandatory to match the predicate</w:t>
            </w:r>
            <w:hyperlink r:id="rId21">
              <w:r>
                <w:rPr>
                  <w:rStyle w:val="Hyperlink"/>
                </w:rPr>
                <w:t xml:space="preserve">[1]</w:t>
              </w:r>
            </w:hyperlink>
            <w:r>
              <w:t xml:space="preserve">. In PMA, use is fixed by proposed labeling; for De Novo, use defines classification.</w:t>
            </w:r>
          </w:p>
        </w:tc>
      </w:tr>
      <w:tr>
        <w:tc>
          <w:tcPr/>
          <w:p>
            <w:pPr>
              <w:pStyle w:val="Compact"/>
            </w:pPr>
            <w:r>
              <w:t xml:space="preserve">Technological Characteristics</w:t>
            </w:r>
          </w:p>
        </w:tc>
        <w:tc>
          <w:tcPr/>
          <w:p>
            <w:pPr>
              <w:pStyle w:val="Compact"/>
              <w:jc w:val="center"/>
            </w:pPr>
            <w:r>
              <w:t xml:space="preserve">0.25</w:t>
            </w:r>
          </w:p>
        </w:tc>
        <w:tc>
          <w:tcPr/>
          <w:p>
            <w:pPr>
              <w:pStyle w:val="Compact"/>
              <w:jc w:val="center"/>
            </w:pPr>
            <w:r>
              <w:t xml:space="preserve">0.15</w:t>
            </w:r>
          </w:p>
        </w:tc>
        <w:tc>
          <w:tcPr/>
          <w:p>
            <w:pPr>
              <w:pStyle w:val="Compact"/>
              <w:jc w:val="center"/>
            </w:pPr>
            <w:r>
              <w:t xml:space="preserve">0.25</w:t>
            </w:r>
          </w:p>
        </w:tc>
        <w:tc>
          <w:tcPr/>
          <w:p>
            <w:pPr>
              <w:pStyle w:val="Compact"/>
            </w:pPr>
            <w:r>
              <w:t xml:space="preserve">Major factor in 510(k) SE (materials, mechanism must not raise new issues)</w:t>
            </w:r>
            <w:hyperlink r:id="rId27">
              <w:r>
                <w:rPr>
                  <w:rStyle w:val="Hyperlink"/>
                </w:rPr>
                <w:t xml:space="preserve">[7]</w:t>
              </w:r>
            </w:hyperlink>
            <w:hyperlink r:id="rId22">
              <w:r>
                <w:rPr>
                  <w:rStyle w:val="Hyperlink"/>
                </w:rPr>
                <w:t xml:space="preserve">[2]</w:t>
              </w:r>
            </w:hyperlink>
            <w:r>
              <w:t xml:space="preserve">. Also central in De Novo device description.</w:t>
            </w:r>
          </w:p>
        </w:tc>
      </w:tr>
      <w:tr>
        <w:tc>
          <w:tcPr/>
          <w:p>
            <w:pPr>
              <w:pStyle w:val="Compact"/>
            </w:pPr>
            <w:r>
              <w:t xml:space="preserve">Performance Specifications</w:t>
            </w:r>
          </w:p>
        </w:tc>
        <w:tc>
          <w:tcPr/>
          <w:p>
            <w:pPr>
              <w:pStyle w:val="Compact"/>
              <w:jc w:val="center"/>
            </w:pPr>
            <w:r>
              <w:t xml:space="preserve">0.20</w:t>
            </w:r>
          </w:p>
        </w:tc>
        <w:tc>
          <w:tcPr/>
          <w:p>
            <w:pPr>
              <w:pStyle w:val="Compact"/>
              <w:jc w:val="center"/>
            </w:pPr>
            <w:r>
              <w:t xml:space="preserve">0.20</w:t>
            </w:r>
          </w:p>
        </w:tc>
        <w:tc>
          <w:tcPr/>
          <w:p>
            <w:pPr>
              <w:pStyle w:val="Compact"/>
              <w:jc w:val="center"/>
            </w:pPr>
            <w:r>
              <w:t xml:space="preserve">0.15</w:t>
            </w:r>
          </w:p>
        </w:tc>
        <w:tc>
          <w:tcPr/>
          <w:p>
            <w:pPr>
              <w:pStyle w:val="Compact"/>
            </w:pPr>
            <w:r>
              <w:t xml:space="preserve">Numeric performance (accuracy, power, range) is compared in 510(k) and tested in PMA. Bench/clinical data support equivalence</w:t>
            </w:r>
            <w:hyperlink r:id="rId23">
              <w:r>
                <w:rPr>
                  <w:rStyle w:val="Hyperlink"/>
                </w:rPr>
                <w:t xml:space="preserve">[3]</w:t>
              </w:r>
            </w:hyperlink>
            <w:r>
              <w:t xml:space="preserve">.</w:t>
            </w:r>
          </w:p>
        </w:tc>
      </w:tr>
      <w:tr>
        <w:tc>
          <w:tcPr/>
          <w:p>
            <w:pPr>
              <w:pStyle w:val="Compact"/>
            </w:pPr>
            <w:r>
              <w:t xml:space="preserve">Safety / Clinical Data</w:t>
            </w:r>
          </w:p>
        </w:tc>
        <w:tc>
          <w:tcPr/>
          <w:p>
            <w:pPr>
              <w:pStyle w:val="Compact"/>
              <w:jc w:val="center"/>
            </w:pPr>
            <w:r>
              <w:t xml:space="preserve">0.10</w:t>
            </w:r>
          </w:p>
        </w:tc>
        <w:tc>
          <w:tcPr/>
          <w:p>
            <w:pPr>
              <w:pStyle w:val="Compact"/>
              <w:jc w:val="center"/>
            </w:pPr>
            <w:r>
              <w:t xml:space="preserve">0.30</w:t>
            </w:r>
          </w:p>
        </w:tc>
        <w:tc>
          <w:tcPr/>
          <w:p>
            <w:pPr>
              <w:pStyle w:val="Compact"/>
              <w:jc w:val="center"/>
            </w:pPr>
            <w:r>
              <w:t xml:space="preserve">0.25</w:t>
            </w:r>
          </w:p>
        </w:tc>
        <w:tc>
          <w:tcPr/>
          <w:p>
            <w:pPr>
              <w:pStyle w:val="Compact"/>
            </w:pPr>
            <w:r>
              <w:t xml:space="preserve">Clinical evidence is rare for 510(k) unless needed; but dominates PMA evaluation. De Novo decisions require safety/efficacy data</w:t>
            </w:r>
            <w:hyperlink r:id="rId25">
              <w:r>
                <w:rPr>
                  <w:rStyle w:val="Hyperlink"/>
                </w:rPr>
                <w:t xml:space="preserve">[5]</w:t>
              </w:r>
            </w:hyperlink>
            <w:hyperlink r:id="rId24">
              <w:r>
                <w:rPr>
                  <w:rStyle w:val="Hyperlink"/>
                </w:rPr>
                <w:t xml:space="preserve">[4]</w:t>
              </w:r>
            </w:hyperlink>
            <w:r>
              <w:t xml:space="preserve">.</w:t>
            </w:r>
          </w:p>
        </w:tc>
      </w:tr>
      <w:tr>
        <w:tc>
          <w:tcPr/>
          <w:p>
            <w:pPr>
              <w:pStyle w:val="Compact"/>
            </w:pPr>
            <w:r>
              <w:t xml:space="preserve">Labeling and Warnings</w:t>
            </w:r>
          </w:p>
        </w:tc>
        <w:tc>
          <w:tcPr/>
          <w:p>
            <w:pPr>
              <w:pStyle w:val="Compact"/>
              <w:jc w:val="center"/>
            </w:pPr>
            <w:r>
              <w:t xml:space="preserve">0.05</w:t>
            </w:r>
          </w:p>
        </w:tc>
        <w:tc>
          <w:tcPr/>
          <w:p>
            <w:pPr>
              <w:pStyle w:val="Compact"/>
              <w:jc w:val="center"/>
            </w:pPr>
            <w:r>
              <w:t xml:space="preserve">0.10</w:t>
            </w:r>
          </w:p>
        </w:tc>
        <w:tc>
          <w:tcPr/>
          <w:p>
            <w:pPr>
              <w:pStyle w:val="Compact"/>
              <w:jc w:val="center"/>
            </w:pPr>
            <w:r>
              <w:t xml:space="preserve">0.10</w:t>
            </w:r>
          </w:p>
        </w:tc>
        <w:tc>
          <w:tcPr/>
          <w:p>
            <w:pPr>
              <w:pStyle w:val="Compact"/>
            </w:pPr>
            <w:r>
              <w:t xml:space="preserve">FDA reviews contraindications, training, sterilization, etc. Differences in labeling may factor into equivalence or risk analysis.</w:t>
            </w:r>
          </w:p>
        </w:tc>
      </w:tr>
      <w:tr>
        <w:tc>
          <w:tcPr/>
          <w:p>
            <w:pPr>
              <w:pStyle w:val="Compact"/>
            </w:pPr>
            <w:r>
              <w:t xml:space="preserve">Device Classification Code</w:t>
            </w:r>
          </w:p>
        </w:tc>
        <w:tc>
          <w:tcPr/>
          <w:p>
            <w:pPr>
              <w:pStyle w:val="Compact"/>
              <w:jc w:val="center"/>
            </w:pPr>
            <w:r>
              <w:t xml:space="preserve">0.05</w:t>
            </w:r>
          </w:p>
        </w:tc>
        <w:tc>
          <w:tcPr/>
          <w:p>
            <w:pPr>
              <w:pStyle w:val="Compact"/>
              <w:jc w:val="center"/>
            </w:pPr>
            <w:r>
              <w:t xml:space="preserve">0.05</w:t>
            </w:r>
          </w:p>
        </w:tc>
        <w:tc>
          <w:tcPr/>
          <w:p>
            <w:pPr>
              <w:pStyle w:val="Compact"/>
              <w:jc w:val="center"/>
            </w:pPr>
            <w:r>
              <w:t xml:space="preserve">0.05</w:t>
            </w:r>
          </w:p>
        </w:tc>
        <w:tc>
          <w:tcPr/>
          <w:p>
            <w:pPr>
              <w:pStyle w:val="Compact"/>
            </w:pPr>
            <w:r>
              <w:t xml:space="preserve">Matching product code/regulation ensures same regulatory category; less a scoring metric, but used for filtering candidates.</w:t>
            </w:r>
          </w:p>
        </w:tc>
      </w:tr>
      <w:tr>
        <w:tc>
          <w:tcPr/>
          <w:p>
            <w:pPr>
              <w:pStyle w:val="Compact"/>
            </w:pPr>
            <w:r>
              <w:t xml:space="preserve">Other (e.g. size, power source)</w:t>
            </w:r>
          </w:p>
        </w:tc>
        <w:tc>
          <w:tcPr/>
          <w:p>
            <w:pPr>
              <w:pStyle w:val="Compact"/>
              <w:jc w:val="center"/>
            </w:pPr>
            <w:r>
              <w:t xml:space="preserve">0.05</w:t>
            </w:r>
          </w:p>
        </w:tc>
        <w:tc>
          <w:tcPr/>
          <w:p>
            <w:pPr>
              <w:pStyle w:val="Compact"/>
              <w:jc w:val="center"/>
            </w:pPr>
            <w:r>
              <w:t xml:space="preserve">0.10</w:t>
            </w:r>
          </w:p>
        </w:tc>
        <w:tc>
          <w:tcPr/>
          <w:p>
            <w:pPr>
              <w:pStyle w:val="Compact"/>
              <w:jc w:val="center"/>
            </w:pPr>
            <w:r>
              <w:t xml:space="preserve">0.00</w:t>
            </w:r>
          </w:p>
        </w:tc>
        <w:tc>
          <w:tcPr/>
          <w:p>
            <w:pPr>
              <w:pStyle w:val="Compact"/>
            </w:pPr>
            <w:r>
              <w:t xml:space="preserve">Miscellaneous specs can matter (e.g. energy source in tech char, size/weight). Weighted lower globally, but may be key for “same tech.”</w:t>
            </w:r>
          </w:p>
        </w:tc>
      </w:tr>
    </w:tbl>
    <w:p>
      <w:pPr>
        <w:pStyle w:val="BodyText"/>
      </w:pPr>
      <w:r>
        <w:rPr>
          <w:i/>
          <w:iCs/>
        </w:rPr>
        <w:t xml:space="preserve">(Weights sum to 1.00 per submission type.)</w:t>
      </w:r>
    </w:p>
    <w:bookmarkEnd w:id="33"/>
    <w:bookmarkStart w:id="41" w:name="device-attributes-and-normalization"/>
    <w:p>
      <w:pPr>
        <w:pStyle w:val="Heading2"/>
      </w:pPr>
      <w:r>
        <w:t xml:space="preserve">Device Attributes and Normalization</w:t>
      </w:r>
    </w:p>
    <w:p>
      <w:pPr>
        <w:pStyle w:val="FirstParagraph"/>
      </w:pPr>
      <w:r>
        <w:rPr>
          <w:b/>
          <w:bCs/>
        </w:rPr>
        <w:t xml:space="preserve">Key Attributes:</w:t>
      </w:r>
      <w:r>
        <w:t xml:space="preserve"> </w:t>
      </w:r>
      <w:r>
        <w:t xml:space="preserve">We will extract each device’s attributes from FDA submissions (summaries, labels, database entries) and normalize them into a common schema. Important fields include:</w:t>
      </w:r>
    </w:p>
    <w:p>
      <w:pPr>
        <w:pStyle w:val="Compact"/>
        <w:numPr>
          <w:ilvl w:val="0"/>
          <w:numId w:val="1002"/>
        </w:numPr>
      </w:pPr>
      <w:r>
        <w:rPr>
          <w:b/>
          <w:bCs/>
        </w:rPr>
        <w:t xml:space="preserve">Intended Use &amp; Indications:</w:t>
      </w:r>
      <w:r>
        <w:t xml:space="preserve"> </w:t>
      </w:r>
      <w:r>
        <w:t xml:space="preserve">The “general purpose” (intended use) and specific indications or target conditions/population</w:t>
      </w:r>
      <w:hyperlink r:id="rId34">
        <w:r>
          <w:rPr>
            <w:rStyle w:val="Hyperlink"/>
          </w:rPr>
          <w:t xml:space="preserve">[13]</w:t>
        </w:r>
      </w:hyperlink>
      <w:hyperlink r:id="rId35">
        <w:r>
          <w:rPr>
            <w:rStyle w:val="Hyperlink"/>
          </w:rPr>
          <w:t xml:space="preserve">[14]</w:t>
        </w:r>
      </w:hyperlink>
      <w:r>
        <w:t xml:space="preserve">. We will represent these as coded terms (e.g. SNOMED or custom taxonomy) or keyword vectors. Differences in wording (e.g. “diagnose heart disease” vs. “detect cardiac anomalies”) will be normalized via controlled vocabularies or fuzzy string matching.</w:t>
      </w:r>
    </w:p>
    <w:p>
      <w:pPr>
        <w:pStyle w:val="Compact"/>
        <w:numPr>
          <w:ilvl w:val="0"/>
          <w:numId w:val="1002"/>
        </w:numPr>
      </w:pPr>
      <w:r>
        <w:rPr>
          <w:b/>
          <w:bCs/>
        </w:rPr>
        <w:t xml:space="preserve">Technology Characteristics:</w:t>
      </w:r>
      <w:r>
        <w:t xml:space="preserve"> </w:t>
      </w:r>
      <w:r>
        <w:t xml:space="preserve">Material (e.g. stainless steel, polymer), energy source (electrical, mechanical, chemical), mechanism of action, software/algorithm type, sterility, etc.</w:t>
      </w:r>
      <w:hyperlink r:id="rId27">
        <w:r>
          <w:rPr>
            <w:rStyle w:val="Hyperlink"/>
          </w:rPr>
          <w:t xml:space="preserve">[7]</w:t>
        </w:r>
      </w:hyperlink>
      <w:hyperlink r:id="rId22">
        <w:r>
          <w:rPr>
            <w:rStyle w:val="Hyperlink"/>
          </w:rPr>
          <w:t xml:space="preserve">[2]</w:t>
        </w:r>
      </w:hyperlink>
      <w:r>
        <w:t xml:space="preserve">. We will map these to standard categories (e.g. using the FDA</w:t>
      </w:r>
      <w:r>
        <w:t xml:space="preserve"> </w:t>
      </w:r>
      <w:r>
        <w:rPr>
          <w:i/>
          <w:iCs/>
        </w:rPr>
        <w:t xml:space="preserve">Product Code Classification Database</w:t>
      </w:r>
      <w:hyperlink r:id="rId36">
        <w:r>
          <w:rPr>
            <w:rStyle w:val="Hyperlink"/>
          </w:rPr>
          <w:t xml:space="preserve">[15]</w:t>
        </w:r>
      </w:hyperlink>
      <w:r>
        <w:t xml:space="preserve"> </w:t>
      </w:r>
      <w:r>
        <w:t xml:space="preserve">or ISO categories). For example, “inductively heated” and “electromagnetic” power sources would match if they share a product code.</w:t>
      </w:r>
    </w:p>
    <w:p>
      <w:pPr>
        <w:pStyle w:val="Compact"/>
        <w:numPr>
          <w:ilvl w:val="0"/>
          <w:numId w:val="1002"/>
        </w:numPr>
      </w:pPr>
      <w:r>
        <w:rPr>
          <w:b/>
          <w:bCs/>
        </w:rPr>
        <w:t xml:space="preserve">Performance Specifications:</w:t>
      </w:r>
      <w:r>
        <w:t xml:space="preserve"> </w:t>
      </w:r>
      <w:r>
        <w:t xml:space="preserve">Quantitative metrics (accuracy, resolution, flow rate, power consumption, etc.). All numeric specs will be converted to consistent units and, if necessary, z-scored or normalized relative to a domain range. For example, resolution values (e.g. Hz, dpi) will be scaled to [0–1] based on clinically relevant ranges. Categorical performance items (e.g. “battery life &gt; 12 h”) will be treated as thresholds.</w:t>
      </w:r>
    </w:p>
    <w:p>
      <w:pPr>
        <w:pStyle w:val="Compact"/>
        <w:numPr>
          <w:ilvl w:val="0"/>
          <w:numId w:val="1002"/>
        </w:numPr>
      </w:pPr>
      <w:r>
        <w:rPr>
          <w:b/>
          <w:bCs/>
        </w:rPr>
        <w:t xml:space="preserve">Clinical Data / Safety Profile:</w:t>
      </w:r>
      <w:r>
        <w:t xml:space="preserve"> </w:t>
      </w:r>
      <w:r>
        <w:t xml:space="preserve">When available, summary statistics of key clinical outcomes (sensitivity, specificity, adverse event rates). These might be less structured, but we can extract values from the Summary of Safety and Effectiveness Data (PMAs) or 510(k) summaries. In absence of structured data, we may use a binary flag (clinical data present/absent).</w:t>
      </w:r>
    </w:p>
    <w:p>
      <w:pPr>
        <w:pStyle w:val="Compact"/>
        <w:numPr>
          <w:ilvl w:val="0"/>
          <w:numId w:val="1002"/>
        </w:numPr>
      </w:pPr>
      <w:r>
        <w:rPr>
          <w:b/>
          <w:bCs/>
        </w:rPr>
        <w:t xml:space="preserve">Physical and Use Attributes:</w:t>
      </w:r>
      <w:r>
        <w:t xml:space="preserve"> </w:t>
      </w:r>
      <w:r>
        <w:t xml:space="preserve">Device class (I/II/III), implantable vs. external, single-use vs. reusable, registration info (from GUDID), sterilization method, packaging, labeling language. These categorical fields are normalized to standardized codes (e.g. CFR regulation number, product code) when possible</w:t>
      </w:r>
      <w:hyperlink r:id="rId37">
        <w:r>
          <w:rPr>
            <w:rStyle w:val="Hyperlink"/>
          </w:rPr>
          <w:t xml:space="preserve">[16]</w:t>
        </w:r>
      </w:hyperlink>
      <w:hyperlink r:id="rId38">
        <w:r>
          <w:rPr>
            <w:rStyle w:val="Hyperlink"/>
          </w:rPr>
          <w:t xml:space="preserve">[17]</w:t>
        </w:r>
      </w:hyperlink>
      <w:r>
        <w:t xml:space="preserve">.</w:t>
      </w:r>
    </w:p>
    <w:p>
      <w:pPr>
        <w:pStyle w:val="Compact"/>
        <w:numPr>
          <w:ilvl w:val="0"/>
          <w:numId w:val="1002"/>
        </w:numPr>
      </w:pPr>
      <w:r>
        <w:rPr>
          <w:b/>
          <w:bCs/>
        </w:rPr>
        <w:t xml:space="preserve">Manufacturer and Lineage:</w:t>
      </w:r>
      <w:r>
        <w:t xml:space="preserve"> </w:t>
      </w:r>
      <w:r>
        <w:t xml:space="preserve">Model numbers, predecessor devices, and recall history can inform relevance (e.g. avoid predicates that were recalled). Public recall databases and MDR reports can flag predicates with high safety issues (as suggested by FDA guidance and predicate selection criteria</w:t>
      </w:r>
      <w:hyperlink r:id="rId39">
        <w:r>
          <w:rPr>
            <w:rStyle w:val="Hyperlink"/>
          </w:rPr>
          <w:t xml:space="preserve">[18]</w:t>
        </w:r>
      </w:hyperlink>
      <w:r>
        <w:t xml:space="preserve">).</w:t>
      </w:r>
    </w:p>
    <w:p>
      <w:pPr>
        <w:pStyle w:val="FirstParagraph"/>
      </w:pPr>
      <w:r>
        <w:rPr>
          <w:b/>
          <w:bCs/>
        </w:rPr>
        <w:t xml:space="preserve">Normalization:</w:t>
      </w:r>
      <w:r>
        <w:t xml:space="preserve"> </w:t>
      </w:r>
      <w:r>
        <w:t xml:space="preserve">We will leverage FDA’s data standards to align attributes across submissions. For example, every 510(k) summary lists the classification name and product code</w:t>
      </w:r>
      <w:hyperlink r:id="rId37">
        <w:r>
          <w:rPr>
            <w:rStyle w:val="Hyperlink"/>
          </w:rPr>
          <w:t xml:space="preserve">[16]</w:t>
        </w:r>
      </w:hyperlink>
      <w:r>
        <w:t xml:space="preserve">; we can join on those to ensure consistent device types. The Global Unique Device Identifier (GUDID) provides standardized device identifiers and attributes for many products</w:t>
      </w:r>
      <w:hyperlink r:id="rId40">
        <w:r>
          <w:rPr>
            <w:rStyle w:val="Hyperlink"/>
          </w:rPr>
          <w:t xml:space="preserve">[19]</w:t>
        </w:r>
      </w:hyperlink>
      <w:hyperlink r:id="rId38">
        <w:r>
          <w:rPr>
            <w:rStyle w:val="Hyperlink"/>
          </w:rPr>
          <w:t xml:space="preserve">[17]</w:t>
        </w:r>
      </w:hyperlink>
      <w:r>
        <w:t xml:space="preserve">. Unstructured text (IFU statements, summary descriptions) will be processed by NLP or embedding techniques to compare semantic similarity, but core fields (e.g. numeric specs, categorical codes) will be used for primary scoring. All text fields (e.g. “Indications”) will be tokenized by common vocabularies (MeSH, MedDRA terms) so that synonyms are recognized.</w:t>
      </w:r>
    </w:p>
    <w:bookmarkEnd w:id="41"/>
    <w:bookmarkStart w:id="42" w:name="similarity-scoring-model"/>
    <w:p>
      <w:pPr>
        <w:pStyle w:val="Heading2"/>
      </w:pPr>
      <w:r>
        <w:t xml:space="preserve">Similarity Scoring Model</w:t>
      </w:r>
    </w:p>
    <w:p>
      <w:pPr>
        <w:pStyle w:val="FirstParagraph"/>
      </w:pPr>
      <w:r>
        <w:t xml:space="preserve">We propose a composite scoring model that maps user-input target metrics to normalized device attributes and computes a similarity score for each candidate predicate. Key steps:</w:t>
      </w:r>
    </w:p>
    <w:p>
      <w:pPr>
        <w:pStyle w:val="Compact"/>
        <w:numPr>
          <w:ilvl w:val="0"/>
          <w:numId w:val="1003"/>
        </w:numPr>
      </w:pPr>
      <w:r>
        <w:rPr>
          <w:b/>
          <w:bCs/>
        </w:rPr>
        <w:t xml:space="preserve">Metric Mapping:</w:t>
      </w:r>
      <w:r>
        <w:t xml:space="preserve"> </w:t>
      </w:r>
      <w:r>
        <w:t xml:space="preserve">Each user-specified metric (e.g. “target accuracy = 0.9”, “desired weight ≤ 100 g”) is associated with one or more device attributes. For instance, a target power consumption metric maps to the device’s power spec. If the user inputs an indication (e.g. “use in diabetic patients”), we interpret it as an intended-use attribute to match.</w:t>
      </w:r>
    </w:p>
    <w:p>
      <w:pPr>
        <w:numPr>
          <w:ilvl w:val="0"/>
          <w:numId w:val="1003"/>
        </w:numPr>
      </w:pPr>
      <w:r>
        <w:rPr>
          <w:b/>
          <w:bCs/>
        </w:rPr>
        <w:t xml:space="preserve">Attribute Distance Functions:</w:t>
      </w:r>
      <w:r>
        <w:t xml:space="preserve"> </w:t>
      </w:r>
      <w:r>
        <w:t xml:space="preserve">For each attribute</w:t>
      </w:r>
      <w:r>
        <w:t xml:space="preserve"> </w:t>
      </w:r>
      <m:oMath>
        <m:r>
          <m:t>j</m:t>
        </m:r>
      </m:oMath>
      <w:r>
        <w:t xml:space="preserve">, define a distance or similarity measure</w:t>
      </w:r>
      <w:r>
        <w:t xml:space="preserve"> </w:t>
      </w:r>
      <m:oMath>
        <m:sSub>
          <m:e>
            <m:r>
              <m:t>d</m:t>
            </m:r>
          </m:e>
          <m:sub>
            <m:r>
              <m:t>j</m:t>
            </m:r>
          </m:sub>
        </m:sSub>
        <m:d>
          <m:dPr>
            <m:begChr m:val="("/>
            <m:sepChr m:val=""/>
            <m:endChr m:val=")"/>
            <m:grow/>
          </m:dPr>
          <m:e>
            <m:r>
              <m:t>x</m:t>
            </m:r>
            <m:r>
              <m:rPr>
                <m:sty m:val="p"/>
              </m:rPr>
              <m:t>,</m:t>
            </m:r>
            <m:r>
              <m:t>y</m:t>
            </m:r>
          </m:e>
        </m:d>
      </m:oMath>
      <w:r>
        <w:t xml:space="preserve"> </w:t>
      </w:r>
      <w:r>
        <w:t xml:space="preserve">between target</w:t>
      </w:r>
      <w:r>
        <w:t xml:space="preserve"> </w:t>
      </w:r>
      <m:oMath>
        <m:r>
          <m:t>x</m:t>
        </m:r>
      </m:oMath>
      <w:r>
        <w:t xml:space="preserve"> </w:t>
      </w:r>
      <w:r>
        <w:t xml:space="preserve">and device value</w:t>
      </w:r>
      <w:r>
        <w:t xml:space="preserve"> </w:t>
      </w:r>
      <m:oMath>
        <m:r>
          <m:t>y</m:t>
        </m:r>
      </m:oMath>
      <w:r>
        <w:t xml:space="preserve">. Numeric distances are normalized (e.g.</w:t>
      </w:r>
      <w:r>
        <w:t xml:space="preserve"> </w:t>
      </w:r>
      <m:oMath>
        <m:sSub>
          <m:e>
            <m:r>
              <m:t>d</m:t>
            </m:r>
          </m:e>
          <m:sub>
            <m:r>
              <m:t>j</m:t>
            </m:r>
          </m:sub>
        </m:sSub>
        <m:r>
          <m:rPr>
            <m:sty m:val="p"/>
          </m:rPr>
          <m:t>=</m:t>
        </m:r>
        <m:d>
          <m:dPr>
            <m:begChr m:val="|"/>
            <m:sepChr m:val=""/>
            <m:endChr m:val="|"/>
            <m:grow/>
          </m:dPr>
          <m:e>
            <m:r>
              <m:t>y</m:t>
            </m:r>
            <m:r>
              <m:rPr>
                <m:sty m:val="p"/>
              </m:rPr>
              <m:t>−</m:t>
            </m:r>
            <m:r>
              <m:t>x</m:t>
            </m:r>
          </m:e>
        </m:d>
        <m:r>
          <m:rPr>
            <m:sty m:val="p"/>
          </m:rPr>
          <m:t>/</m:t>
        </m:r>
        <m:sSub>
          <m:e>
            <m:r>
              <m:t>R</m:t>
            </m:r>
          </m:e>
          <m:sub>
            <m:r>
              <m:t>j</m:t>
            </m:r>
          </m:sub>
        </m:sSub>
      </m:oMath>
      <w:r>
        <w:t xml:space="preserve">, where</w:t>
      </w:r>
      <w:r>
        <w:t xml:space="preserve"> </w:t>
      </w:r>
      <m:oMath>
        <m:sSub>
          <m:e>
            <m:r>
              <m:t>R</m:t>
            </m:r>
          </m:e>
          <m:sub>
            <m:r>
              <m:t>j</m:t>
            </m:r>
          </m:sub>
        </m:sSub>
      </m:oMath>
      <w:r>
        <w:t xml:space="preserve"> </w:t>
      </w:r>
      <w:r>
        <w:t xml:space="preserve">is the range of that metric across devices). Categorical/text fields use similarity scores: e.g. exact match = 0 distance, partial match (shared keywords) = intermediate, no overlap = maximum distance. We may use Jaccard or cosine similarity on term sets for text attributes, then convert to a [0,1] distance.</w:t>
      </w:r>
    </w:p>
    <w:p>
      <w:pPr>
        <w:numPr>
          <w:ilvl w:val="0"/>
          <w:numId w:val="1003"/>
        </w:numPr>
      </w:pPr>
      <w:r>
        <w:rPr>
          <w:b/>
          <w:bCs/>
        </w:rPr>
        <w:t xml:space="preserve">Feature Weights:</w:t>
      </w:r>
      <w:r>
        <w:t xml:space="preserve"> </w:t>
      </w:r>
      <w:r>
        <w:t xml:space="preserve">Each attribute has a weight</w:t>
      </w:r>
      <w:r>
        <w:t xml:space="preserve"> </w:t>
      </w:r>
      <m:oMath>
        <m:sSub>
          <m:e>
            <m:r>
              <m:t>w</m:t>
            </m:r>
          </m:e>
          <m:sub>
            <m:r>
              <m:t>j</m:t>
            </m:r>
          </m:sub>
        </m:sSub>
      </m:oMath>
      <w:r>
        <w:t xml:space="preserve"> </w:t>
      </w:r>
      <w:r>
        <w:t xml:space="preserve">reflecting its importance. These weights depend on submission type (see table above) and user priorities. For example, intended use might have</w:t>
      </w:r>
      <w:r>
        <w:t xml:space="preserve"> </w:t>
      </w:r>
      <m:oMath>
        <m:sSub>
          <m:e>
            <m:r>
              <m:t>w</m:t>
            </m:r>
          </m:e>
          <m:sub>
            <m:r>
              <m:rPr>
                <m:nor/>
                <m:sty m:val="p"/>
              </m:rPr>
              <m:t>use</m:t>
            </m:r>
          </m:sub>
        </m:sSub>
        <m:r>
          <m:rPr>
            <m:sty m:val="p"/>
          </m:rPr>
          <m:t>=</m:t>
        </m:r>
        <m:r>
          <m:t>0.3</m:t>
        </m:r>
      </m:oMath>
      <w:r>
        <w:t xml:space="preserve"> </w:t>
      </w:r>
      <w:r>
        <w:t xml:space="preserve">for a 510(k) predicate search, whereas clinical outcome might be</w:t>
      </w:r>
      <w:r>
        <w:t xml:space="preserve"> </w:t>
      </w:r>
      <m:oMath>
        <m:sSub>
          <m:e>
            <m:r>
              <m:t>w</m:t>
            </m:r>
          </m:e>
          <m:sub>
            <m:r>
              <m:rPr>
                <m:nor/>
                <m:sty m:val="p"/>
              </m:rPr>
              <m:t>clinical</m:t>
            </m:r>
          </m:sub>
        </m:sSub>
        <m:r>
          <m:rPr>
            <m:sty m:val="p"/>
          </m:rPr>
          <m:t>=</m:t>
        </m:r>
        <m:r>
          <m:t>0</m:t>
        </m:r>
      </m:oMath>
      <w:r>
        <w:t xml:space="preserve"> </w:t>
      </w:r>
      <w:r>
        <w:t xml:space="preserve">(ignored) for a routine device search. The sum of weights is normalized to 1. If the user does not specify certain attribute,</w:t>
      </w:r>
      <w:r>
        <w:t xml:space="preserve"> </w:t>
      </w:r>
      <m:oMath>
        <m:sSub>
          <m:e>
            <m:r>
              <m:t>w</m:t>
            </m:r>
          </m:e>
          <m:sub>
            <m:r>
              <m:t>j</m:t>
            </m:r>
          </m:sub>
        </m:sSub>
      </m:oMath>
      <w:r>
        <w:t xml:space="preserve"> </w:t>
      </w:r>
      <w:r>
        <w:t xml:space="preserve">can default to a regulatory-driven value or be set to 0.</w:t>
      </w:r>
    </w:p>
    <w:p>
      <w:pPr>
        <w:numPr>
          <w:ilvl w:val="0"/>
          <w:numId w:val="1003"/>
        </w:numPr>
      </w:pPr>
      <w:r>
        <w:rPr>
          <w:b/>
          <w:bCs/>
        </w:rPr>
        <w:t xml:space="preserve">Composite Distance/Similarity:</w:t>
      </w:r>
      <w:r>
        <w:t xml:space="preserve"> </w:t>
      </w:r>
      <w:r>
        <w:t xml:space="preserve">We compute a combined distance</w:t>
      </w:r>
      <w:r>
        <w:t xml:space="preserve"> </w:t>
      </w:r>
      <m:oMath>
        <m:sSub>
          <m:e>
            <m:r>
              <m:t>D</m:t>
            </m:r>
          </m:e>
          <m:sub>
            <m:r>
              <m:t>i</m:t>
            </m:r>
          </m:sub>
        </m:sSub>
      </m:oMath>
      <w:r>
        <w:t xml:space="preserve"> </w:t>
      </w:r>
      <w:r>
        <w:t xml:space="preserve">for device</w:t>
      </w:r>
      <w:r>
        <w:t xml:space="preserve"> </w:t>
      </w:r>
      <m:oMath>
        <m:r>
          <m:t>i</m:t>
        </m:r>
      </m:oMath>
      <w:r>
        <w:t xml:space="preserve"> </w:t>
      </w:r>
      <w:r>
        <w:t xml:space="preserve">as a weighted sum of attribute distances:</w:t>
      </w:r>
    </w:p>
    <w:p>
      <w:pPr>
        <w:pStyle w:val="Compact"/>
        <w:numPr>
          <w:ilvl w:val="0"/>
          <w:numId w:val="1000"/>
        </w:numPr>
      </w:pPr>
      <m:oMathPara>
        <m:oMathParaPr>
          <m:jc m:val="center"/>
        </m:oMathParaPr>
        <m:oMath>
          <m:sSub>
            <m:e>
              <m:r>
                <m:t>D</m:t>
              </m:r>
            </m:e>
            <m:sub>
              <m:r>
                <m:t>i</m:t>
              </m:r>
            </m:sub>
          </m:sSub>
          <m:r>
            <m:rPr>
              <m:sty m:val="p"/>
            </m:rPr>
            <m:t>=</m:t>
          </m:r>
          <m:nary>
            <m:naryPr>
              <m:chr m:val="∑"/>
              <m:limLoc m:val="undOvr"/>
              <m:subHide m:val="off"/>
              <m:supHide m:val="on"/>
            </m:naryPr>
            <m:sub>
              <m:r>
                <m:t>j</m:t>
              </m:r>
            </m:sub>
            <m:sup>
              <m:r>
                <m:t>​</m:t>
              </m:r>
            </m:sup>
            <m:e>
              <m:sSub>
                <m:e>
                  <m:r>
                    <m:t>w</m:t>
                  </m:r>
                </m:e>
                <m:sub>
                  <m:r>
                    <m:t>j</m:t>
                  </m:r>
                </m:sub>
              </m:sSub>
            </m:e>
          </m:nary>
          <m:r>
            <m:t> </m:t>
          </m:r>
          <m:sSub>
            <m:e>
              <m:r>
                <m:t>d</m:t>
              </m:r>
            </m:e>
            <m:sub>
              <m:r>
                <m:t>j</m:t>
              </m:r>
            </m:sub>
          </m:sSub>
          <m:d>
            <m:dPr>
              <m:begChr m:val="("/>
              <m:sepChr m:val=""/>
              <m:endChr m:val=")"/>
              <m:grow/>
            </m:dPr>
            <m:e>
              <m:sSub>
                <m:e>
                  <m:r>
                    <m:t>x</m:t>
                  </m:r>
                </m:e>
                <m:sub>
                  <m:r>
                    <m:t>j</m:t>
                  </m:r>
                </m:sub>
              </m:sSub>
              <m:r>
                <m:rPr>
                  <m:sty m:val="p"/>
                </m:rPr>
                <m:t>,</m:t>
              </m:r>
              <m:sSub>
                <m:e>
                  <m:r>
                    <m:t>y</m:t>
                  </m:r>
                </m:e>
                <m:sub>
                  <m:r>
                    <m:t>i</m:t>
                  </m:r>
                  <m:r>
                    <m:t>j</m:t>
                  </m:r>
                </m:sub>
              </m:sSub>
            </m:e>
          </m:d>
          <m:r>
            <m:rPr>
              <m:sty m:val="p"/>
            </m:rPr>
            <m:t>.</m:t>
          </m:r>
        </m:oMath>
      </m:oMathPara>
    </w:p>
    <w:p>
      <w:pPr>
        <w:numPr>
          <w:ilvl w:val="0"/>
          <w:numId w:val="1000"/>
        </w:numPr>
      </w:pPr>
      <w:r>
        <w:t xml:space="preserve">Similarity score can be</w:t>
      </w:r>
      <w:r>
        <w:t xml:space="preserve"> </w:t>
      </w:r>
      <m:oMath>
        <m:sSub>
          <m:e>
            <m:r>
              <m:t>S</m:t>
            </m:r>
          </m:e>
          <m:sub>
            <m:r>
              <m:t>i</m:t>
            </m:r>
          </m:sub>
        </m:sSub>
        <m:r>
          <m:rPr>
            <m:sty m:val="p"/>
          </m:rPr>
          <m:t>=</m:t>
        </m:r>
        <m:r>
          <m:t>1</m:t>
        </m:r>
        <m:r>
          <m:rPr>
            <m:sty m:val="p"/>
          </m:rPr>
          <m:t>−</m:t>
        </m:r>
        <m:sSub>
          <m:e>
            <m:r>
              <m:t>D</m:t>
            </m:r>
          </m:e>
          <m:sub>
            <m:r>
              <m:t>i</m:t>
            </m:r>
          </m:sub>
        </m:sSub>
      </m:oMath>
      <w:r>
        <w:t xml:space="preserve"> </w:t>
      </w:r>
      <w:r>
        <w:t xml:space="preserve">or a related monotonic transformation. We may also include a bonus if intended use matches exactly (reflecting the SE criterion). Devices with missing attribute values</w:t>
      </w:r>
      <w:r>
        <w:t xml:space="preserve"> </w:t>
      </w:r>
      <m:oMath>
        <m:sSub>
          <m:e>
            <m:r>
              <m:t>y</m:t>
            </m:r>
          </m:e>
          <m:sub>
            <m:r>
              <m:t>i</m:t>
            </m:r>
            <m:r>
              <m:t>j</m:t>
            </m:r>
          </m:sub>
        </m:sSub>
      </m:oMath>
      <w:r>
        <w:t xml:space="preserve"> </w:t>
      </w:r>
      <w:r>
        <w:t xml:space="preserve">are handled by either (a) excluding</w:t>
      </w:r>
      <w:r>
        <w:t xml:space="preserve"> </w:t>
      </w:r>
      <m:oMath>
        <m:r>
          <m:t>j</m:t>
        </m:r>
      </m:oMath>
      <w:r>
        <w:t xml:space="preserve"> </w:t>
      </w:r>
      <w:r>
        <w:t xml:space="preserve">and renormalizing weights, or (b) assigning a conservative worst-case distance for</w:t>
      </w:r>
      <w:r>
        <w:t xml:space="preserve"> </w:t>
      </w:r>
      <m:oMath>
        <m:r>
          <m:t>j</m:t>
        </m:r>
      </m:oMath>
      <w:r>
        <w:t xml:space="preserve">.</w:t>
      </w:r>
    </w:p>
    <w:p>
      <w:pPr>
        <w:numPr>
          <w:ilvl w:val="0"/>
          <w:numId w:val="1003"/>
        </w:numPr>
      </w:pPr>
      <w:r>
        <w:rPr>
          <w:b/>
          <w:bCs/>
        </w:rPr>
        <w:t xml:space="preserve">Thresholds and Tie-Breaking:</w:t>
      </w:r>
      <w:r>
        <w:t xml:space="preserve"> </w:t>
      </w:r>
      <w:r>
        <w:t xml:space="preserve">A similarity threshold</w:t>
      </w:r>
      <w:r>
        <w:t xml:space="preserve"> </w:t>
      </w:r>
      <m:oMath>
        <m:sSub>
          <m:e>
            <m:r>
              <m:t>S</m:t>
            </m:r>
          </m:e>
          <m:sub>
            <m:r>
              <m:rPr>
                <m:sty m:val="p"/>
              </m:rPr>
              <m:t>min</m:t>
            </m:r>
          </m:sub>
        </m:sSub>
      </m:oMath>
      <w:r>
        <w:t xml:space="preserve"> </w:t>
      </w:r>
      <w:r>
        <w:t xml:space="preserve">can be defined (e.g. ≥0.7) below which devices are deemed too dissimilar. Ties or scores within a small margin may be broken by secondary criteria (e.g. more recent clearance, higher evidence quality). The algorithm is deterministic: given the same inputs and data, it will always yield the same ranking (no randomization).</w:t>
      </w:r>
    </w:p>
    <w:p>
      <w:pPr>
        <w:numPr>
          <w:ilvl w:val="0"/>
          <w:numId w:val="1003"/>
        </w:numPr>
      </w:pPr>
      <w:r>
        <w:rPr>
          <w:b/>
          <w:bCs/>
        </w:rPr>
        <w:t xml:space="preserve">Metric Favorability:</w:t>
      </w:r>
      <w:r>
        <w:t xml:space="preserve"> </w:t>
      </w:r>
      <w:r>
        <w:t xml:space="preserve">Some user metrics have a direction of favorability (e.g. higher battery life is better). The distance functions incorporate this by measuring overshoot/undershoot relative to target. For instance, if user target is “≤ 100 g” (lighter is better), a device at 80 g yields smaller</w:t>
      </w:r>
      <w:r>
        <w:t xml:space="preserve"> </w:t>
      </w:r>
      <m:oMath>
        <m:r>
          <m:t>d</m:t>
        </m:r>
      </m:oMath>
      <w:r>
        <w:t xml:space="preserve"> </w:t>
      </w:r>
      <w:r>
        <w:t xml:space="preserve">than one at 120 g. We can define directional distance</w:t>
      </w:r>
      <w:r>
        <w:t xml:space="preserve"> </w:t>
      </w:r>
      <m:oMath>
        <m:sSub>
          <m:e>
            <m:r>
              <m:t>d</m:t>
            </m:r>
          </m:e>
          <m:sub>
            <m:r>
              <m:t>j</m:t>
            </m:r>
          </m:sub>
        </m:sSub>
        <m:r>
          <m:rPr>
            <m:sty m:val="p"/>
          </m:rPr>
          <m:t>=</m:t>
        </m:r>
        <m:r>
          <m:rPr>
            <m:sty m:val="p"/>
          </m:rPr>
          <m:t>max</m:t>
        </m:r>
        <m:d>
          <m:dPr>
            <m:begChr m:val="("/>
            <m:sepChr m:val=""/>
            <m:endChr m:val=")"/>
            <m:grow/>
          </m:dPr>
          <m:e>
            <m:r>
              <m:t>0</m:t>
            </m:r>
            <m:r>
              <m:rPr>
                <m:sty m:val="p"/>
              </m:rPr>
              <m:t>,</m:t>
            </m:r>
            <m:f>
              <m:fPr>
                <m:type m:val="bar"/>
              </m:fPr>
              <m:num>
                <m:r>
                  <m:t>y</m:t>
                </m:r>
                <m:r>
                  <m:rPr>
                    <m:sty m:val="p"/>
                  </m:rPr>
                  <m:t>−</m:t>
                </m:r>
                <m:r>
                  <m:t>x</m:t>
                </m:r>
              </m:num>
              <m:den>
                <m:sSub>
                  <m:e>
                    <m:r>
                      <m:t>R</m:t>
                    </m:r>
                  </m:e>
                  <m:sub>
                    <m:r>
                      <m:t>j</m:t>
                    </m:r>
                  </m:sub>
                </m:sSub>
              </m:den>
            </m:f>
          </m:e>
        </m:d>
      </m:oMath>
      <w:r>
        <w:t xml:space="preserve"> </w:t>
      </w:r>
      <w:r>
        <w:t xml:space="preserve">for “no greater than” targets.</w:t>
      </w:r>
    </w:p>
    <w:p>
      <w:pPr>
        <w:pStyle w:val="FirstParagraph"/>
      </w:pPr>
      <w:r>
        <w:t xml:space="preserve">Below is pseudocode for computing similarity scores and ranking predicates:</w:t>
      </w:r>
      <w:r>
        <w:br/>
      </w:r>
    </w:p>
    <w:p>
      <w:pPr>
        <w:pStyle w:val="SourceCode"/>
      </w:pPr>
      <w:r>
        <w:rPr>
          <w:rStyle w:val="VerbatimChar"/>
        </w:rPr>
        <w:t xml:space="preserve"># Inputs: target_profile (dict of user metrics), devices (list of device attribute dicts), weights dict w_j</w:t>
      </w:r>
      <w:r>
        <w:br/>
      </w:r>
      <w:r>
        <w:rPr>
          <w:rStyle w:val="VerbatimChar"/>
        </w:rPr>
        <w:t xml:space="preserve">scores = []</w:t>
      </w:r>
      <w:r>
        <w:br/>
      </w:r>
      <w:r>
        <w:rPr>
          <w:rStyle w:val="VerbatimChar"/>
        </w:rPr>
        <w:t xml:space="preserve">for device in devices:</w:t>
      </w:r>
      <w:r>
        <w:br/>
      </w:r>
      <w:r>
        <w:rPr>
          <w:rStyle w:val="VerbatimChar"/>
        </w:rPr>
        <w:t xml:space="preserve">    total_dist = 0.0</w:t>
      </w:r>
      <w:r>
        <w:br/>
      </w:r>
      <w:r>
        <w:rPr>
          <w:rStyle w:val="VerbatimChar"/>
        </w:rPr>
        <w:t xml:space="preserve">    total_w = 0.0</w:t>
      </w:r>
      <w:r>
        <w:br/>
      </w:r>
      <w:r>
        <w:rPr>
          <w:rStyle w:val="VerbatimChar"/>
        </w:rPr>
        <w:t xml:space="preserve">    for attr, w in weights.items():</w:t>
      </w:r>
      <w:r>
        <w:br/>
      </w:r>
      <w:r>
        <w:rPr>
          <w:rStyle w:val="VerbatimChar"/>
        </w:rPr>
        <w:t xml:space="preserve">        if w == 0: </w:t>
      </w:r>
      <w:r>
        <w:br/>
      </w:r>
      <w:r>
        <w:rPr>
          <w:rStyle w:val="VerbatimChar"/>
        </w:rPr>
        <w:t xml:space="preserve">            continue</w:t>
      </w:r>
      <w:r>
        <w:br/>
      </w:r>
      <w:r>
        <w:rPr>
          <w:rStyle w:val="VerbatimChar"/>
        </w:rPr>
        <w:t xml:space="preserve">        total_w += w</w:t>
      </w:r>
      <w:r>
        <w:br/>
      </w:r>
      <w:r>
        <w:rPr>
          <w:rStyle w:val="VerbatimChar"/>
        </w:rPr>
        <w:t xml:space="preserve">        target_val = target_profile.get(attr)</w:t>
      </w:r>
      <w:r>
        <w:br/>
      </w:r>
      <w:r>
        <w:rPr>
          <w:rStyle w:val="VerbatimChar"/>
        </w:rPr>
        <w:t xml:space="preserve">        device_val = device.get(attr)</w:t>
      </w:r>
      <w:r>
        <w:br/>
      </w:r>
      <w:r>
        <w:rPr>
          <w:rStyle w:val="VerbatimChar"/>
        </w:rPr>
        <w:t xml:space="preserve">        if target_val is None or device_val is None:</w:t>
      </w:r>
      <w:r>
        <w:br/>
      </w:r>
      <w:r>
        <w:rPr>
          <w:rStyle w:val="VerbatimChar"/>
        </w:rPr>
        <w:t xml:space="preserve">            # handle missing: skip or use default</w:t>
      </w:r>
      <w:r>
        <w:br/>
      </w:r>
      <w:r>
        <w:rPr>
          <w:rStyle w:val="VerbatimChar"/>
        </w:rPr>
        <w:t xml:space="preserve">            dist = missing_distance  # e.g., 1 (worst) or 0.5 (neutral)</w:t>
      </w:r>
      <w:r>
        <w:br/>
      </w:r>
      <w:r>
        <w:rPr>
          <w:rStyle w:val="VerbatimChar"/>
        </w:rPr>
        <w:t xml:space="preserve">        else:</w:t>
      </w:r>
      <w:r>
        <w:br/>
      </w:r>
      <w:r>
        <w:rPr>
          <w:rStyle w:val="VerbatimChar"/>
        </w:rPr>
        <w:t xml:space="preserve">            dist = compute_distance(attr, target_val, device_val)</w:t>
      </w:r>
      <w:r>
        <w:br/>
      </w:r>
      <w:r>
        <w:rPr>
          <w:rStyle w:val="VerbatimChar"/>
        </w:rPr>
        <w:t xml:space="preserve">        total_dist += w * dist</w:t>
      </w:r>
      <w:r>
        <w:br/>
      </w:r>
      <w:r>
        <w:rPr>
          <w:rStyle w:val="VerbatimChar"/>
        </w:rPr>
        <w:t xml:space="preserve">    if total_w &gt; 0:</w:t>
      </w:r>
      <w:r>
        <w:br/>
      </w:r>
      <w:r>
        <w:rPr>
          <w:rStyle w:val="VerbatimChar"/>
        </w:rPr>
        <w:t xml:space="preserve">        composite_dist = total_dist / total_w</w:t>
      </w:r>
      <w:r>
        <w:br/>
      </w:r>
      <w:r>
        <w:rPr>
          <w:rStyle w:val="VerbatimChar"/>
        </w:rPr>
        <w:t xml:space="preserve">    else:</w:t>
      </w:r>
      <w:r>
        <w:br/>
      </w:r>
      <w:r>
        <w:rPr>
          <w:rStyle w:val="VerbatimChar"/>
        </w:rPr>
        <w:t xml:space="preserve">        composite_dist = 1.0  # if no weights set, treat as dissimilar</w:t>
      </w:r>
      <w:r>
        <w:br/>
      </w:r>
      <w:r>
        <w:rPr>
          <w:rStyle w:val="VerbatimChar"/>
        </w:rPr>
        <w:t xml:space="preserve">    score = 1.0 - composite_dist  # convert distance to similarity</w:t>
      </w:r>
      <w:r>
        <w:br/>
      </w:r>
      <w:r>
        <w:rPr>
          <w:rStyle w:val="VerbatimChar"/>
        </w:rPr>
        <w:t xml:space="preserve">    scores.append((device['id'], score))</w:t>
      </w:r>
      <w:r>
        <w:br/>
      </w:r>
      <w:r>
        <w:rPr>
          <w:rStyle w:val="VerbatimChar"/>
        </w:rPr>
        <w:t xml:space="preserve"># Rank devices by descending score</w:t>
      </w:r>
      <w:r>
        <w:br/>
      </w:r>
      <w:r>
        <w:rPr>
          <w:rStyle w:val="VerbatimChar"/>
        </w:rPr>
        <w:t xml:space="preserve">ranked_devices = sorted(scores, key=lambda x: x[1], reverse=True)</w:t>
      </w:r>
    </w:p>
    <w:p>
      <w:pPr>
        <w:pStyle w:val="FirstParagraph"/>
      </w:pPr>
      <w:r>
        <w:t xml:space="preserve">In practice,</w:t>
      </w:r>
      <w:r>
        <w:t xml:space="preserve"> </w:t>
      </w:r>
      <w:r>
        <w:rPr>
          <w:rStyle w:val="VerbatimChar"/>
        </w:rPr>
        <w:t xml:space="preserve">compute_distance(attr, x, y)</w:t>
      </w:r>
      <w:r>
        <w:t xml:space="preserve"> </w:t>
      </w:r>
      <w:r>
        <w:t xml:space="preserve">implements the metric-specific comparison (e.g. normalized absolute difference for numeric, or 1–(text_similarity) for strings). Every step and weight should be recorded for transparency.</w:t>
      </w:r>
    </w:p>
    <w:p>
      <w:pPr>
        <w:pStyle w:val="SourceCode"/>
      </w:pPr>
      <w:r>
        <w:rPr>
          <w:rStyle w:val="VerbatimChar"/>
        </w:rPr>
        <w:t xml:space="preserve">flowchart TD</w:t>
      </w:r>
      <w:r>
        <w:br/>
      </w:r>
      <w:r>
        <w:rPr>
          <w:rStyle w:val="VerbatimChar"/>
        </w:rPr>
        <w:t xml:space="preserve">    A[User input target metrics] --&gt; B[Search FDA databases (510(k), PMA, DeNovo)]</w:t>
      </w:r>
      <w:r>
        <w:br/>
      </w:r>
      <w:r>
        <w:rPr>
          <w:rStyle w:val="VerbatimChar"/>
        </w:rPr>
        <w:t xml:space="preserve">    B --&gt; C[Extract device attributes (IFU, summary, GUDID)]</w:t>
      </w:r>
      <w:r>
        <w:br/>
      </w:r>
      <w:r>
        <w:rPr>
          <w:rStyle w:val="VerbatimChar"/>
        </w:rPr>
        <w:t xml:space="preserve">    C --&gt; D[Normalize attributes (codes, units, ontologies)]</w:t>
      </w:r>
      <w:r>
        <w:br/>
      </w:r>
      <w:r>
        <w:rPr>
          <w:rStyle w:val="VerbatimChar"/>
        </w:rPr>
        <w:t xml:space="preserve">    D --&gt; E[Compute attribute-wise distances]</w:t>
      </w:r>
      <w:r>
        <w:br/>
      </w:r>
      <w:r>
        <w:rPr>
          <w:rStyle w:val="VerbatimChar"/>
        </w:rPr>
        <w:t xml:space="preserve">    E --&gt; F[Aggregate weighted distances into similarity scores]</w:t>
      </w:r>
      <w:r>
        <w:br/>
      </w:r>
      <w:r>
        <w:rPr>
          <w:rStyle w:val="VerbatimChar"/>
        </w:rPr>
        <w:t xml:space="preserve">    F --&gt; G[Filter by thresholds and rank devices]</w:t>
      </w:r>
      <w:r>
        <w:br/>
      </w:r>
      <w:r>
        <w:rPr>
          <w:rStyle w:val="VerbatimChar"/>
        </w:rPr>
        <w:t xml:space="preserve">    G --&gt; H[Output ranked predicate list with key spec differences]</w:t>
      </w:r>
    </w:p>
    <w:p>
      <w:pPr>
        <w:pStyle w:val="FirstParagraph"/>
      </w:pPr>
      <w:r>
        <w:rPr>
          <w:b/>
          <w:bCs/>
        </w:rPr>
        <w:t xml:space="preserve">Figure:</w:t>
      </w:r>
      <w:r>
        <w:t xml:space="preserve"> </w:t>
      </w:r>
      <w:r>
        <w:t xml:space="preserve">Workflow for predicate search and ranking.</w:t>
      </w:r>
    </w:p>
    <w:bookmarkEnd w:id="42"/>
    <w:bookmarkStart w:id="49" w:name="data-sources-and-parsing-methods"/>
    <w:p>
      <w:pPr>
        <w:pStyle w:val="Heading2"/>
      </w:pPr>
      <w:r>
        <w:t xml:space="preserve">Data Sources and Parsing Methods</w:t>
      </w:r>
    </w:p>
    <w:p>
      <w:pPr>
        <w:pStyle w:val="FirstParagraph"/>
      </w:pPr>
      <w:r>
        <w:t xml:space="preserve">Our system will rely on FDA’s publicly available device data:</w:t>
      </w:r>
    </w:p>
    <w:p>
      <w:pPr>
        <w:numPr>
          <w:ilvl w:val="0"/>
          <w:numId w:val="1004"/>
        </w:numPr>
      </w:pPr>
      <w:r>
        <w:rPr>
          <w:b/>
          <w:bCs/>
        </w:rPr>
        <w:t xml:space="preserve">510(k) Database:</w:t>
      </w:r>
      <w:r>
        <w:t xml:space="preserve"> </w:t>
      </w:r>
      <w:r>
        <w:t xml:space="preserve">Searchable via FDA’s AccessData (or downloadable zipped files</w:t>
      </w:r>
      <w:hyperlink r:id="rId43">
        <w:r>
          <w:rPr>
            <w:rStyle w:val="Hyperlink"/>
          </w:rPr>
          <w:t xml:space="preserve">[20]</w:t>
        </w:r>
      </w:hyperlink>
      <w:hyperlink r:id="rId36">
        <w:r>
          <w:rPr>
            <w:rStyle w:val="Hyperlink"/>
          </w:rPr>
          <w:t xml:space="preserve">[15]</w:t>
        </w:r>
      </w:hyperlink>
      <w:r>
        <w:t xml:space="preserve">). Each 510(k) record includes device name, applicant, classification, and whether a summary of safety/effectiveness is available. When accessible, the cleared 510(k) summaries (either posted by FDA or obtained via FOIA) provide intended use statements, a comparison to predicate, test results, and lists of technological characteristics</w:t>
      </w:r>
      <w:hyperlink r:id="rId32">
        <w:r>
          <w:rPr>
            <w:rStyle w:val="Hyperlink"/>
          </w:rPr>
          <w:t xml:space="preserve">[12]</w:t>
        </w:r>
      </w:hyperlink>
      <w:hyperlink r:id="rId27">
        <w:r>
          <w:rPr>
            <w:rStyle w:val="Hyperlink"/>
          </w:rPr>
          <w:t xml:space="preserve">[7]</w:t>
        </w:r>
      </w:hyperlink>
      <w:r>
        <w:t xml:space="preserve">. We will parse these text summaries (PDF or text) using NLP to extract structured fields like indications, performance data, and test conclusions.</w:t>
      </w:r>
    </w:p>
    <w:p>
      <w:pPr>
        <w:numPr>
          <w:ilvl w:val="0"/>
          <w:numId w:val="1004"/>
        </w:numPr>
      </w:pPr>
      <w:r>
        <w:rPr>
          <w:b/>
          <w:bCs/>
        </w:rPr>
        <w:t xml:space="preserve">PMA Database:</w:t>
      </w:r>
      <w:r>
        <w:t xml:space="preserve"> </w:t>
      </w:r>
      <w:r>
        <w:t xml:space="preserve">FDA’s PMA search tool and downloadable data provide device description, approval date, applicant, and links to the SSED</w:t>
      </w:r>
      <w:hyperlink r:id="rId25">
        <w:r>
          <w:rPr>
            <w:rStyle w:val="Hyperlink"/>
          </w:rPr>
          <w:t xml:space="preserve">[5]</w:t>
        </w:r>
      </w:hyperlink>
      <w:hyperlink r:id="rId44">
        <w:r>
          <w:rPr>
            <w:rStyle w:val="Hyperlink"/>
          </w:rPr>
          <w:t xml:space="preserve">[21]</w:t>
        </w:r>
      </w:hyperlink>
      <w:r>
        <w:t xml:space="preserve">. The SSED documents (PDF) can be scraped or parsed for key attributes (trial endpoints, device materials, risk mitigations). PMA labelling and SSEDs often detail performance specifications and predicates if any.</w:t>
      </w:r>
    </w:p>
    <w:p>
      <w:pPr>
        <w:numPr>
          <w:ilvl w:val="0"/>
          <w:numId w:val="1004"/>
        </w:numPr>
      </w:pPr>
      <w:r>
        <w:rPr>
          <w:b/>
          <w:bCs/>
        </w:rPr>
        <w:t xml:space="preserve">De Novo Database:</w:t>
      </w:r>
      <w:r>
        <w:t xml:space="preserve"> </w:t>
      </w:r>
      <w:r>
        <w:t xml:space="preserve">The FDA’s De Novo database and published summaries</w:t>
      </w:r>
      <w:hyperlink r:id="rId26">
        <w:r>
          <w:rPr>
            <w:rStyle w:val="Hyperlink"/>
          </w:rPr>
          <w:t xml:space="preserve">[6]</w:t>
        </w:r>
      </w:hyperlink>
      <w:hyperlink r:id="rId45">
        <w:r>
          <w:rPr>
            <w:rStyle w:val="Hyperlink"/>
          </w:rPr>
          <w:t xml:space="preserve">[22]</w:t>
        </w:r>
      </w:hyperlink>
      <w:r>
        <w:t xml:space="preserve"> </w:t>
      </w:r>
      <w:r>
        <w:t xml:space="preserve">include the device description, proposed use, and evidence. We will ingest the granted DeNovo requests and their decision summaries to use the first-of-kind device as a reference predicate.</w:t>
      </w:r>
    </w:p>
    <w:p>
      <w:pPr>
        <w:numPr>
          <w:ilvl w:val="0"/>
          <w:numId w:val="1004"/>
        </w:numPr>
      </w:pPr>
      <w:r>
        <w:rPr>
          <w:b/>
          <w:bCs/>
        </w:rPr>
        <w:t xml:space="preserve">Devices@FDA &amp; Classification Databases:</w:t>
      </w:r>
      <w:r>
        <w:t xml:space="preserve"> </w:t>
      </w:r>
      <w:r>
        <w:t xml:space="preserve">The</w:t>
      </w:r>
      <w:r>
        <w:t xml:space="preserve"> </w:t>
      </w:r>
      <w:r>
        <w:rPr>
          <w:i/>
          <w:iCs/>
        </w:rPr>
        <w:t xml:space="preserve">Devices@FDA</w:t>
      </w:r>
      <w:r>
        <w:t xml:space="preserve"> </w:t>
      </w:r>
      <w:r>
        <w:t xml:space="preserve">portal aggregates 510(k) and PMA data, including links to device labeling and summaries</w:t>
      </w:r>
      <w:hyperlink r:id="rId46">
        <w:r>
          <w:rPr>
            <w:rStyle w:val="Hyperlink"/>
          </w:rPr>
          <w:t xml:space="preserve">[23]</w:t>
        </w:r>
      </w:hyperlink>
      <w:hyperlink r:id="rId36">
        <w:r>
          <w:rPr>
            <w:rStyle w:val="Hyperlink"/>
          </w:rPr>
          <w:t xml:space="preserve">[15]</w:t>
        </w:r>
      </w:hyperlink>
      <w:r>
        <w:t xml:space="preserve">. The Product Classification Database</w:t>
      </w:r>
      <w:hyperlink r:id="rId47">
        <w:r>
          <w:rPr>
            <w:rStyle w:val="Hyperlink"/>
          </w:rPr>
          <w:t xml:space="preserve">[24]</w:t>
        </w:r>
      </w:hyperlink>
      <w:r>
        <w:t xml:space="preserve"> </w:t>
      </w:r>
      <w:r>
        <w:t xml:space="preserve">provides standardized product codes, device names, and regulations that we use to normalize types. The UDI/GUDID system</w:t>
      </w:r>
      <w:hyperlink r:id="rId48">
        <w:r>
          <w:rPr>
            <w:rStyle w:val="Hyperlink"/>
          </w:rPr>
          <w:t xml:space="preserve">[25]</w:t>
        </w:r>
      </w:hyperlink>
      <w:hyperlink r:id="rId38">
        <w:r>
          <w:rPr>
            <w:rStyle w:val="Hyperlink"/>
          </w:rPr>
          <w:t xml:space="preserve">[17]</w:t>
        </w:r>
      </w:hyperlink>
      <w:r>
        <w:t xml:space="preserve"> </w:t>
      </w:r>
      <w:r>
        <w:t xml:space="preserve">supplies additional normalized fields (manufacturer, model) for many devices.</w:t>
      </w:r>
    </w:p>
    <w:p>
      <w:pPr>
        <w:numPr>
          <w:ilvl w:val="0"/>
          <w:numId w:val="1004"/>
        </w:numPr>
      </w:pPr>
      <w:r>
        <w:rPr>
          <w:b/>
          <w:bCs/>
        </w:rPr>
        <w:t xml:space="preserve">Regulatory Summaries and Labeling:</w:t>
      </w:r>
      <w:r>
        <w:t xml:space="preserve"> </w:t>
      </w:r>
      <w:r>
        <w:t xml:space="preserve">Guidance documents (e.g. “510(k) Program Guidance”</w:t>
      </w:r>
      <w:hyperlink r:id="rId21">
        <w:r>
          <w:rPr>
            <w:rStyle w:val="Hyperlink"/>
          </w:rPr>
          <w:t xml:space="preserve">[1]</w:t>
        </w:r>
      </w:hyperlink>
      <w:r>
        <w:t xml:space="preserve">), CFR excerpts, and FDA letters also inform which attributes to extract. We will parse</w:t>
      </w:r>
      <w:r>
        <w:t xml:space="preserve"> </w:t>
      </w:r>
      <w:r>
        <w:rPr>
          <w:i/>
          <w:iCs/>
        </w:rPr>
        <w:t xml:space="preserve">Instructions for Use</w:t>
      </w:r>
      <w:r>
        <w:t xml:space="preserve"> </w:t>
      </w:r>
      <w:r>
        <w:t xml:space="preserve">and</w:t>
      </w:r>
      <w:r>
        <w:t xml:space="preserve"> </w:t>
      </w:r>
      <w:r>
        <w:rPr>
          <w:i/>
          <w:iCs/>
        </w:rPr>
        <w:t xml:space="preserve">labeling</w:t>
      </w:r>
      <w:r>
        <w:t xml:space="preserve"> </w:t>
      </w:r>
      <w:r>
        <w:t xml:space="preserve">(often available via FDA or manufacturer websites) for indications, contraindications, and warnings.</w:t>
      </w:r>
    </w:p>
    <w:p>
      <w:pPr>
        <w:numPr>
          <w:ilvl w:val="0"/>
          <w:numId w:val="1004"/>
        </w:numPr>
      </w:pPr>
      <w:r>
        <w:rPr>
          <w:b/>
          <w:bCs/>
        </w:rPr>
        <w:t xml:space="preserve">Parsing Approach:</w:t>
      </w:r>
      <w:r>
        <w:t xml:space="preserve"> </w:t>
      </w:r>
      <w:r>
        <w:t xml:space="preserve">We will combine structured data imports (fixed-width 510(k) files, classification spreadsheets) with unstructured text processing. For text, tools like regular expressions or machine learning extractors can identify fields (e.g. “Intended Use”, “Material”, “Performance”). Numeric specs will be parsed and converted (e.g. “Range: 5–10 mA” → min=5, max=10). We will maintain provenance for each attribute (which document it came from) to allow auditability.</w:t>
      </w:r>
    </w:p>
    <w:bookmarkEnd w:id="49"/>
    <w:bookmarkStart w:id="51" w:name="validation-with-known-predicates"/>
    <w:p>
      <w:pPr>
        <w:pStyle w:val="Heading2"/>
      </w:pPr>
      <w:r>
        <w:t xml:space="preserve">Validation with Known Predicates</w:t>
      </w:r>
    </w:p>
    <w:p>
      <w:pPr>
        <w:pStyle w:val="FirstParagraph"/>
      </w:pPr>
      <w:r>
        <w:t xml:space="preserve">To validate the ranking model, we will perform retrospective tests using cleared devices with known predicates. For example, given a cleared device’s 510(k) and its listed predicate, we treat the target profile as that device’s specs and confirm that our system ranks the actual predicate near the top. We can measure accuracy by the fraction of cases where the correct predicate is within the top-N results. Likewise, for PMA devices, we ensure similar class III devices (if any) rank highly. We will adjust weights and thresholds based on validation metrics (e.g. precision@5) and subject-matter input. Over time, incorporating feedback from actual device experts (regulatory reviewers) will refine the model.</w:t>
      </w:r>
    </w:p>
    <w:p>
      <w:pPr>
        <w:pStyle w:val="SourceCode"/>
      </w:pPr>
      <w:r>
        <w:rPr>
          <w:rStyle w:val="VerbatimChar"/>
        </w:rPr>
        <w:t xml:space="preserve">flowchart TD</w:t>
      </w:r>
      <w:r>
        <w:br/>
      </w:r>
      <w:r>
        <w:rPr>
          <w:rStyle w:val="VerbatimChar"/>
        </w:rPr>
        <w:t xml:space="preserve">    Start[Start: New device profile] --&gt; ParseProfile[Extract target attributes]</w:t>
      </w:r>
      <w:r>
        <w:br/>
      </w:r>
      <w:r>
        <w:rPr>
          <w:rStyle w:val="VerbatimChar"/>
        </w:rPr>
        <w:t xml:space="preserve">    ParseProfile --&gt; ForEachDev{For each candidate device}</w:t>
      </w:r>
      <w:r>
        <w:br/>
      </w:r>
      <w:r>
        <w:rPr>
          <w:rStyle w:val="VerbatimChar"/>
        </w:rPr>
        <w:t xml:space="preserve">    ForEachDev --&gt;|yes| CheckAttr[Intended use matches?]</w:t>
      </w:r>
      <w:r>
        <w:br/>
      </w:r>
      <w:r>
        <w:rPr>
          <w:rStyle w:val="VerbatimChar"/>
        </w:rPr>
        <w:t xml:space="preserve">    CheckAttr --&gt;|Yes| AddBonus[Add match bonus]</w:t>
      </w:r>
      <w:r>
        <w:br/>
      </w:r>
      <w:r>
        <w:rPr>
          <w:rStyle w:val="VerbatimChar"/>
        </w:rPr>
        <w:t xml:space="preserve">    CheckAttr --&gt; ComputeDist[Compute distance for each attribute]</w:t>
      </w:r>
      <w:r>
        <w:br/>
      </w:r>
      <w:r>
        <w:rPr>
          <w:rStyle w:val="VerbatimChar"/>
        </w:rPr>
        <w:t xml:space="preserve">    ComputeDist --&gt; SumScores[Sum weighted distances]</w:t>
      </w:r>
      <w:r>
        <w:br/>
      </w:r>
      <w:r>
        <w:rPr>
          <w:rStyle w:val="VerbatimChar"/>
        </w:rPr>
        <w:t xml:space="preserve">    SumScores --&gt; Normalize[Normalize by total weight]</w:t>
      </w:r>
      <w:r>
        <w:br/>
      </w:r>
      <w:r>
        <w:rPr>
          <w:rStyle w:val="VerbatimChar"/>
        </w:rPr>
        <w:t xml:space="preserve">    Normalize --&gt; ComputeScore[Compute similarity score]</w:t>
      </w:r>
      <w:r>
        <w:br/>
      </w:r>
      <w:r>
        <w:rPr>
          <w:rStyle w:val="VerbatimChar"/>
        </w:rPr>
        <w:t xml:space="preserve">    ComputeScore --&gt; RecordScore[Record score]</w:t>
      </w:r>
      <w:r>
        <w:br/>
      </w:r>
      <w:r>
        <w:rPr>
          <w:rStyle w:val="VerbatimChar"/>
        </w:rPr>
        <w:t xml:space="preserve">    RecordScore --&gt; ForEachDev</w:t>
      </w:r>
      <w:r>
        <w:br/>
      </w:r>
      <w:r>
        <w:rPr>
          <w:rStyle w:val="VerbatimChar"/>
        </w:rPr>
        <w:t xml:space="preserve">    ForEachDev --&gt;|no| End[End: Rank by scores]</w:t>
      </w:r>
    </w:p>
    <w:p>
      <w:pPr>
        <w:pStyle w:val="FirstParagraph"/>
      </w:pPr>
      <w:r>
        <w:rPr>
          <w:b/>
          <w:bCs/>
        </w:rPr>
        <w:t xml:space="preserve">Figure:</w:t>
      </w:r>
      <w:r>
        <w:t xml:space="preserve"> </w:t>
      </w:r>
      <w:r>
        <w:t xml:space="preserve">Flowchart of the scoring algorithm for each candidate device.</w:t>
      </w:r>
    </w:p>
    <w:bookmarkStart w:id="50" w:name="sample-ranked-output"/>
    <w:p>
      <w:pPr>
        <w:pStyle w:val="Heading3"/>
      </w:pPr>
      <w:r>
        <w:t xml:space="preserve">Sample Ranked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Device (510(k)/PMA ID)</w:t>
            </w:r>
          </w:p>
        </w:tc>
        <w:tc>
          <w:tcPr/>
          <w:p>
            <w:pPr>
              <w:pStyle w:val="Compact"/>
            </w:pPr>
            <w:r>
              <w:t xml:space="preserve">Similarity Score</w:t>
            </w:r>
          </w:p>
        </w:tc>
        <w:tc>
          <w:tcPr/>
          <w:p>
            <w:pPr>
              <w:pStyle w:val="Compact"/>
            </w:pPr>
            <w:r>
              <w:t xml:space="preserve">Differences vs. Target</w:t>
            </w:r>
          </w:p>
        </w:tc>
      </w:tr>
      <w:tr>
        <w:tc>
          <w:tcPr/>
          <w:p>
            <w:pPr>
              <w:pStyle w:val="Compact"/>
            </w:pPr>
            <w:r>
              <w:t xml:space="preserve">1</w:t>
            </w:r>
          </w:p>
        </w:tc>
        <w:tc>
          <w:tcPr/>
          <w:p>
            <w:pPr>
              <w:pStyle w:val="Compact"/>
            </w:pPr>
            <w:r>
              <w:t xml:space="preserve">MyoHealth Smart Patch (K123456)</w:t>
            </w:r>
          </w:p>
        </w:tc>
        <w:tc>
          <w:tcPr/>
          <w:p>
            <w:pPr>
              <w:pStyle w:val="Compact"/>
            </w:pPr>
            <w:r>
              <w:t xml:space="preserve">0.93</w:t>
            </w:r>
          </w:p>
        </w:tc>
        <w:tc>
          <w:tcPr/>
          <w:p>
            <w:pPr>
              <w:pStyle w:val="Compact"/>
            </w:pPr>
            <w:r>
              <w:t xml:space="preserve">Intentions/Use match; tech char identical; Bluetooth range 2m (target 5m)</w:t>
            </w:r>
          </w:p>
        </w:tc>
      </w:tr>
      <w:tr>
        <w:tc>
          <w:tcPr/>
          <w:p>
            <w:pPr>
              <w:pStyle w:val="Compact"/>
            </w:pPr>
            <w:r>
              <w:t xml:space="preserve">2</w:t>
            </w:r>
          </w:p>
        </w:tc>
        <w:tc>
          <w:tcPr/>
          <w:p>
            <w:pPr>
              <w:pStyle w:val="Compact"/>
            </w:pPr>
            <w:r>
              <w:t xml:space="preserve">CardioSense Monitor (PMA P98765)</w:t>
            </w:r>
          </w:p>
        </w:tc>
        <w:tc>
          <w:tcPr/>
          <w:p>
            <w:pPr>
              <w:pStyle w:val="Compact"/>
            </w:pPr>
            <w:r>
              <w:t xml:space="preserve">0.88</w:t>
            </w:r>
          </w:p>
        </w:tc>
        <w:tc>
          <w:tcPr/>
          <w:p>
            <w:pPr>
              <w:pStyle w:val="Compact"/>
            </w:pPr>
            <w:r>
              <w:t xml:space="preserve">Intended use similar; new optical sensor (validated); longer battery life (25h vs 20h)</w:t>
            </w:r>
          </w:p>
        </w:tc>
      </w:tr>
      <w:tr>
        <w:tc>
          <w:tcPr/>
          <w:p>
            <w:pPr>
              <w:pStyle w:val="Compact"/>
            </w:pPr>
            <w:r>
              <w:t xml:space="preserve">3</w:t>
            </w:r>
          </w:p>
        </w:tc>
        <w:tc>
          <w:tcPr/>
          <w:p>
            <w:pPr>
              <w:pStyle w:val="Compact"/>
            </w:pPr>
            <w:r>
              <w:t xml:space="preserve">HeartTrack Patch (DeNovo D123)</w:t>
            </w:r>
          </w:p>
        </w:tc>
        <w:tc>
          <w:tcPr/>
          <w:p>
            <w:pPr>
              <w:pStyle w:val="Compact"/>
            </w:pPr>
            <w:r>
              <w:t xml:space="preserve">0.82</w:t>
            </w:r>
          </w:p>
        </w:tc>
        <w:tc>
          <w:tcPr/>
          <w:p>
            <w:pPr>
              <w:pStyle w:val="Compact"/>
            </w:pPr>
            <w:r>
              <w:t xml:space="preserve">Intended use match; different antenna design (no new safety issue); provides ECG only (vs ECG+BP target)</w:t>
            </w:r>
          </w:p>
        </w:tc>
      </w:tr>
      <w:tr>
        <w:tc>
          <w:tcPr/>
          <w:p>
            <w:pPr>
              <w:pStyle w:val="Compact"/>
            </w:pPr>
            <w:r>
              <w:t xml:space="preserve">4</w:t>
            </w:r>
          </w:p>
        </w:tc>
        <w:tc>
          <w:tcPr/>
          <w:p>
            <w:pPr>
              <w:pStyle w:val="Compact"/>
            </w:pPr>
            <w:r>
              <w:t xml:space="preserve">Vintage ECG Belt (K654321)</w:t>
            </w:r>
          </w:p>
        </w:tc>
        <w:tc>
          <w:tcPr/>
          <w:p>
            <w:pPr>
              <w:pStyle w:val="Compact"/>
            </w:pPr>
            <w:r>
              <w:t xml:space="preserve">0.77</w:t>
            </w:r>
          </w:p>
        </w:tc>
        <w:tc>
          <w:tcPr/>
          <w:p>
            <w:pPr>
              <w:pStyle w:val="Compact"/>
            </w:pPr>
            <w:r>
              <w:t xml:space="preserve">Generic indications; heavier weight (+30%); older hardware (shorter lifespan)</w:t>
            </w:r>
          </w:p>
        </w:tc>
      </w:tr>
    </w:tbl>
    <w:p>
      <w:pPr>
        <w:pStyle w:val="BodyText"/>
      </w:pPr>
      <w:r>
        <w:rPr>
          <w:i/>
          <w:iCs/>
        </w:rPr>
        <w:t xml:space="preserve">Table: Example output for a hypothetical cardiac monitoring device. Predicates are ranked by composite similarity. Key differences (indications, technical specs) are highlighted.</w:t>
      </w:r>
    </w:p>
    <w:bookmarkEnd w:id="50"/>
    <w:bookmarkEnd w:id="51"/>
    <w:bookmarkStart w:id="52" w:name="references"/>
    <w:p>
      <w:pPr>
        <w:pStyle w:val="Heading2"/>
      </w:pPr>
      <w:r>
        <w:t xml:space="preserve">References</w:t>
      </w:r>
    </w:p>
    <w:p>
      <w:pPr>
        <w:pStyle w:val="FirstParagraph"/>
      </w:pPr>
      <w:r>
        <w:t xml:space="preserve">Key sources include FDA guidances and regulations on 510(k)/PMA/De Novo processes. In particular, the FDA’s 510(k) guidance defines substantial equivalence criteria</w:t>
      </w:r>
      <w:hyperlink r:id="rId21">
        <w:r>
          <w:rPr>
            <w:rStyle w:val="Hyperlink"/>
          </w:rPr>
          <w:t xml:space="preserve">[1]</w:t>
        </w:r>
      </w:hyperlink>
      <w:r>
        <w:t xml:space="preserve">, and the public content guidelines list the attributes (intended use, technological characteristics, performance data) required in submissions</w:t>
      </w:r>
      <w:hyperlink r:id="rId32">
        <w:r>
          <w:rPr>
            <w:rStyle w:val="Hyperlink"/>
          </w:rPr>
          <w:t xml:space="preserve">[12]</w:t>
        </w:r>
      </w:hyperlink>
      <w:hyperlink r:id="rId27">
        <w:r>
          <w:rPr>
            <w:rStyle w:val="Hyperlink"/>
          </w:rPr>
          <w:t xml:space="preserve">[7]</w:t>
        </w:r>
      </w:hyperlink>
      <w:r>
        <w:t xml:space="preserve">. The Ropes &amp; Gray summary of FDA’s 2014 guidance highlights predicate selection rules, intended-use definitions, and the stepwise evidence hierarchy</w:t>
      </w:r>
      <w:hyperlink r:id="rId30">
        <w:r>
          <w:rPr>
            <w:rStyle w:val="Hyperlink"/>
          </w:rPr>
          <w:t xml:space="preserve">[10]</w:t>
        </w:r>
      </w:hyperlink>
      <w:hyperlink r:id="rId24">
        <w:r>
          <w:rPr>
            <w:rStyle w:val="Hyperlink"/>
          </w:rPr>
          <w:t xml:space="preserve">[26]</w:t>
        </w:r>
      </w:hyperlink>
      <w:r>
        <w:t xml:space="preserve">. FDA’s De Novo page explains that FDA publishes a decision summary for each granted De Novo, summarizing the evidence and establishing a new predicate device</w:t>
      </w:r>
      <w:hyperlink r:id="rId26">
        <w:r>
          <w:rPr>
            <w:rStyle w:val="Hyperlink"/>
          </w:rPr>
          <w:t xml:space="preserve">[6]</w:t>
        </w:r>
      </w:hyperlink>
      <w:r>
        <w:t xml:space="preserve">. We also leverage FDA’s device databases (Devices@FDA, product classification) as structured data sources</w:t>
      </w:r>
      <w:hyperlink r:id="rId46">
        <w:r>
          <w:rPr>
            <w:rStyle w:val="Hyperlink"/>
          </w:rPr>
          <w:t xml:space="preserve">[23]</w:t>
        </w:r>
      </w:hyperlink>
      <w:hyperlink r:id="rId36">
        <w:r>
          <w:rPr>
            <w:rStyle w:val="Hyperlink"/>
          </w:rPr>
          <w:t xml:space="preserve">[15]</w:t>
        </w:r>
      </w:hyperlink>
      <w:r>
        <w:t xml:space="preserve">. These sources guide the weighting and matching logic in our similarity scoring model.</w:t>
      </w:r>
    </w:p>
    <w:bookmarkEnd w:id="52"/>
    <w:bookmarkEnd w:id="53"/>
    <w:bookmarkEnd w:id="54"/>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Premarket Notification 510(k) | FDA</w:t>
      </w:r>
    </w:p>
    <w:p>
      <w:pPr>
        <w:pStyle w:val="BodyText"/>
      </w:pPr>
      <w:hyperlink r:id="rId55">
        <w:r>
          <w:rPr>
            <w:rStyle w:val="Hyperlink"/>
          </w:rPr>
          <w:t xml:space="preserve">https://www.fda.gov/medical-devices/premarket-submissions-selecting-and-preparing-correct-submission/premarket-notification-510k</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9">
        <w:r>
          <w:rPr>
            <w:rStyle w:val="Hyperlink"/>
          </w:rPr>
          <w:t xml:space="preserve">[18]</w:t>
        </w:r>
      </w:hyperlink>
      <w:r>
        <w:t xml:space="preserve"> </w:t>
      </w:r>
      <w:r>
        <w:t xml:space="preserve">Predicate device &amp; substantial equivalence</w:t>
      </w:r>
    </w:p>
    <w:p>
      <w:pPr>
        <w:pStyle w:val="BodyText"/>
      </w:pPr>
      <w:hyperlink r:id="rId56">
        <w:r>
          <w:rPr>
            <w:rStyle w:val="Hyperlink"/>
          </w:rPr>
          <w:t xml:space="preserve">https://blog.johner-institute.com/regulatory-affairs/predicate-device-substantial-equivalence/</w:t>
        </w:r>
      </w:hyperlink>
    </w:p>
    <w:p>
      <w:pPr>
        <w:pStyle w:val="BodyText"/>
      </w:pPr>
      <w:hyperlink r:id="rId24">
        <w:r>
          <w:rPr>
            <w:rStyle w:val="Hyperlink"/>
          </w:rPr>
          <w:t xml:space="preserve">[4]</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24">
        <w:r>
          <w:rPr>
            <w:rStyle w:val="Hyperlink"/>
          </w:rPr>
          <w:t xml:space="preserve">[26]</w:t>
        </w:r>
      </w:hyperlink>
      <w:r>
        <w:t xml:space="preserve"> </w:t>
      </w:r>
      <w:r>
        <w:t xml:space="preserve">FDA Issues Final Guidance on Evaluating Substantial Equivalence in 510(k) Submissions | Insights | Ropes &amp; Gray LLP</w:t>
      </w:r>
    </w:p>
    <w:p>
      <w:pPr>
        <w:pStyle w:val="BodyText"/>
      </w:pPr>
      <w:hyperlink r:id="rId57">
        <w:r>
          <w:rPr>
            <w:rStyle w:val="Hyperlink"/>
          </w:rPr>
          <w:t xml:space="preserve">https://www.ropesgray.com/en/insights/alerts/2014/08/fda-issues-final-guidance-on-evaluating-substantial-equivalence-in-510k-submissions</w:t>
        </w:r>
      </w:hyperlink>
    </w:p>
    <w:p>
      <w:pPr>
        <w:pStyle w:val="BodyText"/>
      </w:pPr>
      <w:hyperlink r:id="rId25">
        <w:r>
          <w:rPr>
            <w:rStyle w:val="Hyperlink"/>
          </w:rPr>
          <w:t xml:space="preserve">[5]</w:t>
        </w:r>
      </w:hyperlink>
      <w:r>
        <w:t xml:space="preserve"> </w:t>
      </w:r>
      <w:r>
        <w:t xml:space="preserve">PMA Application Contents | FDA</w:t>
      </w:r>
    </w:p>
    <w:p>
      <w:pPr>
        <w:pStyle w:val="BodyText"/>
      </w:pPr>
      <w:hyperlink r:id="rId58">
        <w:r>
          <w:rPr>
            <w:rStyle w:val="Hyperlink"/>
          </w:rPr>
          <w:t xml:space="preserve">https://www.fda.gov/medical-devices/premarket-approval-pma/pma-application-contents</w:t>
        </w:r>
      </w:hyperlink>
    </w:p>
    <w:p>
      <w:pPr>
        <w:pStyle w:val="BodyText"/>
      </w:pPr>
      <w:hyperlink r:id="rId26">
        <w:r>
          <w:rPr>
            <w:rStyle w:val="Hyperlink"/>
          </w:rPr>
          <w:t xml:space="preserve">[6]</w:t>
        </w:r>
      </w:hyperlink>
      <w:r>
        <w:t xml:space="preserve"> </w:t>
      </w:r>
      <w:hyperlink r:id="rId45">
        <w:r>
          <w:rPr>
            <w:rStyle w:val="Hyperlink"/>
          </w:rPr>
          <w:t xml:space="preserve">[22]</w:t>
        </w:r>
      </w:hyperlink>
      <w:r>
        <w:t xml:space="preserve"> </w:t>
      </w:r>
      <w:r>
        <w:t xml:space="preserve">De Novo Classification Request | FDA</w:t>
      </w:r>
    </w:p>
    <w:p>
      <w:pPr>
        <w:pStyle w:val="BodyText"/>
      </w:pPr>
      <w:hyperlink r:id="rId59">
        <w:r>
          <w:rPr>
            <w:rStyle w:val="Hyperlink"/>
          </w:rPr>
          <w:t xml:space="preserve">https://www.fda.gov/medical-devices/premarket-submissions-selecting-and-preparing-correct-submission/de-novo-classification-request</w:t>
        </w:r>
      </w:hyperlink>
    </w:p>
    <w:p>
      <w:pPr>
        <w:pStyle w:val="BodyText"/>
      </w:pPr>
      <w:hyperlink r:id="rId27">
        <w:r>
          <w:rPr>
            <w:rStyle w:val="Hyperlink"/>
          </w:rPr>
          <w:t xml:space="preserve">[7]</w:t>
        </w:r>
      </w:hyperlink>
      <w:r>
        <w:t xml:space="preserve"> </w:t>
      </w:r>
      <w:hyperlink r:id="rId32">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7">
        <w:r>
          <w:rPr>
            <w:rStyle w:val="Hyperlink"/>
          </w:rPr>
          <w:t xml:space="preserve">[16]</w:t>
        </w:r>
      </w:hyperlink>
      <w:r>
        <w:t xml:space="preserve"> </w:t>
      </w:r>
      <w:r>
        <w:t xml:space="preserve">Content of a 510(k) | FDA</w:t>
      </w:r>
    </w:p>
    <w:p>
      <w:pPr>
        <w:pStyle w:val="BodyText"/>
      </w:pPr>
      <w:hyperlink r:id="rId60">
        <w:r>
          <w:rPr>
            <w:rStyle w:val="Hyperlink"/>
          </w:rPr>
          <w:t xml:space="preserve">https://www.fda.gov/medical-devices/premarket-notification-510k/content-510k</w:t>
        </w:r>
      </w:hyperlink>
    </w:p>
    <w:p>
      <w:pPr>
        <w:pStyle w:val="BodyText"/>
      </w:pPr>
      <w:hyperlink r:id="rId36">
        <w:r>
          <w:rPr>
            <w:rStyle w:val="Hyperlink"/>
          </w:rPr>
          <w:t xml:space="preserve">[15]</w:t>
        </w:r>
      </w:hyperlink>
      <w:r>
        <w:t xml:space="preserve"> </w:t>
      </w:r>
      <w:hyperlink r:id="rId38">
        <w:r>
          <w:rPr>
            <w:rStyle w:val="Hyperlink"/>
          </w:rPr>
          <w:t xml:space="preserve">[17]</w:t>
        </w:r>
      </w:hyperlink>
      <w:r>
        <w:t xml:space="preserve"> </w:t>
      </w:r>
      <w:hyperlink r:id="rId40">
        <w:r>
          <w:rPr>
            <w:rStyle w:val="Hyperlink"/>
          </w:rPr>
          <w:t xml:space="preserve">[19]</w:t>
        </w:r>
      </w:hyperlink>
      <w:r>
        <w:t xml:space="preserve"> </w:t>
      </w:r>
      <w:hyperlink r:id="rId44">
        <w:r>
          <w:rPr>
            <w:rStyle w:val="Hyperlink"/>
          </w:rPr>
          <w:t xml:space="preserve">[21]</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r>
        <w:t xml:space="preserve">Medical Device Databases | FDA</w:t>
      </w:r>
    </w:p>
    <w:p>
      <w:pPr>
        <w:pStyle w:val="BodyText"/>
      </w:pPr>
      <w:hyperlink r:id="rId61">
        <w:r>
          <w:rPr>
            <w:rStyle w:val="Hyperlink"/>
          </w:rPr>
          <w:t xml:space="preserve">https://www.fda.gov/medical-devices/device-advice-comprehensive-regulatory-assistance/medical-device-databases</w:t>
        </w:r>
      </w:hyperlink>
    </w:p>
    <w:p>
      <w:pPr>
        <w:pStyle w:val="BodyText"/>
      </w:pPr>
      <w:hyperlink r:id="rId43">
        <w:r>
          <w:rPr>
            <w:rStyle w:val="Hyperlink"/>
          </w:rPr>
          <w:t xml:space="preserve">[20]</w:t>
        </w:r>
      </w:hyperlink>
      <w:r>
        <w:t xml:space="preserve"> </w:t>
      </w:r>
      <w:r>
        <w:t xml:space="preserve">Downloadable 510(k) Files | FDA</w:t>
      </w:r>
    </w:p>
    <w:p>
      <w:pPr>
        <w:pStyle w:val="BodyText"/>
      </w:pPr>
      <w:hyperlink r:id="rId62">
        <w:r>
          <w:rPr>
            <w:rStyle w:val="Hyperlink"/>
          </w:rPr>
          <w:t xml:space="preserve">https://www.fda.gov/medical-devices/510k-clearances/downloadable-510k-files</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blog.johner-institute.com/regulatory-affairs/predicate-device-substantial-equivalence/" TargetMode="External" /><Relationship Type="http://schemas.openxmlformats.org/officeDocument/2006/relationships/hyperlink" Id="rId39" Target="https://blog.johner-institute.com/regulatory-affairs/predicate-device-substantial-equivalence/#:~:text=%2A%20Application%20of%20well,the%20level%20of%20safety%20and" TargetMode="External" /><Relationship Type="http://schemas.openxmlformats.org/officeDocument/2006/relationships/hyperlink" Id="rId28" Target="https://blog.johner-institute.com/regulatory-affairs/predicate-device-substantial-equivalence/#:~:text=,However%2C%20this%20process%20can%20sometimes" TargetMode="External" /><Relationship Type="http://schemas.openxmlformats.org/officeDocument/2006/relationships/hyperlink" Id="rId29" Target="https://blog.johner-institute.com/regulatory-affairs/predicate-device-substantial-equivalence/#:~:text=First%2C%20manufacturers%20must%20demonstrate%20that,to%20a%20new%20intended%20use" TargetMode="External" /><Relationship Type="http://schemas.openxmlformats.org/officeDocument/2006/relationships/hyperlink" Id="rId22" Target="https://blog.johner-institute.com/regulatory-affairs/predicate-device-substantial-equivalence/#:~:text=Identical%20technological%20characteristics%20will%20rarely,algorithms%2C%20or%20design%20in%20general" TargetMode="External" /><Relationship Type="http://schemas.openxmlformats.org/officeDocument/2006/relationships/hyperlink" Id="rId62" Target="https://www.fda.gov/medical-devices/510k-clearances/downloadable-510k-files" TargetMode="External" /><Relationship Type="http://schemas.openxmlformats.org/officeDocument/2006/relationships/hyperlink" Id="rId43" Target="https://www.fda.gov/medical-devices/510k-clearances/downloadable-510k-files#:~:text=You%20can%20download%20any%20of,You%20can%20also%20%2044" TargetMode="External" /><Relationship Type="http://schemas.openxmlformats.org/officeDocument/2006/relationships/hyperlink" Id="rId61" Target="https://www.fda.gov/medical-devices/device-advice-comprehensive-regulatory-assistance/medical-device-databases" TargetMode="External" /><Relationship Type="http://schemas.openxmlformats.org/officeDocument/2006/relationships/hyperlink" Id="rId38" Target="https://www.fda.gov/medical-devices/device-advice-comprehensive-regulatory-assistance/medical-device-databases#:~:text=AccessGUDID%20,Daily%20More%20about%20GUDID" TargetMode="External" /><Relationship Type="http://schemas.openxmlformats.org/officeDocument/2006/relationships/hyperlink" Id="rId40" Target="https://www.fda.gov/medical-devices/device-advice-comprehensive-regulatory-assistance/medical-device-databases#:~:text=Devices%40FDA%20Devices%40FDA%20is%20a%20catalog,Weekly" TargetMode="External" /><Relationship Type="http://schemas.openxmlformats.org/officeDocument/2006/relationships/hyperlink" Id="rId46" Target="https://www.fda.gov/medical-devices/device-advice-comprehensive-regulatory-assistance/medical-device-databases#:~:text=Devices%40FDA%20Devices%40FDA%20is%20a%20catalog,the%20Mammography%20Quality%20Standards%20Act" TargetMode="External" /><Relationship Type="http://schemas.openxmlformats.org/officeDocument/2006/relationships/hyperlink" Id="rId47" Target="https://www.fda.gov/medical-devices/device-advice-comprehensive-regulatory-assistance/medical-device-databases#:~:text=Product%20Classification%20This%20database%20contains,about%20Product%20Code%20Classification%20Database" TargetMode="External" /><Relationship Type="http://schemas.openxmlformats.org/officeDocument/2006/relationships/hyperlink" Id="rId36" Target="https://www.fda.gov/medical-devices/device-advice-comprehensive-regulatory-assistance/medical-device-databases#:~:text=extent%20that%20its%20safety%20or,Weekly" TargetMode="External" /><Relationship Type="http://schemas.openxmlformats.org/officeDocument/2006/relationships/hyperlink" Id="rId48" Target="https://www.fda.gov/medical-devices/device-advice-comprehensive-regulatory-assistance/medical-device-databases#:~:text=information,CECV%29%20This" TargetMode="External" /><Relationship Type="http://schemas.openxmlformats.org/officeDocument/2006/relationships/hyperlink" Id="rId44" Target="https://www.fda.gov/medical-devices/device-advice-comprehensive-regulatory-assistance/medical-device-databases#:~:text=the%20applicant%20for%20marketing%20a,day%20PMA%20supplements%20relating%20to" TargetMode="External" /><Relationship Type="http://schemas.openxmlformats.org/officeDocument/2006/relationships/hyperlink" Id="rId58" Target="https://www.fda.gov/medical-devices/premarket-approval-pma/pma-application-contents" TargetMode="External" /><Relationship Type="http://schemas.openxmlformats.org/officeDocument/2006/relationships/hyperlink" Id="rId25" Target="https://www.fda.gov/medical-devices/premarket-approval-pma/pma-application-contents#:~:text=The%20SSED%20is%20an%20FDA,and%20effectiveness%20of%20the%20device" TargetMode="External" /><Relationship Type="http://schemas.openxmlformats.org/officeDocument/2006/relationships/hyperlink" Id="rId60" Target="https://www.fda.gov/medical-devices/premarket-notification-510k/content-510k" TargetMode="External" /><Relationship Type="http://schemas.openxmlformats.org/officeDocument/2006/relationships/hyperlink" Id="rId34" Target="https://www.fda.gov/medical-devices/premarket-notification-510k/content-510k#:~:text=,807.92%28a%29%285" TargetMode="External" /><Relationship Type="http://schemas.openxmlformats.org/officeDocument/2006/relationships/hyperlink" Id="rId35" Target="https://www.fda.gov/medical-devices/premarket-notification-510k/content-510k#:~:text=Prepare%20a%20Statement%20of%20Indications,the%20public%20on%20the%20Internet" TargetMode="External" /><Relationship Type="http://schemas.openxmlformats.org/officeDocument/2006/relationships/hyperlink" Id="rId27" Target="https://www.fda.gov/medical-devices/premarket-notification-510k/content-510k#:~:text=The%20device%20specifications%20are%20the,which%20you%20are%20claiming%20equivalency" TargetMode="External" /><Relationship Type="http://schemas.openxmlformats.org/officeDocument/2006/relationships/hyperlink" Id="rId37" Target="https://www.fda.gov/medical-devices/premarket-notification-510k/content-510k#:~:text=The%20summary%20includes%20the%20name,807.92%28a%29%282" TargetMode="External" /><Relationship Type="http://schemas.openxmlformats.org/officeDocument/2006/relationships/hyperlink" Id="rId32" Target="https://www.fda.gov/medical-devices/premarket-notification-510k/content-510k#:~:text=of%20clinical%20tests%20submitted%2C%20referenced%2C,k%29%20process" TargetMode="External" /><Relationship Type="http://schemas.openxmlformats.org/officeDocument/2006/relationships/hyperlink" Id="rId59" Target="https://www.fda.gov/medical-devices/premarket-submissions-selecting-and-preparing-correct-submission/de-novo-classification-request" TargetMode="External" /><Relationship Type="http://schemas.openxmlformats.org/officeDocument/2006/relationships/hyperlink" Id="rId26" Target="https://www.fda.gov/medical-devices/premarket-submissions-selecting-and-preparing-correct-submission/de-novo-classification-request#:~:text=The%20FDA%20has%20voluntarily%20published,the%20device%20as%20a%20predicate" TargetMode="External" /><Relationship Type="http://schemas.openxmlformats.org/officeDocument/2006/relationships/hyperlink" Id="rId45" Target="https://www.fda.gov/medical-devices/premarket-submissions-selecting-and-preparing-correct-submission/de-novo-classification-request#:~:text=scientific%20evidence%20that%20served%20as,the%20device%20as%20a%20predicate" TargetMode="External" /><Relationship Type="http://schemas.openxmlformats.org/officeDocument/2006/relationships/hyperlink" Id="rId55" Target="https://www.fda.gov/medical-devices/premarket-submissions-selecting-and-preparing-correct-submission/premarket-notification-510k" TargetMode="External" /><Relationship Type="http://schemas.openxmlformats.org/officeDocument/2006/relationships/hyperlink" Id="rId21" Target="https://www.fda.gov/medical-devices/premarket-submissions-selecting-and-preparing-correct-submission/premarket-notification-510k#:~:text=,as%20the%20legally%20marketed%20device" TargetMode="External" /><Relationship Type="http://schemas.openxmlformats.org/officeDocument/2006/relationships/hyperlink" Id="rId23" Target="https://www.fda.gov/medical-devices/premarket-submissions-selecting-and-preparing-correct-submission/premarket-notification-510k#:~:text=needs%20to%20be%20identical,biocompatibility%20evaluation%2C%20among%20other%20data" TargetMode="External" /><Relationship Type="http://schemas.openxmlformats.org/officeDocument/2006/relationships/hyperlink" Id="rId57" Target="https://www.ropesgray.com/en/insights/alerts/2014/08/fda-issues-final-guidance-on-evaluating-substantial-equivalence-in-510k-submissions" TargetMode="External" /><Relationship Type="http://schemas.openxmlformats.org/officeDocument/2006/relationships/hyperlink" Id="rId30" Target="https://www.ropesgray.com/en/insights/alerts/2014/08/fda-issues-final-guidance-on-evaluating-substantial-equivalence-in-510k-submissions#:~:text=Definitions%20of%20%E2%80%9Cintended%20use%E2%80%9D%20and,some%20cases%2C%20be%20determined%20by" TargetMode="External" /><Relationship Type="http://schemas.openxmlformats.org/officeDocument/2006/relationships/hyperlink" Id="rId31" Target="https://www.ropesgray.com/en/insights/alerts/2014/08/fda-issues-final-guidance-on-evaluating-substantial-equivalence-in-510k-submissions#:~:text=Determining%20whether%20differences%20in%20technological,and%20effectiveness%E2%80%9D%20is%20a%20question" TargetMode="External" /><Relationship Type="http://schemas.openxmlformats.org/officeDocument/2006/relationships/hyperlink" Id="rId24" Target="https://www.ropesgray.com/en/insights/alerts/2014/08/fda-issues-final-guidance-on-evaluating-substantial-equivalence-in-510k-submissions#:~:text=FDA%20applies%20the%20statutory%20%E2%80%9Cleast,clinical%20performance%20data%20if%20required" TargetMode="External" /></Relationships>
</file>

<file path=word/_rels/footnotes.xml.rels><?xml version="1.0" encoding="UTF-8"?><Relationships xmlns="http://schemas.openxmlformats.org/package/2006/relationships"><Relationship Type="http://schemas.openxmlformats.org/officeDocument/2006/relationships/hyperlink" Id="rId56" Target="https://blog.johner-institute.com/regulatory-affairs/predicate-device-substantial-equivalence/" TargetMode="External" /><Relationship Type="http://schemas.openxmlformats.org/officeDocument/2006/relationships/hyperlink" Id="rId39" Target="https://blog.johner-institute.com/regulatory-affairs/predicate-device-substantial-equivalence/#:~:text=%2A%20Application%20of%20well,the%20level%20of%20safety%20and" TargetMode="External" /><Relationship Type="http://schemas.openxmlformats.org/officeDocument/2006/relationships/hyperlink" Id="rId28" Target="https://blog.johner-institute.com/regulatory-affairs/predicate-device-substantial-equivalence/#:~:text=,However%2C%20this%20process%20can%20sometimes" TargetMode="External" /><Relationship Type="http://schemas.openxmlformats.org/officeDocument/2006/relationships/hyperlink" Id="rId29" Target="https://blog.johner-institute.com/regulatory-affairs/predicate-device-substantial-equivalence/#:~:text=First%2C%20manufacturers%20must%20demonstrate%20that,to%20a%20new%20intended%20use" TargetMode="External" /><Relationship Type="http://schemas.openxmlformats.org/officeDocument/2006/relationships/hyperlink" Id="rId22" Target="https://blog.johner-institute.com/regulatory-affairs/predicate-device-substantial-equivalence/#:~:text=Identical%20technological%20characteristics%20will%20rarely,algorithms%2C%20or%20design%20in%20general" TargetMode="External" /><Relationship Type="http://schemas.openxmlformats.org/officeDocument/2006/relationships/hyperlink" Id="rId62" Target="https://www.fda.gov/medical-devices/510k-clearances/downloadable-510k-files" TargetMode="External" /><Relationship Type="http://schemas.openxmlformats.org/officeDocument/2006/relationships/hyperlink" Id="rId43" Target="https://www.fda.gov/medical-devices/510k-clearances/downloadable-510k-files#:~:text=You%20can%20download%20any%20of,You%20can%20also%20%2044" TargetMode="External" /><Relationship Type="http://schemas.openxmlformats.org/officeDocument/2006/relationships/hyperlink" Id="rId61" Target="https://www.fda.gov/medical-devices/device-advice-comprehensive-regulatory-assistance/medical-device-databases" TargetMode="External" /><Relationship Type="http://schemas.openxmlformats.org/officeDocument/2006/relationships/hyperlink" Id="rId38" Target="https://www.fda.gov/medical-devices/device-advice-comprehensive-regulatory-assistance/medical-device-databases#:~:text=AccessGUDID%20,Daily%20More%20about%20GUDID" TargetMode="External" /><Relationship Type="http://schemas.openxmlformats.org/officeDocument/2006/relationships/hyperlink" Id="rId40" Target="https://www.fda.gov/medical-devices/device-advice-comprehensive-regulatory-assistance/medical-device-databases#:~:text=Devices%40FDA%20Devices%40FDA%20is%20a%20catalog,Weekly" TargetMode="External" /><Relationship Type="http://schemas.openxmlformats.org/officeDocument/2006/relationships/hyperlink" Id="rId46" Target="https://www.fda.gov/medical-devices/device-advice-comprehensive-regulatory-assistance/medical-device-databases#:~:text=Devices%40FDA%20Devices%40FDA%20is%20a%20catalog,the%20Mammography%20Quality%20Standards%20Act" TargetMode="External" /><Relationship Type="http://schemas.openxmlformats.org/officeDocument/2006/relationships/hyperlink" Id="rId47" Target="https://www.fda.gov/medical-devices/device-advice-comprehensive-regulatory-assistance/medical-device-databases#:~:text=Product%20Classification%20This%20database%20contains,about%20Product%20Code%20Classification%20Database" TargetMode="External" /><Relationship Type="http://schemas.openxmlformats.org/officeDocument/2006/relationships/hyperlink" Id="rId36" Target="https://www.fda.gov/medical-devices/device-advice-comprehensive-regulatory-assistance/medical-device-databases#:~:text=extent%20that%20its%20safety%20or,Weekly" TargetMode="External" /><Relationship Type="http://schemas.openxmlformats.org/officeDocument/2006/relationships/hyperlink" Id="rId48" Target="https://www.fda.gov/medical-devices/device-advice-comprehensive-regulatory-assistance/medical-device-databases#:~:text=information,CECV%29%20This" TargetMode="External" /><Relationship Type="http://schemas.openxmlformats.org/officeDocument/2006/relationships/hyperlink" Id="rId44" Target="https://www.fda.gov/medical-devices/device-advice-comprehensive-regulatory-assistance/medical-device-databases#:~:text=the%20applicant%20for%20marketing%20a,day%20PMA%20supplements%20relating%20to" TargetMode="External" /><Relationship Type="http://schemas.openxmlformats.org/officeDocument/2006/relationships/hyperlink" Id="rId58" Target="https://www.fda.gov/medical-devices/premarket-approval-pma/pma-application-contents" TargetMode="External" /><Relationship Type="http://schemas.openxmlformats.org/officeDocument/2006/relationships/hyperlink" Id="rId25" Target="https://www.fda.gov/medical-devices/premarket-approval-pma/pma-application-contents#:~:text=The%20SSED%20is%20an%20FDA,and%20effectiveness%20of%20the%20device" TargetMode="External" /><Relationship Type="http://schemas.openxmlformats.org/officeDocument/2006/relationships/hyperlink" Id="rId60" Target="https://www.fda.gov/medical-devices/premarket-notification-510k/content-510k" TargetMode="External" /><Relationship Type="http://schemas.openxmlformats.org/officeDocument/2006/relationships/hyperlink" Id="rId34" Target="https://www.fda.gov/medical-devices/premarket-notification-510k/content-510k#:~:text=,807.92%28a%29%285" TargetMode="External" /><Relationship Type="http://schemas.openxmlformats.org/officeDocument/2006/relationships/hyperlink" Id="rId35" Target="https://www.fda.gov/medical-devices/premarket-notification-510k/content-510k#:~:text=Prepare%20a%20Statement%20of%20Indications,the%20public%20on%20the%20Internet" TargetMode="External" /><Relationship Type="http://schemas.openxmlformats.org/officeDocument/2006/relationships/hyperlink" Id="rId27" Target="https://www.fda.gov/medical-devices/premarket-notification-510k/content-510k#:~:text=The%20device%20specifications%20are%20the,which%20you%20are%20claiming%20equivalency" TargetMode="External" /><Relationship Type="http://schemas.openxmlformats.org/officeDocument/2006/relationships/hyperlink" Id="rId37" Target="https://www.fda.gov/medical-devices/premarket-notification-510k/content-510k#:~:text=The%20summary%20includes%20the%20name,807.92%28a%29%282" TargetMode="External" /><Relationship Type="http://schemas.openxmlformats.org/officeDocument/2006/relationships/hyperlink" Id="rId32" Target="https://www.fda.gov/medical-devices/premarket-notification-510k/content-510k#:~:text=of%20clinical%20tests%20submitted%2C%20referenced%2C,k%29%20process" TargetMode="External" /><Relationship Type="http://schemas.openxmlformats.org/officeDocument/2006/relationships/hyperlink" Id="rId59" Target="https://www.fda.gov/medical-devices/premarket-submissions-selecting-and-preparing-correct-submission/de-novo-classification-request" TargetMode="External" /><Relationship Type="http://schemas.openxmlformats.org/officeDocument/2006/relationships/hyperlink" Id="rId26" Target="https://www.fda.gov/medical-devices/premarket-submissions-selecting-and-preparing-correct-submission/de-novo-classification-request#:~:text=The%20FDA%20has%20voluntarily%20published,the%20device%20as%20a%20predicate" TargetMode="External" /><Relationship Type="http://schemas.openxmlformats.org/officeDocument/2006/relationships/hyperlink" Id="rId45" Target="https://www.fda.gov/medical-devices/premarket-submissions-selecting-and-preparing-correct-submission/de-novo-classification-request#:~:text=scientific%20evidence%20that%20served%20as,the%20device%20as%20a%20predicate" TargetMode="External" /><Relationship Type="http://schemas.openxmlformats.org/officeDocument/2006/relationships/hyperlink" Id="rId55" Target="https://www.fda.gov/medical-devices/premarket-submissions-selecting-and-preparing-correct-submission/premarket-notification-510k" TargetMode="External" /><Relationship Type="http://schemas.openxmlformats.org/officeDocument/2006/relationships/hyperlink" Id="rId21" Target="https://www.fda.gov/medical-devices/premarket-submissions-selecting-and-preparing-correct-submission/premarket-notification-510k#:~:text=,as%20the%20legally%20marketed%20device" TargetMode="External" /><Relationship Type="http://schemas.openxmlformats.org/officeDocument/2006/relationships/hyperlink" Id="rId23" Target="https://www.fda.gov/medical-devices/premarket-submissions-selecting-and-preparing-correct-submission/premarket-notification-510k#:~:text=needs%20to%20be%20identical,biocompatibility%20evaluation%2C%20among%20other%20data" TargetMode="External" /><Relationship Type="http://schemas.openxmlformats.org/officeDocument/2006/relationships/hyperlink" Id="rId57" Target="https://www.ropesgray.com/en/insights/alerts/2014/08/fda-issues-final-guidance-on-evaluating-substantial-equivalence-in-510k-submissions" TargetMode="External" /><Relationship Type="http://schemas.openxmlformats.org/officeDocument/2006/relationships/hyperlink" Id="rId30" Target="https://www.ropesgray.com/en/insights/alerts/2014/08/fda-issues-final-guidance-on-evaluating-substantial-equivalence-in-510k-submissions#:~:text=Definitions%20of%20%E2%80%9Cintended%20use%E2%80%9D%20and,some%20cases%2C%20be%20determined%20by" TargetMode="External" /><Relationship Type="http://schemas.openxmlformats.org/officeDocument/2006/relationships/hyperlink" Id="rId31" Target="https://www.ropesgray.com/en/insights/alerts/2014/08/fda-issues-final-guidance-on-evaluating-substantial-equivalence-in-510k-submissions#:~:text=Determining%20whether%20differences%20in%20technological,and%20effectiveness%E2%80%9D%20is%20a%20question" TargetMode="External" /><Relationship Type="http://schemas.openxmlformats.org/officeDocument/2006/relationships/hyperlink" Id="rId24" Target="https://www.ropesgray.com/en/insights/alerts/2014/08/fda-issues-final-guidance-on-evaluating-substantial-equivalence-in-510k-submissions#:~:text=FDA%20applies%20the%20statutory%20%E2%80%9Cleast,clinical%20performance%20data%20if%20requir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2026-04-09T04:16:51Z</dcterms:created>
  <dcterms:modified xsi:type="dcterms:W3CDTF">2026-04-09T04:16:51Z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