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Faculdade de Ciências Aplicadas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Mestrado em Engenharia de Dados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24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programa DE Unidade curricular </w:t>
      </w:r>
    </w:p>
    <w:tbl>
      <w:tblPr>
        <w:tblW w:w="98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7"/>
        <w:gridCol w:w="2462"/>
        <w:gridCol w:w="294"/>
        <w:gridCol w:w="1732"/>
        <w:gridCol w:w="2759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Ano lectivo</w:t>
            </w:r>
          </w:p>
        </w:tc>
        <w:tc>
          <w:tcPr>
            <w:tcW w:type="dxa" w:w="275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2026/2027</w:t>
            </w:r>
          </w:p>
        </w:tc>
        <w:tc>
          <w:tcPr>
            <w:tcW w:type="dxa" w:w="1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Semestre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1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digo da unidade curricular 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MSBD5001-131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da unidade curricular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Aprendizagem Automática Avançada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-requisitos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Não tem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L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ngua veicular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Português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ditos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45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de docente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LEONG Hou U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E-mail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lecturer@mpu.edu.mo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Gabinete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M505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N.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de contacto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8599-0000</w:t>
            </w:r>
          </w:p>
        </w:tc>
      </w:tr>
    </w:tbl>
    <w:p>
      <w:pPr>
        <w:pStyle w:val="內文"/>
        <w:widowControl w:val="0"/>
        <w:spacing w:after="240" w:line="240" w:lineRule="auto"/>
        <w:jc w:val="center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sobre esta unidade curricular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Resultados de estudo previstos da unidade curricular / disciplina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Conclu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da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seguintes resultados de estudo previstos: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4"/>
        <w:gridCol w:w="9150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</w:tr>
    </w:tbl>
    <w:p>
      <w:pPr>
        <w:pStyle w:val="內文"/>
        <w:widowControl w:val="0"/>
        <w:spacing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Os resultados de estudo previstos contribuem para os alunos obterem os seguintes objetivos previstos para o Curso do estudo: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91"/>
        <w:gridCol w:w="625"/>
        <w:gridCol w:w="627"/>
        <w:gridCol w:w="630"/>
        <w:gridCol w:w="627"/>
        <w:gridCol w:w="627"/>
        <w:gridCol w:w="627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do Curso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清單段落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lang w:val="pt-PT"/>
              </w:rPr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Calendariza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 do ensino e aprendizagem, conte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ú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dos e volume de estudo 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2"/>
        <w:gridCol w:w="7252"/>
        <w:gridCol w:w="1590"/>
      </w:tblGrid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Semana</w:t>
            </w:r>
          </w:p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Conte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ú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do abrangido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Actividades de ensino e aprendizagem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Frequentando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resultados de estudo previstos atrav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s das seguintes actividades de ensino e aprendizagem: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55"/>
        <w:gridCol w:w="613"/>
        <w:gridCol w:w="613"/>
        <w:gridCol w:w="614"/>
        <w:gridCol w:w="613"/>
        <w:gridCol w:w="613"/>
        <w:gridCol w:w="611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ensino e aprendizagem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Requisitos de assiduidade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 xml:space="preserve">Os requisitos de assiduidade são cumpridos de acordo com «Regulamento Pedagógico dos Cursos Conferentes do Grau de Mestre»; para os alunos que não preenchem os requisitos, a classificação da respectiva unidade curricular será considerada com a menção de “f” (não aproveitamento).</w:t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rio de avalia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Para a frequ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ncia desta unidade curricular / disciplina, os alunos devem completar as seguintes actividades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44"/>
        <w:gridCol w:w="1740"/>
        <w:gridCol w:w="2170"/>
      </w:tblGrid>
      <w:tr>
        <w:tblPrEx>
          <w:shd w:val="clear" w:color="auto" w:fill="ced7e7"/>
        </w:tblPrEx>
        <w:trPr>
          <w:trHeight w:val="8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Propor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 (%)</w:t>
            </w:r>
          </w:p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em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 crit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rio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 xml:space="preserve">o </w:t>
      </w:r>
      <w:r>
        <w:rPr>
          <w:sz w:val="24"/>
          <w:szCs w:val="24"/>
          <w:rtl w:val="0"/>
          <w:lang w:val="pt-PT"/>
        </w:rPr>
        <w:t xml:space="preserve">é </w:t>
      </w:r>
      <w:r>
        <w:rPr>
          <w:sz w:val="24"/>
          <w:szCs w:val="24"/>
          <w:rtl w:val="0"/>
          <w:lang w:val="pt-PT"/>
        </w:rPr>
        <w:t xml:space="preserve">correspondente </w:t>
      </w:r>
      <w:r>
        <w:rPr>
          <w:sz w:val="24"/>
          <w:szCs w:val="24"/>
          <w:rtl w:val="0"/>
          <w:lang w:val="pt-PT"/>
        </w:rPr>
        <w:t>à “</w:t>
      </w:r>
      <w:r>
        <w:rPr>
          <w:sz w:val="24"/>
          <w:szCs w:val="24"/>
          <w:rtl w:val="0"/>
          <w:lang w:val="pt-PT"/>
        </w:rPr>
        <w:t>Estrat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gia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</w:t>
      </w:r>
      <w:r>
        <w:rPr>
          <w:sz w:val="24"/>
          <w:szCs w:val="24"/>
          <w:rtl w:val="0"/>
          <w:lang w:val="pt-PT"/>
        </w:rPr>
        <w:t xml:space="preserve">” </w:t>
      </w:r>
      <w:r>
        <w:rPr>
          <w:sz w:val="24"/>
          <w:szCs w:val="24"/>
          <w:rtl w:val="0"/>
          <w:lang w:val="pt-PT"/>
        </w:rPr>
        <w:t>da Universidade (vide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"https://www.mpu.edu.mo/en/teaching-and-learning-centre/quality-framework/student_assessment_and_examinations/assessment_strategy"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https://www.mpu.edu.mo/en/teaching-and-learning-centre/quality-framework/student_assessment_and_examinations/assessment_strategy</w:t>
      </w:r>
      <w:r>
        <w:rPr>
          <w:lang w:val="pt-PT"/>
        </w:rPr>
        <w:fldChar w:fldCharType="end" w:fldLock="0"/>
      </w:r>
      <w:r>
        <w:rPr>
          <w:rStyle w:val="None"/>
          <w:rtl w:val="0"/>
          <w:lang w:val="pt-PT"/>
        </w:rPr>
        <w:t>). O</w:t>
      </w:r>
      <w:r>
        <w:rPr>
          <w:rStyle w:val="None"/>
          <w:sz w:val="24"/>
          <w:szCs w:val="24"/>
          <w:rtl w:val="0"/>
          <w:lang w:val="pt-PT"/>
        </w:rPr>
        <w:t xml:space="preserve"> “</w:t>
      </w:r>
      <w:r>
        <w:rPr>
          <w:rStyle w:val="None"/>
          <w:sz w:val="24"/>
          <w:szCs w:val="24"/>
          <w:rtl w:val="0"/>
          <w:lang w:val="pt-PT"/>
        </w:rPr>
        <w:t>aproveitamento</w:t>
      </w:r>
      <w:r>
        <w:rPr>
          <w:rStyle w:val="None"/>
          <w:sz w:val="24"/>
          <w:szCs w:val="24"/>
          <w:rtl w:val="0"/>
          <w:lang w:val="pt-PT"/>
        </w:rPr>
        <w:t xml:space="preserve">” </w:t>
      </w:r>
      <w:r>
        <w:rPr>
          <w:rStyle w:val="None"/>
          <w:sz w:val="24"/>
          <w:szCs w:val="24"/>
          <w:rtl w:val="0"/>
          <w:lang w:val="pt-PT"/>
        </w:rPr>
        <w:t>na classifica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significa que os alunos atingiram os resultados de estudo previstos para esta unidade curricular / disciplina e podem obter os respectivos cr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 xml:space="preserve">ditos. 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de classifica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left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Qualquer aluno que obtenha menos de 35% no exame final terá de se submeter ao exame suplementar, independentemente da nota final.</w:t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Bibliografia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Refer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ê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ncias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Coment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á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dos alunos</w:t>
      </w:r>
    </w:p>
    <w:p>
      <w:pPr>
        <w:pStyle w:val="內文"/>
        <w:spacing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No final do semestre, os alunos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ser convidados a apresentar os seus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atrav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s do preenchimento dos inqu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ritos sobre as unidades curriculares e as respectivas disposi</w:t>
      </w:r>
      <w:r>
        <w:rPr>
          <w:rStyle w:val="None"/>
          <w:sz w:val="24"/>
          <w:szCs w:val="24"/>
          <w:rtl w:val="0"/>
          <w:lang w:val="pt-PT"/>
        </w:rPr>
        <w:t>çõ</w:t>
      </w:r>
      <w:r>
        <w:rPr>
          <w:rStyle w:val="None"/>
          <w:sz w:val="24"/>
          <w:szCs w:val="24"/>
          <w:rtl w:val="0"/>
          <w:lang w:val="pt-PT"/>
        </w:rPr>
        <w:t>es pedag</w:t>
      </w:r>
      <w:r>
        <w:rPr>
          <w:rStyle w:val="None"/>
          <w:sz w:val="24"/>
          <w:szCs w:val="24"/>
          <w:rtl w:val="0"/>
          <w:lang w:val="pt-PT"/>
        </w:rPr>
        <w:t>ó</w:t>
      </w:r>
      <w:r>
        <w:rPr>
          <w:rStyle w:val="None"/>
          <w:sz w:val="24"/>
          <w:szCs w:val="24"/>
          <w:rtl w:val="0"/>
          <w:lang w:val="pt-PT"/>
        </w:rPr>
        <w:t>gicas. As suas opini</w:t>
      </w:r>
      <w:r>
        <w:rPr>
          <w:rStyle w:val="None"/>
          <w:sz w:val="24"/>
          <w:szCs w:val="24"/>
          <w:rtl w:val="0"/>
          <w:lang w:val="pt-PT"/>
        </w:rPr>
        <w:t>õ</w:t>
      </w:r>
      <w:r>
        <w:rPr>
          <w:rStyle w:val="None"/>
          <w:sz w:val="24"/>
          <w:szCs w:val="24"/>
          <w:rtl w:val="0"/>
          <w:lang w:val="pt-PT"/>
        </w:rPr>
        <w:t>es preciosas ajudam na melhoria do conte</w:t>
      </w:r>
      <w:r>
        <w:rPr>
          <w:rStyle w:val="None"/>
          <w:sz w:val="24"/>
          <w:szCs w:val="24"/>
          <w:rtl w:val="0"/>
          <w:lang w:val="pt-PT"/>
        </w:rPr>
        <w:t>ú</w:t>
      </w:r>
      <w:r>
        <w:rPr>
          <w:rStyle w:val="None"/>
          <w:sz w:val="24"/>
          <w:szCs w:val="24"/>
          <w:rtl w:val="0"/>
          <w:lang w:val="pt-PT"/>
        </w:rPr>
        <w:t>do das unidades curriculares e das formas de ensino. Os docentes e os coordenadores do Curso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considerar todos os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apresentados e, na ocasi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 revis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anual do Curso,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dar respostas com um plano de ac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a tomar em seguida.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Integridade acad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mica</w:t>
      </w:r>
    </w:p>
    <w:p>
      <w:pPr>
        <w:pStyle w:val="內文"/>
        <w:spacing w:after="240"/>
        <w:jc w:val="both"/>
      </w:pP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A UPM exige aos seus alunos o cumprimento rigoroso das regras de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na realiza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investiga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e outras actividades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micas. As formas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da integridade e fraude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incluem, mas 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se limitam, a pl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á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gio, conluio de fraude, falsifica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ou adultera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o, reutiliza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trabalhos e fraude em exame, sendo igualmente considerados actos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grave da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mica, podendo os mesmos resultar em san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es disciplinares. Os alunos devem consultar os regulamentos e orienta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es constantes no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“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Manual de Aluno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”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, o qual deve ser atribu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do aquando do acesso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à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Universidade, tamb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 sendo poss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vel consultar a vers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o digital do mesmo no site: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"https://mpusite.mpu.edu.mo/studenthandbook/"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https://mpusite.mpu.edu.mo/studenthandbook/</w:t>
      </w:r>
      <w:r>
        <w:rPr>
          <w:lang w:val="pt-PT"/>
        </w:rPr>
        <w:fldChar w:fldCharType="end" w:fldLock="0"/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843" w:right="1134" w:bottom="1134" w:left="1134" w:header="426" w:footer="71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Wingdings 2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尾"/>
    </w:pPr>
    <w:r>
      <w:rPr>
        <w:sz w:val="20"/>
        <w:szCs w:val="20"/>
        <w:rtl w:val="0"/>
        <w:lang w:val="en-US"/>
      </w:rPr>
      <w:t>MPU-LMO-P-v02(2023/06)</w:t>
      <w:tab/>
    </w:r>
    <w:r>
      <w:rPr>
        <w:sz w:val="20"/>
        <w:szCs w:val="20"/>
        <w:rtl w:val="0"/>
      </w:rPr>
      <w:fldChar w:fldCharType="begin" w:fldLock="0"/>
    </w:r>
    <w:r>
      <w:rPr>
        <w:sz w:val="20"/>
        <w:szCs w:val="20"/>
        <w:rtl w:val="0"/>
      </w:rPr>
      <w:instrText xml:space="preserve"> PAGE </w:instrText>
    </w:r>
    <w:r>
      <w:rPr>
        <w:sz w:val="20"/>
        <w:szCs w:val="20"/>
        <w:rtl w:val="0"/>
      </w:rPr>
      <w:fldChar w:fldCharType="separate" w:fldLock="0"/>
    </w:r>
    <w:r>
      <w:rPr>
        <w:sz w:val="20"/>
        <w:szCs w:val="20"/>
        <w:rtl w:val="0"/>
      </w:rPr>
    </w:r>
    <w:r>
      <w:rPr>
        <w:sz w:val="20"/>
        <w:szCs w:val="20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723900</wp:posOffset>
          </wp:positionH>
          <wp:positionV relativeFrom="page">
            <wp:posOffset>352424</wp:posOffset>
          </wp:positionV>
          <wp:extent cx="2609850" cy="742950"/>
          <wp:effectExtent l="0" t="0" r="0" b="0"/>
          <wp:wrapNone/>
          <wp:docPr id="1073741825" name="officeArt object" descr="imag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.png" descr="image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 l="0" t="0" r="1240" b="0"/>
                  <a:stretch>
                    <a:fillRect/>
                  </a:stretch>
                </pic:blipFill>
                <pic:spPr>
                  <a:xfrm>
                    <a:off x="0" y="0"/>
                    <a:ext cx="2609850" cy="7429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45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1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9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1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33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05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9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21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">
    <w:name w:val="頁首"/>
    <w:next w:val="頁首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頁尾">
    <w:name w:val="頁尾"/>
    <w:next w:val="頁尾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清單段落">
    <w:name w:val="清單段落"/>
    <w:next w:val="清單段落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563c1"/>
      <w:u w:val="single" w:color="0563c1"/>
      <w:lang w:val="pt-PT"/>
      <w14:textFill>
        <w14:solidFill>
          <w14:srgbClr w14:val="0563C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