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2"/>
        <w:gridCol w:w="2262"/>
        <w:gridCol w:w="2262"/>
      </w:tblGrid>
      <w:tr w:rsidR="00FB2DBA" w14:paraId="544936A6" w14:textId="77777777" w:rsidTr="00FB2DBA">
        <w:trPr>
          <w:trHeight w:val="440"/>
        </w:trPr>
        <w:tc>
          <w:tcPr>
            <w:tcW w:w="2564" w:type="dxa"/>
            <w:vAlign w:val="center"/>
          </w:tcPr>
          <w:p w14:paraId="67F1BDBB" w14:textId="4054E038" w:rsidR="00FB2DBA" w:rsidRPr="00FB2DBA" w:rsidRDefault="00FB2DBA" w:rsidP="00FB2DBA">
            <w:pPr>
              <w:rPr>
                <w:b/>
                <w:bCs/>
              </w:rPr>
            </w:pPr>
            <w:r w:rsidRPr="00FB2DBA">
              <w:rPr>
                <w:b/>
                <w:bCs/>
              </w:rPr>
              <w:t>Parameter</w:t>
            </w:r>
          </w:p>
        </w:tc>
        <w:tc>
          <w:tcPr>
            <w:tcW w:w="2262" w:type="dxa"/>
            <w:vAlign w:val="center"/>
          </w:tcPr>
          <w:p w14:paraId="1F4F04C5" w14:textId="0FADEEB0" w:rsidR="00FB2DBA" w:rsidRPr="00FB2DBA" w:rsidRDefault="00FB2DBA" w:rsidP="00FB2DBA">
            <w:pPr>
              <w:rPr>
                <w:b/>
                <w:bCs/>
              </w:rPr>
            </w:pPr>
            <w:r w:rsidRPr="00FB2DBA">
              <w:rPr>
                <w:b/>
                <w:bCs/>
              </w:rPr>
              <w:t>Cost-effectiveness</w:t>
            </w:r>
          </w:p>
        </w:tc>
        <w:tc>
          <w:tcPr>
            <w:tcW w:w="2262" w:type="dxa"/>
            <w:vAlign w:val="center"/>
          </w:tcPr>
          <w:p w14:paraId="4008AD90" w14:textId="1F07A32D" w:rsidR="00FB2DBA" w:rsidRPr="00FB2DBA" w:rsidRDefault="00FB2DBA" w:rsidP="00FB2DBA">
            <w:pPr>
              <w:rPr>
                <w:b/>
                <w:bCs/>
              </w:rPr>
            </w:pPr>
            <w:r w:rsidRPr="00FB2DBA">
              <w:rPr>
                <w:b/>
                <w:bCs/>
              </w:rPr>
              <w:t>Epi rate of decline</w:t>
            </w:r>
          </w:p>
        </w:tc>
        <w:tc>
          <w:tcPr>
            <w:tcW w:w="2262" w:type="dxa"/>
            <w:vAlign w:val="center"/>
          </w:tcPr>
          <w:p w14:paraId="27F7461B" w14:textId="79412181" w:rsidR="00FB2DBA" w:rsidRPr="00FB2DBA" w:rsidRDefault="00FB2DBA" w:rsidP="00FB2DBA">
            <w:pPr>
              <w:rPr>
                <w:b/>
                <w:bCs/>
              </w:rPr>
            </w:pPr>
            <w:r w:rsidRPr="00FB2DBA">
              <w:rPr>
                <w:b/>
                <w:bCs/>
              </w:rPr>
              <w:t>Pathway</w:t>
            </w:r>
            <w:r>
              <w:rPr>
                <w:b/>
                <w:bCs/>
              </w:rPr>
              <w:t xml:space="preserve"> analysis</w:t>
            </w:r>
          </w:p>
        </w:tc>
      </w:tr>
      <w:tr w:rsidR="00FB2DBA" w14:paraId="447648B1" w14:textId="77777777" w:rsidTr="00FB2DBA">
        <w:trPr>
          <w:trHeight w:val="1520"/>
        </w:trPr>
        <w:tc>
          <w:tcPr>
            <w:tcW w:w="2564" w:type="dxa"/>
            <w:vAlign w:val="center"/>
          </w:tcPr>
          <w:p w14:paraId="18A616BC" w14:textId="5C7782D5" w:rsidR="00FB2DBA" w:rsidRDefault="00FB2DBA" w:rsidP="00FB2DBA">
            <w:r>
              <w:t>Objective of analysis</w:t>
            </w:r>
          </w:p>
        </w:tc>
        <w:tc>
          <w:tcPr>
            <w:tcW w:w="2262" w:type="dxa"/>
            <w:vAlign w:val="center"/>
          </w:tcPr>
          <w:p w14:paraId="36C2EC9C" w14:textId="57E7BC95" w:rsidR="00FB2DBA" w:rsidRDefault="00FB2DBA" w:rsidP="00FB2DBA">
            <w:r>
              <w:t>One-at-a-time cost-effectiveness ratios of clinical interventions</w:t>
            </w:r>
          </w:p>
        </w:tc>
        <w:tc>
          <w:tcPr>
            <w:tcW w:w="2262" w:type="dxa"/>
            <w:vAlign w:val="center"/>
          </w:tcPr>
          <w:p w14:paraId="6EFBECFE" w14:textId="70613144" w:rsidR="00FB2DBA" w:rsidRDefault="00FB2DBA" w:rsidP="00FB2DBA">
            <w:r>
              <w:t>Joint effects of all interventions on cause-specific mortality in ideal circumstances</w:t>
            </w:r>
          </w:p>
        </w:tc>
        <w:tc>
          <w:tcPr>
            <w:tcW w:w="2262" w:type="dxa"/>
            <w:vAlign w:val="center"/>
          </w:tcPr>
          <w:p w14:paraId="51BFC1AF" w14:textId="7F089119" w:rsidR="00FB2DBA" w:rsidRDefault="00FB2DBA" w:rsidP="00FB2DBA">
            <w:r>
              <w:t>Joint effects of interventions, sequenced by cost-effectiveness, on aggregate 40q30</w:t>
            </w:r>
          </w:p>
        </w:tc>
      </w:tr>
      <w:tr w:rsidR="00FB2DBA" w14:paraId="3C336F90" w14:textId="77777777" w:rsidTr="00FB2DBA">
        <w:tc>
          <w:tcPr>
            <w:tcW w:w="2564" w:type="dxa"/>
            <w:vAlign w:val="center"/>
          </w:tcPr>
          <w:p w14:paraId="495E6B37" w14:textId="47856138" w:rsidR="00FB2DBA" w:rsidRDefault="00FB2DBA" w:rsidP="00FB2DBA">
            <w:r>
              <w:t>Inclusion of intersectoral policies?</w:t>
            </w:r>
          </w:p>
        </w:tc>
        <w:tc>
          <w:tcPr>
            <w:tcW w:w="2262" w:type="dxa"/>
            <w:vAlign w:val="center"/>
          </w:tcPr>
          <w:p w14:paraId="46440355" w14:textId="065BEBDD" w:rsidR="00FB2DBA" w:rsidRDefault="00FB2DBA" w:rsidP="00FB2DBA">
            <w:r>
              <w:t>No (only looks at clinical interventions one-at-a-time)</w:t>
            </w:r>
          </w:p>
        </w:tc>
        <w:tc>
          <w:tcPr>
            <w:tcW w:w="2262" w:type="dxa"/>
            <w:vAlign w:val="center"/>
          </w:tcPr>
          <w:p w14:paraId="3A40B25D" w14:textId="0DA1E2B0" w:rsidR="00FB2DBA" w:rsidRDefault="00FB2DBA" w:rsidP="00FB2DBA">
            <w:r>
              <w:t xml:space="preserve">Yes by </w:t>
            </w:r>
            <w:proofErr w:type="gramStart"/>
            <w:r>
              <w:t>default;</w:t>
            </w:r>
            <w:proofErr w:type="gramEnd"/>
            <w:r>
              <w:t xml:space="preserve"> fully implemented starting in 2023</w:t>
            </w:r>
          </w:p>
        </w:tc>
        <w:tc>
          <w:tcPr>
            <w:tcW w:w="2262" w:type="dxa"/>
            <w:vAlign w:val="center"/>
          </w:tcPr>
          <w:p w14:paraId="5F07757F" w14:textId="67A3FAEE" w:rsidR="00FB2DBA" w:rsidRDefault="00FB2DBA" w:rsidP="00FB2DBA">
            <w:r>
              <w:t xml:space="preserve">Yes by </w:t>
            </w:r>
            <w:proofErr w:type="gramStart"/>
            <w:r>
              <w:t>default;</w:t>
            </w:r>
            <w:proofErr w:type="gramEnd"/>
            <w:r>
              <w:t xml:space="preserve"> fully implemented starting in 2023</w:t>
            </w:r>
          </w:p>
        </w:tc>
      </w:tr>
      <w:tr w:rsidR="007222B7" w14:paraId="254B038A" w14:textId="77777777" w:rsidTr="00FB2DBA">
        <w:tc>
          <w:tcPr>
            <w:tcW w:w="2564" w:type="dxa"/>
            <w:vAlign w:val="center"/>
          </w:tcPr>
          <w:p w14:paraId="6E252A46" w14:textId="32143326" w:rsidR="007222B7" w:rsidRDefault="007222B7" w:rsidP="00FB2DBA">
            <w:r>
              <w:t>Impact of Covid-19?</w:t>
            </w:r>
          </w:p>
        </w:tc>
        <w:tc>
          <w:tcPr>
            <w:tcW w:w="2262" w:type="dxa"/>
            <w:vAlign w:val="center"/>
          </w:tcPr>
          <w:p w14:paraId="22D3A449" w14:textId="4BC7186A" w:rsidR="007222B7" w:rsidRDefault="007222B7" w:rsidP="00FB2DBA">
            <w:r>
              <w:t>Not considered</w:t>
            </w:r>
          </w:p>
        </w:tc>
        <w:tc>
          <w:tcPr>
            <w:tcW w:w="2262" w:type="dxa"/>
            <w:vAlign w:val="center"/>
          </w:tcPr>
          <w:p w14:paraId="2C524AE1" w14:textId="45C6C85D" w:rsidR="007222B7" w:rsidRDefault="007222B7" w:rsidP="00FB2DBA">
            <w:r>
              <w:t>Not considered</w:t>
            </w:r>
          </w:p>
        </w:tc>
        <w:tc>
          <w:tcPr>
            <w:tcW w:w="2262" w:type="dxa"/>
            <w:vAlign w:val="center"/>
          </w:tcPr>
          <w:p w14:paraId="6C0F62B7" w14:textId="583DFDAD" w:rsidR="007222B7" w:rsidRDefault="007222B7" w:rsidP="00FB2DBA">
            <w:r>
              <w:t xml:space="preserve">Addressed in the scenario analysis (i.e., variation in rate of intervention scale-up + pre-scale-up epi assumptions) </w:t>
            </w:r>
          </w:p>
        </w:tc>
      </w:tr>
      <w:tr w:rsidR="00FB2DBA" w14:paraId="4373CF6C" w14:textId="77777777" w:rsidTr="00FB2DBA">
        <w:tc>
          <w:tcPr>
            <w:tcW w:w="2564" w:type="dxa"/>
            <w:vAlign w:val="center"/>
          </w:tcPr>
          <w:p w14:paraId="17C26B07" w14:textId="746E8A73" w:rsidR="00FB2DBA" w:rsidRDefault="00FB2DBA" w:rsidP="00FB2DBA">
            <w:r>
              <w:t>Coverage 2022</w:t>
            </w:r>
          </w:p>
        </w:tc>
        <w:tc>
          <w:tcPr>
            <w:tcW w:w="2262" w:type="dxa"/>
            <w:vAlign w:val="center"/>
          </w:tcPr>
          <w:p w14:paraId="25354C88" w14:textId="640210B3" w:rsidR="00FB2DBA" w:rsidRDefault="00FB2DBA" w:rsidP="00FB2DBA">
            <w:r>
              <w:t>Baseline (2019)</w:t>
            </w:r>
          </w:p>
        </w:tc>
        <w:tc>
          <w:tcPr>
            <w:tcW w:w="2262" w:type="dxa"/>
            <w:vAlign w:val="center"/>
          </w:tcPr>
          <w:p w14:paraId="1890B487" w14:textId="4AF92825" w:rsidR="00FB2DBA" w:rsidRDefault="00FB2DBA" w:rsidP="00FB2DBA">
            <w:r>
              <w:t>Baseline (2019)</w:t>
            </w:r>
          </w:p>
        </w:tc>
        <w:tc>
          <w:tcPr>
            <w:tcW w:w="2262" w:type="dxa"/>
            <w:vAlign w:val="center"/>
          </w:tcPr>
          <w:p w14:paraId="026A4F60" w14:textId="5385F453" w:rsidR="00FB2DBA" w:rsidRDefault="00FB2DBA" w:rsidP="00FB2DBA">
            <w:r>
              <w:t>Baseline (2019)</w:t>
            </w:r>
          </w:p>
        </w:tc>
      </w:tr>
      <w:tr w:rsidR="00FB2DBA" w14:paraId="6774087F" w14:textId="77777777" w:rsidTr="00FB2DBA">
        <w:tc>
          <w:tcPr>
            <w:tcW w:w="2564" w:type="dxa"/>
            <w:vAlign w:val="center"/>
          </w:tcPr>
          <w:p w14:paraId="4CE928E5" w14:textId="3822C93A" w:rsidR="00FB2DBA" w:rsidRDefault="00FB2DBA" w:rsidP="00FB2DBA">
            <w:r>
              <w:t>Coverage 2023</w:t>
            </w:r>
          </w:p>
        </w:tc>
        <w:tc>
          <w:tcPr>
            <w:tcW w:w="2262" w:type="dxa"/>
            <w:vAlign w:val="center"/>
          </w:tcPr>
          <w:p w14:paraId="264A3B4E" w14:textId="0E2C64FA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27D2AEB0" w14:textId="150E4778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58845314" w14:textId="1EF81DFA" w:rsidR="00FB2DBA" w:rsidRDefault="00FB2DBA" w:rsidP="00FB2DBA">
            <w:r>
              <w:t>+0-5% baseline</w:t>
            </w:r>
          </w:p>
        </w:tc>
      </w:tr>
      <w:tr w:rsidR="00FB2DBA" w14:paraId="41517B12" w14:textId="77777777" w:rsidTr="00FB2DBA">
        <w:tc>
          <w:tcPr>
            <w:tcW w:w="2564" w:type="dxa"/>
            <w:vAlign w:val="center"/>
          </w:tcPr>
          <w:p w14:paraId="6976CEFE" w14:textId="055D1619" w:rsidR="00FB2DBA" w:rsidRDefault="00FB2DBA" w:rsidP="00FB2DBA">
            <w:r>
              <w:t>Coverage 2024</w:t>
            </w:r>
          </w:p>
        </w:tc>
        <w:tc>
          <w:tcPr>
            <w:tcW w:w="2262" w:type="dxa"/>
            <w:vAlign w:val="center"/>
          </w:tcPr>
          <w:p w14:paraId="78909931" w14:textId="53BE8A80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0DEFE4D5" w14:textId="32C765AF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472A6AD6" w14:textId="16BECB20" w:rsidR="00FB2DBA" w:rsidRDefault="00FB2DBA" w:rsidP="00FB2DBA">
            <w:r>
              <w:t>+0-5% of 2023</w:t>
            </w:r>
          </w:p>
        </w:tc>
      </w:tr>
      <w:tr w:rsidR="00FB2DBA" w14:paraId="552006B5" w14:textId="77777777" w:rsidTr="00FB2DBA">
        <w:tc>
          <w:tcPr>
            <w:tcW w:w="2564" w:type="dxa"/>
            <w:vAlign w:val="center"/>
          </w:tcPr>
          <w:p w14:paraId="6DEB2785" w14:textId="34FFB89C" w:rsidR="00FB2DBA" w:rsidRDefault="00FB2DBA" w:rsidP="00FB2DBA">
            <w:r>
              <w:t>Coverage 2025</w:t>
            </w:r>
          </w:p>
        </w:tc>
        <w:tc>
          <w:tcPr>
            <w:tcW w:w="2262" w:type="dxa"/>
            <w:vAlign w:val="center"/>
          </w:tcPr>
          <w:p w14:paraId="068861ED" w14:textId="18D3A401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71580C2E" w14:textId="2694AB8A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59D82C15" w14:textId="0FAE1E32" w:rsidR="00FB2DBA" w:rsidRDefault="00FB2DBA" w:rsidP="00FB2DBA">
            <w:r>
              <w:t>+0-5% of 2024</w:t>
            </w:r>
          </w:p>
        </w:tc>
      </w:tr>
      <w:tr w:rsidR="00FB2DBA" w14:paraId="4ADC1504" w14:textId="77777777" w:rsidTr="00FB2DBA">
        <w:tc>
          <w:tcPr>
            <w:tcW w:w="2564" w:type="dxa"/>
            <w:vAlign w:val="center"/>
          </w:tcPr>
          <w:p w14:paraId="48AE28DE" w14:textId="525C8AF1" w:rsidR="00FB2DBA" w:rsidRDefault="00FB2DBA" w:rsidP="00FB2DBA">
            <w:r>
              <w:t>Coverage 2026</w:t>
            </w:r>
          </w:p>
        </w:tc>
        <w:tc>
          <w:tcPr>
            <w:tcW w:w="2262" w:type="dxa"/>
            <w:vAlign w:val="center"/>
          </w:tcPr>
          <w:p w14:paraId="54485426" w14:textId="749ABCC1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5C62A1B1" w14:textId="3085931E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4EE1E35C" w14:textId="549A3427" w:rsidR="00FB2DBA" w:rsidRDefault="00FB2DBA" w:rsidP="00FB2DBA">
            <w:r>
              <w:t>+0-5% of 2025</w:t>
            </w:r>
          </w:p>
        </w:tc>
      </w:tr>
      <w:tr w:rsidR="00FB2DBA" w14:paraId="2E7EB070" w14:textId="77777777" w:rsidTr="00FB2DBA">
        <w:tc>
          <w:tcPr>
            <w:tcW w:w="2564" w:type="dxa"/>
            <w:vAlign w:val="center"/>
          </w:tcPr>
          <w:p w14:paraId="781F1710" w14:textId="1D37CBAE" w:rsidR="00FB2DBA" w:rsidRDefault="00FB2DBA" w:rsidP="00FB2DBA">
            <w:r>
              <w:t>Coverage 2027</w:t>
            </w:r>
          </w:p>
        </w:tc>
        <w:tc>
          <w:tcPr>
            <w:tcW w:w="2262" w:type="dxa"/>
            <w:vAlign w:val="center"/>
          </w:tcPr>
          <w:p w14:paraId="73A1F876" w14:textId="3D3B747D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5BC4AE22" w14:textId="0F69B267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235928CB" w14:textId="209A8AFA" w:rsidR="00FB2DBA" w:rsidRDefault="00FB2DBA" w:rsidP="00FB2DBA">
            <w:r>
              <w:t>+0-5% of 2026</w:t>
            </w:r>
          </w:p>
        </w:tc>
      </w:tr>
      <w:tr w:rsidR="00FB2DBA" w14:paraId="15EA3D9F" w14:textId="77777777" w:rsidTr="00FB2DBA">
        <w:tc>
          <w:tcPr>
            <w:tcW w:w="2564" w:type="dxa"/>
            <w:vAlign w:val="center"/>
          </w:tcPr>
          <w:p w14:paraId="4D439779" w14:textId="2B107101" w:rsidR="00FB2DBA" w:rsidRDefault="00FB2DBA" w:rsidP="00FB2DBA">
            <w:r>
              <w:t>Coverage 2028</w:t>
            </w:r>
          </w:p>
        </w:tc>
        <w:tc>
          <w:tcPr>
            <w:tcW w:w="2262" w:type="dxa"/>
            <w:vAlign w:val="center"/>
          </w:tcPr>
          <w:p w14:paraId="656DBD95" w14:textId="2902A94E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3516CE2E" w14:textId="64EDDE5A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46F090A7" w14:textId="29E6EA28" w:rsidR="00FB2DBA" w:rsidRDefault="00FB2DBA" w:rsidP="00FB2DBA">
            <w:r>
              <w:t>+0-5% of 2027</w:t>
            </w:r>
          </w:p>
        </w:tc>
      </w:tr>
      <w:tr w:rsidR="00FB2DBA" w14:paraId="473D7068" w14:textId="77777777" w:rsidTr="00FB2DBA">
        <w:tc>
          <w:tcPr>
            <w:tcW w:w="2564" w:type="dxa"/>
            <w:vAlign w:val="center"/>
          </w:tcPr>
          <w:p w14:paraId="564AC644" w14:textId="4BBE6835" w:rsidR="00FB2DBA" w:rsidRDefault="00FB2DBA" w:rsidP="00FB2DBA">
            <w:r>
              <w:t>Coverage 2029</w:t>
            </w:r>
          </w:p>
        </w:tc>
        <w:tc>
          <w:tcPr>
            <w:tcW w:w="2262" w:type="dxa"/>
            <w:vAlign w:val="center"/>
          </w:tcPr>
          <w:p w14:paraId="5DF47040" w14:textId="551F4801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0DA4FFD0" w14:textId="147800BC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0DF691A0" w14:textId="098DC775" w:rsidR="00FB2DBA" w:rsidRDefault="00FB2DBA" w:rsidP="00FB2DBA">
            <w:r>
              <w:t>+0-5% of 2028</w:t>
            </w:r>
          </w:p>
        </w:tc>
      </w:tr>
      <w:tr w:rsidR="00FB2DBA" w14:paraId="11F40CCE" w14:textId="77777777" w:rsidTr="00FB2DBA">
        <w:tc>
          <w:tcPr>
            <w:tcW w:w="2564" w:type="dxa"/>
            <w:vAlign w:val="center"/>
          </w:tcPr>
          <w:p w14:paraId="1B0E11FC" w14:textId="38CE5626" w:rsidR="00FB2DBA" w:rsidRDefault="00FB2DBA" w:rsidP="00FB2DBA">
            <w:r>
              <w:t>Coverage 2030</w:t>
            </w:r>
          </w:p>
        </w:tc>
        <w:tc>
          <w:tcPr>
            <w:tcW w:w="2262" w:type="dxa"/>
            <w:vAlign w:val="center"/>
          </w:tcPr>
          <w:p w14:paraId="1581BF89" w14:textId="069B757E" w:rsidR="00FB2DBA" w:rsidRDefault="00FB2DBA" w:rsidP="00FB2DBA">
            <w:r>
              <w:t>+10% baseline</w:t>
            </w:r>
          </w:p>
        </w:tc>
        <w:tc>
          <w:tcPr>
            <w:tcW w:w="2262" w:type="dxa"/>
            <w:vAlign w:val="center"/>
          </w:tcPr>
          <w:p w14:paraId="05D4BFFA" w14:textId="5AC0DE33" w:rsidR="00FB2DBA" w:rsidRDefault="00FB2DBA" w:rsidP="00FB2DBA">
            <w:r>
              <w:t>90%</w:t>
            </w:r>
          </w:p>
        </w:tc>
        <w:tc>
          <w:tcPr>
            <w:tcW w:w="2262" w:type="dxa"/>
            <w:vAlign w:val="center"/>
          </w:tcPr>
          <w:p w14:paraId="4DD57B9D" w14:textId="3C1F40E5" w:rsidR="00FB2DBA" w:rsidRDefault="00FB2DBA" w:rsidP="00FB2DBA">
            <w:r>
              <w:t>+0-5% of 2029</w:t>
            </w:r>
          </w:p>
        </w:tc>
      </w:tr>
    </w:tbl>
    <w:p w14:paraId="6D20AD4F" w14:textId="77777777" w:rsidR="00345A01" w:rsidRDefault="007222B7"/>
    <w:sectPr w:rsidR="00345A01" w:rsidSect="004C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BA"/>
    <w:rsid w:val="00081E6D"/>
    <w:rsid w:val="000A3592"/>
    <w:rsid w:val="000A41F9"/>
    <w:rsid w:val="000B1D78"/>
    <w:rsid w:val="001A4841"/>
    <w:rsid w:val="001C12A9"/>
    <w:rsid w:val="001F041A"/>
    <w:rsid w:val="00213048"/>
    <w:rsid w:val="0029466A"/>
    <w:rsid w:val="002960E7"/>
    <w:rsid w:val="002B73DD"/>
    <w:rsid w:val="00377356"/>
    <w:rsid w:val="00392557"/>
    <w:rsid w:val="003E1BE0"/>
    <w:rsid w:val="0049555A"/>
    <w:rsid w:val="004C3CBF"/>
    <w:rsid w:val="00581AA1"/>
    <w:rsid w:val="005A0C71"/>
    <w:rsid w:val="0068296D"/>
    <w:rsid w:val="007222B7"/>
    <w:rsid w:val="00733068"/>
    <w:rsid w:val="0089040E"/>
    <w:rsid w:val="00891A85"/>
    <w:rsid w:val="008A3A8E"/>
    <w:rsid w:val="008E2D01"/>
    <w:rsid w:val="008F3D94"/>
    <w:rsid w:val="00920857"/>
    <w:rsid w:val="00926B67"/>
    <w:rsid w:val="009404B0"/>
    <w:rsid w:val="009521F9"/>
    <w:rsid w:val="009F3653"/>
    <w:rsid w:val="00BB3593"/>
    <w:rsid w:val="00BC5470"/>
    <w:rsid w:val="00BF427F"/>
    <w:rsid w:val="00C97BCF"/>
    <w:rsid w:val="00CD5C5A"/>
    <w:rsid w:val="00D41E31"/>
    <w:rsid w:val="00D60BC4"/>
    <w:rsid w:val="00D7629B"/>
    <w:rsid w:val="00DA3470"/>
    <w:rsid w:val="00DB250B"/>
    <w:rsid w:val="00E36498"/>
    <w:rsid w:val="00EA5294"/>
    <w:rsid w:val="00F22AAA"/>
    <w:rsid w:val="00FB2DBA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BE9B5"/>
  <w15:chartTrackingRefBased/>
  <w15:docId w15:val="{38F543F4-F617-584C-89EF-5F91D2A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Watkins</dc:creator>
  <cp:keywords/>
  <dc:description/>
  <cp:lastModifiedBy>David Watkins</cp:lastModifiedBy>
  <cp:revision>2</cp:revision>
  <dcterms:created xsi:type="dcterms:W3CDTF">2021-07-06T22:34:00Z</dcterms:created>
  <dcterms:modified xsi:type="dcterms:W3CDTF">2021-07-06T22:44:00Z</dcterms:modified>
</cp:coreProperties>
</file>