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C034" w14:textId="4CB8AD44" w:rsidR="00DA033E" w:rsidRDefault="00DA033E">
      <w:pPr>
        <w:rPr>
          <w:b/>
          <w:bCs/>
        </w:rPr>
      </w:pPr>
      <w:r w:rsidRPr="002023BA">
        <w:rPr>
          <w:b/>
          <w:bCs/>
          <w:highlight w:val="cyan"/>
        </w:rPr>
        <w:t>More methods:</w:t>
      </w:r>
    </w:p>
    <w:p w14:paraId="0D40075F" w14:textId="1C81BD5D" w:rsidR="006C7713" w:rsidRDefault="00DA033E">
      <w:r>
        <w:t xml:space="preserve">The baseline distribution of physical activity in the kingdom of Saudi Arabia was estimated </w:t>
      </w:r>
      <w:r w:rsidR="005101D3">
        <w:t xml:space="preserve">from a 2019 </w:t>
      </w:r>
      <w:commentRangeStart w:id="0"/>
      <w:r w:rsidR="005101D3">
        <w:t xml:space="preserve">survey </w:t>
      </w:r>
      <w:commentRangeEnd w:id="0"/>
      <w:r w:rsidR="006C7713">
        <w:rPr>
          <w:rStyle w:val="CommentReference"/>
        </w:rPr>
        <w:commentReference w:id="0"/>
      </w:r>
      <w:r w:rsidR="005101D3">
        <w:t xml:space="preserve">of </w:t>
      </w:r>
      <w:r w:rsidR="00964ED0">
        <w:t>the p</w:t>
      </w:r>
      <w:r w:rsidR="00964ED0" w:rsidRPr="00964ED0">
        <w:t xml:space="preserve">ercentage of </w:t>
      </w:r>
      <w:r w:rsidR="00B859B3">
        <w:t xml:space="preserve">individuals with physical activity </w:t>
      </w:r>
      <w:r w:rsidR="00964ED0" w:rsidRPr="00964ED0">
        <w:t>150 minutes and more per week by age category</w:t>
      </w:r>
      <w:r w:rsidR="00964ED0">
        <w:t xml:space="preserve"> and sex. </w:t>
      </w:r>
      <w:r w:rsidR="00152373">
        <w:t xml:space="preserve">We estimated the distribution of this population between the moderate and high activity categories based on the proportion </w:t>
      </w:r>
      <w:r w:rsidR="00650C23">
        <w:t xml:space="preserve">published in an </w:t>
      </w:r>
      <w:commentRangeStart w:id="1"/>
      <w:r w:rsidR="00650C23">
        <w:t xml:space="preserve">older study </w:t>
      </w:r>
      <w:commentRangeEnd w:id="1"/>
      <w:r w:rsidR="006C7713">
        <w:rPr>
          <w:rStyle w:val="CommentReference"/>
        </w:rPr>
        <w:commentReference w:id="1"/>
      </w:r>
      <w:r w:rsidR="00650C23">
        <w:t xml:space="preserve">to establish the baseline proportion of individuals </w:t>
      </w:r>
      <w:r w:rsidR="006C7713">
        <w:t xml:space="preserve">in the low, moderate, and high physical activity risk categories.  </w:t>
      </w:r>
    </w:p>
    <w:p w14:paraId="5AEE562C" w14:textId="2DCAE4FB" w:rsidR="006C7713" w:rsidRDefault="006C7713">
      <w:r>
        <w:rPr>
          <w:b/>
          <w:bCs/>
        </w:rPr>
        <w:t xml:space="preserve">Table: </w:t>
      </w:r>
      <w:r>
        <w:t>Baseline distribution of physical activity</w:t>
      </w:r>
      <w:r w:rsidR="00781837">
        <w:t xml:space="preserve"> (%)</w:t>
      </w:r>
      <w:r>
        <w:t xml:space="preserve"> by sex and age, 2019</w:t>
      </w:r>
    </w:p>
    <w:tbl>
      <w:tblPr>
        <w:tblW w:w="895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60"/>
        <w:gridCol w:w="2070"/>
        <w:gridCol w:w="2340"/>
        <w:gridCol w:w="2205"/>
      </w:tblGrid>
      <w:tr w:rsidR="003E5310" w:rsidRPr="00781837" w14:paraId="682BA9F4" w14:textId="77777777" w:rsidTr="007C1E8F">
        <w:trPr>
          <w:trHeight w:val="282"/>
        </w:trPr>
        <w:tc>
          <w:tcPr>
            <w:tcW w:w="1075" w:type="dxa"/>
            <w:shd w:val="clear" w:color="000000" w:fill="E7E6E6"/>
            <w:noWrap/>
            <w:vAlign w:val="bottom"/>
            <w:hideMark/>
          </w:tcPr>
          <w:p w14:paraId="35F4138A" w14:textId="417C97AA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260" w:type="dxa"/>
            <w:shd w:val="clear" w:color="000000" w:fill="E7E6E6"/>
            <w:noWrap/>
            <w:vAlign w:val="bottom"/>
            <w:hideMark/>
          </w:tcPr>
          <w:p w14:paraId="6F9E72DE" w14:textId="42194343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070" w:type="dxa"/>
            <w:shd w:val="clear" w:color="000000" w:fill="E7E6E6"/>
          </w:tcPr>
          <w:p w14:paraId="62BB2F83" w14:textId="64A37CD8" w:rsidR="003E5310" w:rsidRPr="003E5310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5310">
              <w:rPr>
                <w:rFonts w:ascii="Calibri" w:eastAsia="Times New Roman" w:hAnsi="Calibri" w:cs="Calibri"/>
                <w:b/>
                <w:bCs/>
                <w:color w:val="000000"/>
              </w:rPr>
              <w:t>Low activity (%)</w:t>
            </w:r>
          </w:p>
        </w:tc>
        <w:tc>
          <w:tcPr>
            <w:tcW w:w="2340" w:type="dxa"/>
            <w:shd w:val="clear" w:color="000000" w:fill="E7E6E6"/>
            <w:noWrap/>
            <w:vAlign w:val="bottom"/>
            <w:hideMark/>
          </w:tcPr>
          <w:p w14:paraId="2CA99168" w14:textId="2BDD521A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5310">
              <w:rPr>
                <w:rFonts w:ascii="Calibri" w:eastAsia="Times New Roman" w:hAnsi="Calibri" w:cs="Calibri"/>
                <w:b/>
                <w:bCs/>
                <w:color w:val="000000"/>
              </w:rPr>
              <w:t>Moderate activity (%)</w:t>
            </w:r>
          </w:p>
        </w:tc>
        <w:tc>
          <w:tcPr>
            <w:tcW w:w="2205" w:type="dxa"/>
            <w:shd w:val="clear" w:color="000000" w:fill="E7E6E6"/>
            <w:noWrap/>
            <w:vAlign w:val="bottom"/>
            <w:hideMark/>
          </w:tcPr>
          <w:p w14:paraId="003C05D9" w14:textId="57024BA5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1837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  <w:r w:rsidRPr="003E531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activity (%)</w:t>
            </w:r>
          </w:p>
        </w:tc>
      </w:tr>
      <w:tr w:rsidR="00F13C71" w:rsidRPr="00781837" w14:paraId="14F4F9FE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918EBEB" w14:textId="70857FC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25</w:t>
            </w:r>
            <w:r>
              <w:rPr>
                <w:rFonts w:ascii="Calibri" w:eastAsia="Times New Roman" w:hAnsi="Calibri" w:cs="Calibri"/>
                <w:color w:val="000000"/>
              </w:rPr>
              <w:t>-29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1F818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1478DDC9" w14:textId="67CDC61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FB8A6F3" w14:textId="0441BC5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9E9BE1A" w14:textId="6AA4F54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</w:t>
            </w:r>
          </w:p>
        </w:tc>
      </w:tr>
      <w:tr w:rsidR="00F13C71" w:rsidRPr="00781837" w14:paraId="2EC93E77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52740FF" w14:textId="3F5CCB4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30</w:t>
            </w:r>
            <w:r>
              <w:rPr>
                <w:rFonts w:ascii="Calibri" w:eastAsia="Times New Roman" w:hAnsi="Calibri" w:cs="Calibri"/>
                <w:color w:val="000000"/>
              </w:rPr>
              <w:t>-34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F52133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3E9E84AD" w14:textId="2F210ED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0075B98" w14:textId="16A1CD4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551CDA8" w14:textId="2B1CFF4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</w:t>
            </w:r>
          </w:p>
        </w:tc>
      </w:tr>
      <w:tr w:rsidR="00F13C71" w:rsidRPr="00781837" w14:paraId="671D587B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96E23FC" w14:textId="17B728C1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35</w:t>
            </w:r>
            <w:r>
              <w:rPr>
                <w:rFonts w:ascii="Calibri" w:eastAsia="Times New Roman" w:hAnsi="Calibri" w:cs="Calibri"/>
                <w:color w:val="000000"/>
              </w:rPr>
              <w:t>-39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6762B3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27F3EABC" w14:textId="6DE2CF2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6423316" w14:textId="39C47B4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74AEA676" w14:textId="0775C45C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</w:tr>
      <w:tr w:rsidR="00F13C71" w:rsidRPr="00781837" w14:paraId="3F68E4A1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BD84278" w14:textId="72237121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40</w:t>
            </w:r>
            <w:r>
              <w:rPr>
                <w:rFonts w:ascii="Calibri" w:eastAsia="Times New Roman" w:hAnsi="Calibri" w:cs="Calibri"/>
                <w:color w:val="000000"/>
              </w:rPr>
              <w:t>-44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7AE2FD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E5C20B5" w14:textId="4988AB3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77.8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F62E53F" w14:textId="2747CD3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001537E" w14:textId="6C63ED9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</w:tr>
      <w:tr w:rsidR="00F13C71" w:rsidRPr="00781837" w14:paraId="4E2A7AF7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17B959" w14:textId="31BB44B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45</w:t>
            </w:r>
            <w:r>
              <w:rPr>
                <w:rFonts w:ascii="Calibri" w:eastAsia="Times New Roman" w:hAnsi="Calibri" w:cs="Calibri"/>
                <w:color w:val="000000"/>
              </w:rPr>
              <w:t>-49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2E6266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134C7BC" w14:textId="49F551A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981BF71" w14:textId="3E62FCC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619A2A77" w14:textId="6AAC926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</w:t>
            </w:r>
          </w:p>
        </w:tc>
      </w:tr>
      <w:tr w:rsidR="00F13C71" w:rsidRPr="00781837" w14:paraId="05343679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EBC435A" w14:textId="0B07174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-54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70A392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8DFF600" w14:textId="404DDE7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73FE3A5" w14:textId="5EC5113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590CEEFB" w14:textId="52E8916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</w:tr>
      <w:tr w:rsidR="00F13C71" w:rsidRPr="00781837" w14:paraId="0784AF1B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F1A7648" w14:textId="28DCC68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55</w:t>
            </w:r>
            <w:r>
              <w:rPr>
                <w:rFonts w:ascii="Calibri" w:eastAsia="Times New Roman" w:hAnsi="Calibri" w:cs="Calibri"/>
                <w:color w:val="000000"/>
              </w:rPr>
              <w:t>-59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387614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0783632C" w14:textId="4A70536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216D9E0" w14:textId="3AEB6A2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1B11C8D" w14:textId="253E2C98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</w:tr>
      <w:tr w:rsidR="00F13C71" w:rsidRPr="00781837" w14:paraId="4C16473F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83E5429" w14:textId="31C10E9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60</w:t>
            </w:r>
            <w:r>
              <w:rPr>
                <w:rFonts w:ascii="Calibri" w:eastAsia="Times New Roman" w:hAnsi="Calibri" w:cs="Calibri"/>
                <w:color w:val="000000"/>
              </w:rPr>
              <w:t>-64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2F68F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685DF1F2" w14:textId="24A8D16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7DA6474" w14:textId="354BCFD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404CB418" w14:textId="3698382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</w:tr>
      <w:tr w:rsidR="00F13C71" w:rsidRPr="00781837" w14:paraId="49D8C3D5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DB8253D" w14:textId="74CF7CB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65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795778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2462EC0" w14:textId="7D0FE18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1D8D49" w14:textId="6281BBE8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6C1D235" w14:textId="155D55D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</w:tr>
      <w:tr w:rsidR="00F13C71" w:rsidRPr="00781837" w14:paraId="6C68D745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12E1C63" w14:textId="403615A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25</w:t>
            </w:r>
            <w:r>
              <w:rPr>
                <w:rFonts w:ascii="Calibri" w:eastAsia="Times New Roman" w:hAnsi="Calibri" w:cs="Calibri"/>
                <w:color w:val="000000"/>
              </w:rPr>
              <w:t>-29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03B930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637E33BC" w14:textId="60AB4D64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6E43B41" w14:textId="7860633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2CC21E22" w14:textId="0F1C9EB5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</w:tr>
      <w:tr w:rsidR="00F13C71" w:rsidRPr="00781837" w14:paraId="7832DFC8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D1765D6" w14:textId="1143EFA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30</w:t>
            </w:r>
            <w:r>
              <w:rPr>
                <w:rFonts w:ascii="Calibri" w:eastAsia="Times New Roman" w:hAnsi="Calibri" w:cs="Calibri"/>
                <w:color w:val="000000"/>
              </w:rPr>
              <w:t>-34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AA6848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5A89DAB4" w14:textId="6BBEC314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56F6C13" w14:textId="39449AA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E91C72E" w14:textId="447001E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</w:tr>
      <w:tr w:rsidR="00F13C71" w:rsidRPr="00781837" w14:paraId="0BB644AB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2BFEA40" w14:textId="4378A36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35</w:t>
            </w:r>
            <w:r>
              <w:rPr>
                <w:rFonts w:ascii="Calibri" w:eastAsia="Times New Roman" w:hAnsi="Calibri" w:cs="Calibri"/>
                <w:color w:val="000000"/>
              </w:rPr>
              <w:t>-39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8A76FD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789BFDEF" w14:textId="385BEFD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03844E" w14:textId="19193DC1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4FF7673F" w14:textId="4186BDF5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</w:tr>
      <w:tr w:rsidR="00F13C71" w:rsidRPr="00781837" w14:paraId="3CC16897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A74FC6E" w14:textId="7AF2B2E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40</w:t>
            </w:r>
            <w:r>
              <w:rPr>
                <w:rFonts w:ascii="Calibri" w:eastAsia="Times New Roman" w:hAnsi="Calibri" w:cs="Calibri"/>
                <w:color w:val="000000"/>
              </w:rPr>
              <w:t>-44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04FD87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09058A23" w14:textId="70633CA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B7ED74B" w14:textId="04A14D6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5C163B60" w14:textId="44B43E3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</w:t>
            </w:r>
          </w:p>
        </w:tc>
      </w:tr>
      <w:tr w:rsidR="00F13C71" w:rsidRPr="00781837" w14:paraId="72E82330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2D63F2C" w14:textId="35DD33F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45</w:t>
            </w:r>
            <w:r>
              <w:rPr>
                <w:rFonts w:ascii="Calibri" w:eastAsia="Times New Roman" w:hAnsi="Calibri" w:cs="Calibri"/>
                <w:color w:val="000000"/>
              </w:rPr>
              <w:t>-49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425E6A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1B1BBF4A" w14:textId="5F63C60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86.8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D2CE3C6" w14:textId="4452553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5E2ADF8C" w14:textId="6E8C557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</w:tr>
      <w:tr w:rsidR="00F13C71" w:rsidRPr="00781837" w14:paraId="17928DE8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E9AE45E" w14:textId="178AC3A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-54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37D4C6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6143F8BD" w14:textId="20F3E4D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3EA759D" w14:textId="4076135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74AEDF06" w14:textId="6EA76E3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</w:tr>
      <w:tr w:rsidR="00F13C71" w:rsidRPr="00781837" w14:paraId="24F70330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C5ABD58" w14:textId="62996924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55</w:t>
            </w:r>
            <w:r>
              <w:rPr>
                <w:rFonts w:ascii="Calibri" w:eastAsia="Times New Roman" w:hAnsi="Calibri" w:cs="Calibri"/>
                <w:color w:val="000000"/>
              </w:rPr>
              <w:t>-59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1EBE6B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2510BD08" w14:textId="629BA3B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67C0CF9" w14:textId="4D363BD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400AA145" w14:textId="0B4DF2F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F13C71" w:rsidRPr="00781837" w14:paraId="056EC45A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3420428" w14:textId="2DABD5A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60</w:t>
            </w:r>
            <w:r>
              <w:rPr>
                <w:rFonts w:ascii="Calibri" w:eastAsia="Times New Roman" w:hAnsi="Calibri" w:cs="Calibri"/>
                <w:color w:val="000000"/>
              </w:rPr>
              <w:t>-64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A6437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718368D3" w14:textId="081E008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3769993" w14:textId="79E65D3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67EE6D79" w14:textId="2E54B64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</w:tr>
      <w:tr w:rsidR="00F13C71" w:rsidRPr="00781837" w14:paraId="79E06B11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56F5317" w14:textId="72DF1FA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65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D35B2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05CDDCB4" w14:textId="770F0095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95C605A" w14:textId="6F047E7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27E9223B" w14:textId="2DC7582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</w:tr>
    </w:tbl>
    <w:p w14:paraId="7C145D6C" w14:textId="77777777" w:rsidR="006C7713" w:rsidRDefault="006C7713"/>
    <w:p w14:paraId="18F9691F" w14:textId="11B1402B" w:rsidR="008F60CA" w:rsidRDefault="008F60CA">
      <w:pPr>
        <w:rPr>
          <w:b/>
          <w:bCs/>
        </w:rPr>
      </w:pPr>
      <w:r w:rsidRPr="008F60CA">
        <w:rPr>
          <w:b/>
          <w:bCs/>
        </w:rPr>
        <w:t>Methods:</w:t>
      </w:r>
    </w:p>
    <w:p w14:paraId="4921271F" w14:textId="738A2959" w:rsidR="008F60CA" w:rsidRDefault="008F60CA">
      <w:r>
        <w:t>To estimate the effect that increased physical activity may have on population health in the Kingdom of Saudi Arabia, we modeled three different scenarios</w:t>
      </w:r>
      <w:r w:rsidR="00B751FB">
        <w:t xml:space="preserve"> of the distribution of physical activity</w:t>
      </w:r>
      <w:r w:rsidR="00085495">
        <w:t>:</w:t>
      </w:r>
    </w:p>
    <w:p w14:paraId="02238AB5" w14:textId="2E4302B8" w:rsidR="008F60CA" w:rsidRDefault="008F60CA" w:rsidP="008F60CA">
      <w:pPr>
        <w:pStyle w:val="ListParagraph"/>
        <w:numPr>
          <w:ilvl w:val="0"/>
          <w:numId w:val="1"/>
        </w:numPr>
      </w:pPr>
      <w:r w:rsidRPr="00B751FB">
        <w:rPr>
          <w:b/>
          <w:bCs/>
        </w:rPr>
        <w:t>Baseline</w:t>
      </w:r>
      <w:r w:rsidR="00085495">
        <w:t xml:space="preserve">: </w:t>
      </w:r>
      <w:r w:rsidR="00B751FB">
        <w:t xml:space="preserve">rates of physical activity </w:t>
      </w:r>
      <w:r w:rsidR="00085495">
        <w:t>based on</w:t>
      </w:r>
      <w:r w:rsidR="00B751FB">
        <w:t xml:space="preserve"> 2019</w:t>
      </w:r>
      <w:r w:rsidR="00085495">
        <w:t xml:space="preserve"> K</w:t>
      </w:r>
      <w:r w:rsidR="00B751FB">
        <w:t>S</w:t>
      </w:r>
      <w:r w:rsidR="00085495">
        <w:t>A survey data</w:t>
      </w:r>
      <w:r w:rsidR="00B751FB">
        <w:t xml:space="preserve"> staying constant through 2040</w:t>
      </w:r>
    </w:p>
    <w:p w14:paraId="3BB105FD" w14:textId="029FAE11" w:rsidR="009C56E7" w:rsidRDefault="00085495" w:rsidP="00B751FB">
      <w:pPr>
        <w:pStyle w:val="ListParagraph"/>
        <w:numPr>
          <w:ilvl w:val="0"/>
          <w:numId w:val="1"/>
        </w:numPr>
      </w:pPr>
      <w:r w:rsidRPr="00B751FB">
        <w:rPr>
          <w:b/>
          <w:bCs/>
        </w:rPr>
        <w:t>Intervention</w:t>
      </w:r>
      <w:r>
        <w:t>:</w:t>
      </w:r>
      <w:r w:rsidR="00B751FB">
        <w:t xml:space="preserve"> rates of physical activity</w:t>
      </w:r>
      <w:r>
        <w:t xml:space="preserve"> </w:t>
      </w:r>
      <w:r w:rsidR="00B751FB">
        <w:t xml:space="preserve">increasing to levels </w:t>
      </w:r>
      <w:r>
        <w:t xml:space="preserve">based on </w:t>
      </w:r>
      <w:r w:rsidR="00B751FB">
        <w:t>a high</w:t>
      </w:r>
      <w:r w:rsidR="008F60CA">
        <w:t xml:space="preserve"> preforming benchmark</w:t>
      </w:r>
      <w:r>
        <w:t xml:space="preserve"> country</w:t>
      </w:r>
      <w:r w:rsidR="009C56E7">
        <w:t xml:space="preserve"> </w:t>
      </w:r>
      <w:r w:rsidR="00B751FB">
        <w:t>(</w:t>
      </w:r>
      <w:r w:rsidR="00343D51">
        <w:t>Sweden</w:t>
      </w:r>
      <w:r w:rsidR="00B751FB">
        <w:t>) in 2023</w:t>
      </w:r>
    </w:p>
    <w:p w14:paraId="133D1494" w14:textId="5E8085F2" w:rsidR="009C56E7" w:rsidRDefault="00085495" w:rsidP="009C56E7">
      <w:pPr>
        <w:pStyle w:val="ListParagraph"/>
        <w:numPr>
          <w:ilvl w:val="0"/>
          <w:numId w:val="1"/>
        </w:numPr>
      </w:pPr>
      <w:r w:rsidRPr="00B751FB">
        <w:rPr>
          <w:b/>
          <w:bCs/>
        </w:rPr>
        <w:t>Ideal</w:t>
      </w:r>
      <w:r>
        <w:t xml:space="preserve">: </w:t>
      </w:r>
      <w:r w:rsidR="00A9561E">
        <w:t xml:space="preserve">rates of physical activity increasing to ‘ideal levels’ in 2023 where only 5% of the population remain physically inactive. </w:t>
      </w:r>
    </w:p>
    <w:p w14:paraId="096A8064" w14:textId="3395FE26" w:rsidR="00E253D9" w:rsidRDefault="00E253D9" w:rsidP="008F60CA">
      <w:r>
        <w:t>Intervention impact in the latter two scenarios was derived from calculating the potential impact fraction (PIF) based on the different population distributions</w:t>
      </w:r>
      <w:r w:rsidR="00663ABE">
        <w:t xml:space="preserve"> (</w:t>
      </w:r>
      <w:r w:rsidR="00663ABE">
        <w:rPr>
          <w:i/>
          <w:iCs/>
        </w:rPr>
        <w:t>P</w:t>
      </w:r>
      <w:r w:rsidR="00663ABE">
        <w:t>)</w:t>
      </w:r>
      <w:r>
        <w:t xml:space="preserve"> </w:t>
      </w:r>
      <w:r w:rsidR="00663ABE">
        <w:t>and relative risks (</w:t>
      </w:r>
      <w:r w:rsidR="00663ABE" w:rsidRPr="00663ABE">
        <w:rPr>
          <w:i/>
          <w:iCs/>
        </w:rPr>
        <w:t>RR</w:t>
      </w:r>
      <w:r w:rsidR="00663ABE">
        <w:t xml:space="preserve">) </w:t>
      </w:r>
      <w:r w:rsidRPr="00663ABE">
        <w:t>in</w:t>
      </w:r>
      <w:r>
        <w:t xml:space="preserve"> each risk category (</w:t>
      </w:r>
      <w:r w:rsidR="00663ABE" w:rsidRPr="00663ABE">
        <w:rPr>
          <w:i/>
          <w:iCs/>
        </w:rPr>
        <w:t>i</w:t>
      </w:r>
      <w:r>
        <w:t>) as follows:</w:t>
      </w:r>
    </w:p>
    <w:p w14:paraId="5AA4D50D" w14:textId="008E29F8" w:rsidR="00E253D9" w:rsidRDefault="00E253D9" w:rsidP="008F60CA"/>
    <w:p w14:paraId="68ECC531" w14:textId="1550DE27" w:rsidR="00E253D9" w:rsidRDefault="00F20BEC" w:rsidP="008F60CA">
      <m:oMathPara>
        <m:oMath>
          <m:r>
            <w:rPr>
              <w:rFonts w:ascii="Cambria Math" w:hAnsi="Cambria Math"/>
            </w:rPr>
            <w:lastRenderedPageBreak/>
            <m:t xml:space="preserve">PIF=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FF619FA" w14:textId="26112C56" w:rsidR="00F20BEC" w:rsidRDefault="00663ABE" w:rsidP="008F60CA">
      <w:pPr>
        <w:rPr>
          <w:rFonts w:eastAsiaTheme="minorEastAsia"/>
        </w:rPr>
      </w:pPr>
      <w:r>
        <w:t>w</w:t>
      </w:r>
      <w:r w:rsidR="00F20BEC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0BEC">
        <w:rPr>
          <w:vertAlign w:val="subscript"/>
        </w:rPr>
        <w:t xml:space="preserve"> </w:t>
      </w:r>
      <w:r w:rsidR="00F20BEC">
        <w:t xml:space="preserve">is the baseline risk distribution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0BEC">
        <w:rPr>
          <w:rFonts w:eastAsiaTheme="minorEastAsia"/>
        </w:rPr>
        <w:t xml:space="preserve"> is the counterfactual risk distribution in the intervention </w:t>
      </w:r>
      <w:r w:rsidR="00145BA5">
        <w:rPr>
          <w:rFonts w:eastAsiaTheme="minorEastAsia"/>
        </w:rPr>
        <w:t xml:space="preserve">or ideal </w:t>
      </w:r>
      <w:r w:rsidR="00F20BEC">
        <w:rPr>
          <w:rFonts w:eastAsiaTheme="minorEastAsia"/>
        </w:rPr>
        <w:t>scenario</w:t>
      </w:r>
      <w:r w:rsidR="00145BA5">
        <w:rPr>
          <w:rFonts w:eastAsiaTheme="minorEastAsia"/>
        </w:rPr>
        <w:t>s</w:t>
      </w:r>
      <w:r w:rsidR="00F20BEC">
        <w:rPr>
          <w:rFonts w:eastAsiaTheme="minorEastAsia"/>
        </w:rPr>
        <w:t xml:space="preserve">. </w:t>
      </w:r>
      <w:r w:rsidR="00145BA5">
        <w:rPr>
          <w:rFonts w:eastAsiaTheme="minorEastAsia"/>
        </w:rPr>
        <w:t xml:space="preserve">The PIF was then used to estimate the reduction in age-, sex-, and cause-specific mortality. </w:t>
      </w:r>
    </w:p>
    <w:p w14:paraId="0DC56B5C" w14:textId="6E1C7017" w:rsidR="00663ABE" w:rsidRDefault="00663ABE" w:rsidP="008F60CA">
      <w:pPr>
        <w:rPr>
          <w:rFonts w:eastAsiaTheme="minorEastAsia"/>
        </w:rPr>
      </w:pPr>
      <w:r>
        <w:rPr>
          <w:rFonts w:eastAsiaTheme="minorEastAsia"/>
        </w:rPr>
        <w:t xml:space="preserve">Relative risk </w:t>
      </w:r>
      <w:r w:rsidR="00145BA5">
        <w:rPr>
          <w:rFonts w:eastAsiaTheme="minorEastAsia"/>
        </w:rPr>
        <w:t>estimates</w:t>
      </w:r>
      <w:r>
        <w:rPr>
          <w:rFonts w:eastAsiaTheme="minorEastAsia"/>
        </w:rPr>
        <w:t xml:space="preserve"> were taken from the Global Burden of Disease study 2019 (GBD)</w:t>
      </w:r>
      <w:r w:rsidR="00030CE3">
        <w:rPr>
          <w:rFonts w:eastAsiaTheme="minorEastAsia"/>
        </w:rPr>
        <w:t xml:space="preserve"> for colon and rectum cancer, breast cancer, ischemic heart disease, ischemic stroke, and diabetes mellitus type 2 for adults ages 2</w:t>
      </w:r>
      <w:r w:rsidR="00046FBD">
        <w:rPr>
          <w:rFonts w:eastAsiaTheme="minorEastAsia"/>
        </w:rPr>
        <w:t>5-80</w:t>
      </w:r>
      <w:r>
        <w:rPr>
          <w:rFonts w:eastAsiaTheme="minorEastAsia"/>
        </w:rPr>
        <w:t>.</w:t>
      </w:r>
    </w:p>
    <w:p w14:paraId="61CAAFE0" w14:textId="4D499C1A" w:rsidR="00492B4A" w:rsidRDefault="00492B4A" w:rsidP="008F60CA">
      <w:pPr>
        <w:rPr>
          <w:rFonts w:eastAsiaTheme="minorEastAsia"/>
        </w:rPr>
      </w:pPr>
      <w:r>
        <w:rPr>
          <w:rFonts w:eastAsiaTheme="minorEastAsia"/>
        </w:rPr>
        <w:t>Risk categories were defined as follows:</w:t>
      </w:r>
    </w:p>
    <w:p w14:paraId="1BF67BD9" w14:textId="70E22A20" w:rsidR="00492B4A" w:rsidRDefault="00492B4A" w:rsidP="00492B4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751FB">
        <w:rPr>
          <w:rFonts w:eastAsiaTheme="minorEastAsia"/>
          <w:b/>
          <w:bCs/>
        </w:rPr>
        <w:t>Low</w:t>
      </w:r>
      <w:r w:rsidRPr="00492B4A">
        <w:rPr>
          <w:rFonts w:eastAsiaTheme="minorEastAsia"/>
        </w:rPr>
        <w:t xml:space="preserve">: </w:t>
      </w:r>
      <w:r>
        <w:rPr>
          <w:rFonts w:eastAsiaTheme="minorEastAsia"/>
        </w:rPr>
        <w:t>Below 600 MET-minutes/week</w:t>
      </w:r>
    </w:p>
    <w:p w14:paraId="5C5F8B51" w14:textId="27ACA48C" w:rsidR="00492B4A" w:rsidRDefault="00492B4A" w:rsidP="00492B4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751FB">
        <w:rPr>
          <w:rFonts w:eastAsiaTheme="minorEastAsia"/>
          <w:b/>
          <w:bCs/>
        </w:rPr>
        <w:t>Moderate</w:t>
      </w:r>
      <w:r>
        <w:rPr>
          <w:rFonts w:eastAsiaTheme="minorEastAsia"/>
        </w:rPr>
        <w:t xml:space="preserve">: </w:t>
      </w:r>
      <w:r w:rsidR="00B751FB">
        <w:rPr>
          <w:rFonts w:eastAsiaTheme="minorEastAsia"/>
        </w:rPr>
        <w:t xml:space="preserve">At least 150 mins of moderate exercise, achieving </w:t>
      </w:r>
      <w:r>
        <w:rPr>
          <w:rFonts w:eastAsiaTheme="minorEastAsia"/>
        </w:rPr>
        <w:t xml:space="preserve">600 to </w:t>
      </w:r>
      <w:r w:rsidR="00B751FB">
        <w:rPr>
          <w:rFonts w:eastAsiaTheme="minorEastAsia"/>
        </w:rPr>
        <w:t>24</w:t>
      </w:r>
      <w:r w:rsidR="008B2F4A">
        <w:rPr>
          <w:rFonts w:eastAsiaTheme="minorEastAsia"/>
        </w:rPr>
        <w:t>00 MET-minutes/week</w:t>
      </w:r>
    </w:p>
    <w:p w14:paraId="53E4415D" w14:textId="3F2DFEF8" w:rsidR="008B2F4A" w:rsidRPr="00492B4A" w:rsidRDefault="008B2F4A" w:rsidP="00492B4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751FB">
        <w:rPr>
          <w:rFonts w:eastAsiaTheme="minorEastAsia"/>
          <w:b/>
          <w:bCs/>
        </w:rPr>
        <w:t>High</w:t>
      </w:r>
      <w:r>
        <w:rPr>
          <w:rFonts w:eastAsiaTheme="minorEastAsia"/>
        </w:rPr>
        <w:t xml:space="preserve">: </w:t>
      </w:r>
      <w:r w:rsidR="00B751FB">
        <w:rPr>
          <w:rFonts w:eastAsiaTheme="minorEastAsia"/>
        </w:rPr>
        <w:t xml:space="preserve">At least </w:t>
      </w:r>
      <w:r>
        <w:rPr>
          <w:rFonts w:eastAsiaTheme="minorEastAsia"/>
        </w:rPr>
        <w:t>2400 MET-minutes/week</w:t>
      </w:r>
    </w:p>
    <w:p w14:paraId="7481A2B9" w14:textId="534EF35F" w:rsidR="00372BE3" w:rsidRDefault="008F60CA">
      <w:r>
        <w:t xml:space="preserve">We modeled impacts on mortality and derived estimates of DALYs from the </w:t>
      </w:r>
      <w:r w:rsidR="00AD0655">
        <w:t>cause-</w:t>
      </w:r>
      <w:r>
        <w:t>specific ratio of deaths to DALYs.</w:t>
      </w:r>
    </w:p>
    <w:p w14:paraId="06CB3DC7" w14:textId="77777777" w:rsidR="00372BE3" w:rsidRDefault="00372BE3"/>
    <w:p w14:paraId="294C44FE" w14:textId="17A3A619" w:rsidR="008F60CA" w:rsidRPr="008F60CA" w:rsidRDefault="00D94414">
      <w:pPr>
        <w:rPr>
          <w:b/>
          <w:bCs/>
        </w:rPr>
      </w:pPr>
      <w:r>
        <w:rPr>
          <w:b/>
          <w:bCs/>
        </w:rPr>
        <w:t>Figure 1: Population attributable fractions of physical activity related mortality by cause and sex</w:t>
      </w:r>
    </w:p>
    <w:p w14:paraId="25E2FDC2" w14:textId="1AB05F68" w:rsidR="00D94414" w:rsidRDefault="00D94414" w:rsidP="008F45EB">
      <w:r>
        <w:rPr>
          <w:noProof/>
        </w:rPr>
        <w:drawing>
          <wp:inline distT="0" distB="0" distL="0" distR="0" wp14:anchorId="78B3E06F" wp14:editId="71EACA60">
            <wp:extent cx="59436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CA65" w14:textId="77777777" w:rsidR="00165CDB" w:rsidRDefault="00165CDB" w:rsidP="008F45EB"/>
    <w:p w14:paraId="7BA6F430" w14:textId="77777777" w:rsidR="002F38B9" w:rsidRDefault="002F38B9" w:rsidP="008F45EB"/>
    <w:p w14:paraId="5F38CB15" w14:textId="3BCE2389" w:rsidR="00D94414" w:rsidRPr="00165CDB" w:rsidRDefault="00165CDB" w:rsidP="008F45EB">
      <w:pPr>
        <w:rPr>
          <w:b/>
          <w:bCs/>
        </w:rPr>
      </w:pPr>
      <w:r w:rsidRPr="00165CDB">
        <w:rPr>
          <w:b/>
          <w:bCs/>
        </w:rPr>
        <w:t>Table 2:</w:t>
      </w:r>
      <w:r>
        <w:rPr>
          <w:b/>
          <w:bCs/>
        </w:rPr>
        <w:t xml:space="preserve"> Calculation of total economic impact by scenario</w:t>
      </w:r>
      <w:r w:rsidR="00EA180C">
        <w:rPr>
          <w:b/>
          <w:bCs/>
        </w:rPr>
        <w:t xml:space="preserve"> for the period 2023-2040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01"/>
        <w:gridCol w:w="1910"/>
        <w:gridCol w:w="1960"/>
        <w:gridCol w:w="1667"/>
      </w:tblGrid>
      <w:tr w:rsidR="0086611F" w14:paraId="2EAA428E" w14:textId="339F4A15" w:rsidTr="0086611F">
        <w:tc>
          <w:tcPr>
            <w:tcW w:w="2038" w:type="dxa"/>
            <w:shd w:val="clear" w:color="auto" w:fill="E7E6E6" w:themeFill="background2"/>
          </w:tcPr>
          <w:p w14:paraId="2B84F4E4" w14:textId="55A2280A" w:rsidR="0086611F" w:rsidRPr="008F45EB" w:rsidRDefault="0086611F" w:rsidP="008F45EB">
            <w:pPr>
              <w:rPr>
                <w:b/>
                <w:bCs/>
              </w:rPr>
            </w:pPr>
            <w:r w:rsidRPr="008F45EB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2001" w:type="dxa"/>
            <w:shd w:val="clear" w:color="auto" w:fill="E7E6E6" w:themeFill="background2"/>
          </w:tcPr>
          <w:p w14:paraId="75212A4A" w14:textId="21C4D9BE" w:rsidR="0086611F" w:rsidRDefault="0086611F" w:rsidP="008F45EB">
            <w:pPr>
              <w:rPr>
                <w:b/>
                <w:bCs/>
              </w:rPr>
            </w:pPr>
            <w:r w:rsidRPr="008F45EB">
              <w:rPr>
                <w:b/>
                <w:bCs/>
              </w:rPr>
              <w:t>GDP</w:t>
            </w:r>
            <w:r>
              <w:rPr>
                <w:b/>
                <w:bCs/>
              </w:rPr>
              <w:t xml:space="preserve"> per capita </w:t>
            </w:r>
          </w:p>
          <w:p w14:paraId="26B39E2E" w14:textId="3DAEC750" w:rsidR="0086611F" w:rsidRPr="008F45EB" w:rsidRDefault="0086611F" w:rsidP="008F45EB">
            <w:pPr>
              <w:rPr>
                <w:b/>
                <w:bCs/>
              </w:rPr>
            </w:pPr>
            <w:r>
              <w:rPr>
                <w:b/>
                <w:bCs/>
              </w:rPr>
              <w:t>(2020 $USD)</w:t>
            </w:r>
          </w:p>
        </w:tc>
        <w:tc>
          <w:tcPr>
            <w:tcW w:w="1910" w:type="dxa"/>
            <w:shd w:val="clear" w:color="auto" w:fill="E7E6E6" w:themeFill="background2"/>
          </w:tcPr>
          <w:p w14:paraId="2E88967D" w14:textId="77777777" w:rsidR="0086611F" w:rsidRDefault="0086611F" w:rsidP="008F45EB">
            <w:pPr>
              <w:rPr>
                <w:b/>
                <w:bCs/>
              </w:rPr>
            </w:pPr>
            <w:r w:rsidRPr="008F45EB">
              <w:rPr>
                <w:b/>
                <w:bCs/>
              </w:rPr>
              <w:t>DALYs</w:t>
            </w:r>
            <w:r>
              <w:rPr>
                <w:b/>
                <w:bCs/>
              </w:rPr>
              <w:t xml:space="preserve"> Averted </w:t>
            </w:r>
          </w:p>
          <w:p w14:paraId="53C80BE6" w14:textId="101FC9AC" w:rsidR="0086611F" w:rsidRPr="008F45EB" w:rsidRDefault="0086611F" w:rsidP="008F45EB">
            <w:pPr>
              <w:rPr>
                <w:b/>
                <w:bCs/>
              </w:rPr>
            </w:pPr>
            <w:r>
              <w:rPr>
                <w:b/>
                <w:bCs/>
              </w:rPr>
              <w:t>(2023-2040)</w:t>
            </w:r>
          </w:p>
        </w:tc>
        <w:tc>
          <w:tcPr>
            <w:tcW w:w="1960" w:type="dxa"/>
            <w:shd w:val="clear" w:color="auto" w:fill="E7E6E6" w:themeFill="background2"/>
          </w:tcPr>
          <w:p w14:paraId="3C87B81B" w14:textId="77777777" w:rsidR="0086611F" w:rsidRDefault="0086611F" w:rsidP="008F45EB">
            <w:pPr>
              <w:rPr>
                <w:b/>
                <w:bCs/>
              </w:rPr>
            </w:pPr>
            <w:r w:rsidRPr="008F45EB">
              <w:rPr>
                <w:b/>
                <w:bCs/>
              </w:rPr>
              <w:t>Economic impact</w:t>
            </w:r>
            <w:r>
              <w:rPr>
                <w:b/>
                <w:bCs/>
              </w:rPr>
              <w:t xml:space="preserve"> </w:t>
            </w:r>
          </w:p>
          <w:p w14:paraId="3C7D5171" w14:textId="33396941" w:rsidR="0086611F" w:rsidRPr="008F45EB" w:rsidRDefault="0086611F" w:rsidP="008F45EB">
            <w:pPr>
              <w:rPr>
                <w:b/>
                <w:bCs/>
              </w:rPr>
            </w:pPr>
            <w:r>
              <w:rPr>
                <w:b/>
                <w:bCs/>
              </w:rPr>
              <w:t>(2020 $USD)</w:t>
            </w:r>
          </w:p>
        </w:tc>
        <w:tc>
          <w:tcPr>
            <w:tcW w:w="1667" w:type="dxa"/>
            <w:shd w:val="clear" w:color="auto" w:fill="E7E6E6" w:themeFill="background2"/>
          </w:tcPr>
          <w:p w14:paraId="00E9E332" w14:textId="6ED78DF0" w:rsidR="0086611F" w:rsidRPr="008F45EB" w:rsidRDefault="0086611F" w:rsidP="008F45EB">
            <w:pPr>
              <w:rPr>
                <w:b/>
                <w:bCs/>
              </w:rPr>
            </w:pPr>
            <w:r>
              <w:rPr>
                <w:b/>
                <w:bCs/>
              </w:rPr>
              <w:t>Deaths Averted (2023-2040)</w:t>
            </w:r>
          </w:p>
        </w:tc>
      </w:tr>
      <w:tr w:rsidR="0086611F" w14:paraId="60C2D9AC" w14:textId="54A7A31C" w:rsidTr="0086611F">
        <w:tc>
          <w:tcPr>
            <w:tcW w:w="2038" w:type="dxa"/>
          </w:tcPr>
          <w:p w14:paraId="76627C9D" w14:textId="7864785A" w:rsidR="0086611F" w:rsidRDefault="0086611F" w:rsidP="008F45EB">
            <w:r>
              <w:t>Intervention</w:t>
            </w:r>
          </w:p>
        </w:tc>
        <w:tc>
          <w:tcPr>
            <w:tcW w:w="2001" w:type="dxa"/>
          </w:tcPr>
          <w:p w14:paraId="3B539569" w14:textId="21A093DD" w:rsidR="0086611F" w:rsidRDefault="0086611F" w:rsidP="008F45EB">
            <w:r>
              <w:t>$</w:t>
            </w:r>
            <w:r w:rsidRPr="008F45EB">
              <w:t>20,110.32</w:t>
            </w:r>
          </w:p>
        </w:tc>
        <w:tc>
          <w:tcPr>
            <w:tcW w:w="1910" w:type="dxa"/>
          </w:tcPr>
          <w:p w14:paraId="1097B916" w14:textId="32FE43E5" w:rsidR="0086611F" w:rsidRDefault="0086611F" w:rsidP="007500F5">
            <w:r>
              <w:t>3.5 million</w:t>
            </w:r>
          </w:p>
        </w:tc>
        <w:tc>
          <w:tcPr>
            <w:tcW w:w="1960" w:type="dxa"/>
          </w:tcPr>
          <w:p w14:paraId="27A42F99" w14:textId="2A5531AC" w:rsidR="0086611F" w:rsidRDefault="0086611F" w:rsidP="008F45EB">
            <w:r>
              <w:t>$160 billion</w:t>
            </w:r>
          </w:p>
        </w:tc>
        <w:tc>
          <w:tcPr>
            <w:tcW w:w="1667" w:type="dxa"/>
          </w:tcPr>
          <w:p w14:paraId="3E293F4D" w14:textId="6D4B91E1" w:rsidR="0086611F" w:rsidRDefault="00FC5276" w:rsidP="008F45EB">
            <w:r>
              <w:t>1</w:t>
            </w:r>
            <w:r w:rsidR="007D04BD">
              <w:t>3</w:t>
            </w:r>
            <w:r>
              <w:t>0,000</w:t>
            </w:r>
          </w:p>
        </w:tc>
      </w:tr>
      <w:tr w:rsidR="0086611F" w14:paraId="17969DAB" w14:textId="0E6A2BAE" w:rsidTr="0086611F">
        <w:tc>
          <w:tcPr>
            <w:tcW w:w="2038" w:type="dxa"/>
          </w:tcPr>
          <w:p w14:paraId="2E257433" w14:textId="544C83E6" w:rsidR="0086611F" w:rsidRDefault="0086611F" w:rsidP="008F45EB">
            <w:r>
              <w:t>Ideal</w:t>
            </w:r>
          </w:p>
        </w:tc>
        <w:tc>
          <w:tcPr>
            <w:tcW w:w="2001" w:type="dxa"/>
          </w:tcPr>
          <w:p w14:paraId="6DE7A4C3" w14:textId="28555636" w:rsidR="0086611F" w:rsidRDefault="0086611F" w:rsidP="008F45EB">
            <w:r>
              <w:t>$</w:t>
            </w:r>
            <w:r w:rsidRPr="008F45EB">
              <w:t>20,110.32</w:t>
            </w:r>
          </w:p>
        </w:tc>
        <w:tc>
          <w:tcPr>
            <w:tcW w:w="1910" w:type="dxa"/>
          </w:tcPr>
          <w:p w14:paraId="6AA8BDAE" w14:textId="2EEC1C16" w:rsidR="0086611F" w:rsidRDefault="0086611F" w:rsidP="007500F5">
            <w:r>
              <w:t>5.9 million</w:t>
            </w:r>
          </w:p>
        </w:tc>
        <w:tc>
          <w:tcPr>
            <w:tcW w:w="1960" w:type="dxa"/>
          </w:tcPr>
          <w:p w14:paraId="6681AB54" w14:textId="2E63E0CB" w:rsidR="0086611F" w:rsidRDefault="0086611F" w:rsidP="008F45EB">
            <w:r>
              <w:t>$270 billion</w:t>
            </w:r>
          </w:p>
        </w:tc>
        <w:tc>
          <w:tcPr>
            <w:tcW w:w="1667" w:type="dxa"/>
          </w:tcPr>
          <w:p w14:paraId="1A1A6C48" w14:textId="16EE36EB" w:rsidR="0086611F" w:rsidRDefault="0068476D" w:rsidP="008F45EB">
            <w:r>
              <w:t>170,000</w:t>
            </w:r>
          </w:p>
        </w:tc>
      </w:tr>
    </w:tbl>
    <w:p w14:paraId="75652AA3" w14:textId="4521B689" w:rsidR="00F54A8A" w:rsidRDefault="00F54A8A" w:rsidP="008F45EB"/>
    <w:p w14:paraId="53A79596" w14:textId="77777777" w:rsidR="002F38B9" w:rsidRDefault="002F38B9" w:rsidP="008F45EB"/>
    <w:p w14:paraId="2FF0D7BC" w14:textId="3B5EBFC4" w:rsidR="00F54A8A" w:rsidRDefault="00EA180C" w:rsidP="008F45EB">
      <w:pPr>
        <w:rPr>
          <w:b/>
          <w:bCs/>
        </w:rPr>
      </w:pPr>
      <w:r w:rsidRPr="00EA180C">
        <w:rPr>
          <w:b/>
          <w:bCs/>
        </w:rPr>
        <w:t>Figure 2:</w:t>
      </w:r>
      <w:r w:rsidR="00BC42F5">
        <w:rPr>
          <w:b/>
          <w:bCs/>
        </w:rPr>
        <w:t xml:space="preserve"> Deaths and DALYs averted by cause</w:t>
      </w:r>
    </w:p>
    <w:p w14:paraId="33D90812" w14:textId="007DEB80" w:rsidR="00BC42F5" w:rsidRDefault="00D7501D" w:rsidP="008F45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EF691E" wp14:editId="5F26E339">
            <wp:extent cx="593725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9D9912" wp14:editId="401854E7">
            <wp:extent cx="59372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F698" w14:textId="1D27FB78" w:rsidR="00BC42F5" w:rsidRPr="00EA180C" w:rsidRDefault="00BC42F5" w:rsidP="008F45E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21C3E3" wp14:editId="0E022C97">
            <wp:extent cx="593725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218A2EA" wp14:editId="1EFB0E40">
            <wp:extent cx="593725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E162B96" wp14:editId="0AD7EFFD">
            <wp:extent cx="593725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941BC69" wp14:editId="76906963">
            <wp:extent cx="593725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2F5" w:rsidRPr="00EA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h Pickersgill" w:date="2023-11-17T11:48:00Z" w:initials="SP">
    <w:p w14:paraId="6679BD84" w14:textId="77777777" w:rsidR="006C7713" w:rsidRDefault="006C7713" w:rsidP="001E19DC">
      <w:pPr>
        <w:pStyle w:val="CommentText"/>
      </w:pPr>
      <w:r>
        <w:rPr>
          <w:rStyle w:val="CommentReference"/>
        </w:rPr>
        <w:annotationRef/>
      </w:r>
      <w:r>
        <w:t>Provided to us by Severin &amp; team. Not sure if it is published/cited?</w:t>
      </w:r>
    </w:p>
  </w:comment>
  <w:comment w:id="1" w:author="Sarah Pickersgill" w:date="2023-11-17T11:48:00Z" w:initials="SP">
    <w:p w14:paraId="6AA31630" w14:textId="77777777" w:rsidR="006C7713" w:rsidRDefault="006C7713" w:rsidP="00952420">
      <w:pPr>
        <w:pStyle w:val="CommentText"/>
      </w:pPr>
      <w:r>
        <w:rPr>
          <w:rStyle w:val="CommentReference"/>
        </w:rPr>
        <w:annotationRef/>
      </w:r>
      <w:hyperlink r:id="rId1" w:history="1">
        <w:r w:rsidRPr="00952420">
          <w:rPr>
            <w:rStyle w:val="Hyperlink"/>
          </w:rPr>
          <w:t>https://www.ncbi.nlm.nih.gov/pmc/articles/PMC2674408/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79BD84" w15:done="0"/>
  <w15:commentEx w15:paraId="6AA316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0D0AB16" w16cex:dateUtc="2023-11-17T19:48:00Z"/>
  <w16cex:commentExtensible w16cex:durableId="0A9F374A" w16cex:dateUtc="2023-11-17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79BD84" w16cid:durableId="30D0AB16"/>
  <w16cid:commentId w16cid:paraId="6AA31630" w16cid:durableId="0A9F3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2C3"/>
    <w:multiLevelType w:val="hybridMultilevel"/>
    <w:tmpl w:val="0714DFE4"/>
    <w:lvl w:ilvl="0" w:tplc="EC0C2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0F5B"/>
    <w:multiLevelType w:val="hybridMultilevel"/>
    <w:tmpl w:val="04187E12"/>
    <w:lvl w:ilvl="0" w:tplc="6DF0F8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E2013"/>
    <w:multiLevelType w:val="hybridMultilevel"/>
    <w:tmpl w:val="4BC2DBD4"/>
    <w:lvl w:ilvl="0" w:tplc="5B8A1C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2E1A"/>
    <w:multiLevelType w:val="hybridMultilevel"/>
    <w:tmpl w:val="F1E68648"/>
    <w:lvl w:ilvl="0" w:tplc="68AABC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663346">
    <w:abstractNumId w:val="2"/>
  </w:num>
  <w:num w:numId="2" w16cid:durableId="1302734073">
    <w:abstractNumId w:val="3"/>
  </w:num>
  <w:num w:numId="3" w16cid:durableId="193232731">
    <w:abstractNumId w:val="0"/>
  </w:num>
  <w:num w:numId="4" w16cid:durableId="12049038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Pickersgill">
    <w15:presenceInfo w15:providerId="AD" w15:userId="S::sarahjp@uw.edu::c0854cde-c0db-4e50-85ff-d02a2d1ed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0CA"/>
    <w:rsid w:val="00010B38"/>
    <w:rsid w:val="00030CE3"/>
    <w:rsid w:val="00046FBD"/>
    <w:rsid w:val="00085495"/>
    <w:rsid w:val="00097419"/>
    <w:rsid w:val="000E4566"/>
    <w:rsid w:val="00145BA5"/>
    <w:rsid w:val="00152373"/>
    <w:rsid w:val="00165CDB"/>
    <w:rsid w:val="002023BA"/>
    <w:rsid w:val="002F38B9"/>
    <w:rsid w:val="002F6921"/>
    <w:rsid w:val="00343D51"/>
    <w:rsid w:val="0035024A"/>
    <w:rsid w:val="00372BE3"/>
    <w:rsid w:val="003A347E"/>
    <w:rsid w:val="003C7B72"/>
    <w:rsid w:val="003D5D94"/>
    <w:rsid w:val="003E5310"/>
    <w:rsid w:val="00406586"/>
    <w:rsid w:val="0043241A"/>
    <w:rsid w:val="00492B4A"/>
    <w:rsid w:val="005101D3"/>
    <w:rsid w:val="00540E22"/>
    <w:rsid w:val="005B233C"/>
    <w:rsid w:val="005C6CBA"/>
    <w:rsid w:val="006272ED"/>
    <w:rsid w:val="0064404D"/>
    <w:rsid w:val="00650C23"/>
    <w:rsid w:val="00663ABE"/>
    <w:rsid w:val="0068476D"/>
    <w:rsid w:val="006C7713"/>
    <w:rsid w:val="00730BC5"/>
    <w:rsid w:val="00731746"/>
    <w:rsid w:val="007500F5"/>
    <w:rsid w:val="00760733"/>
    <w:rsid w:val="00761737"/>
    <w:rsid w:val="00781837"/>
    <w:rsid w:val="007C1E8F"/>
    <w:rsid w:val="007D04BD"/>
    <w:rsid w:val="0086611F"/>
    <w:rsid w:val="008B2F4A"/>
    <w:rsid w:val="008D66A4"/>
    <w:rsid w:val="008F39EB"/>
    <w:rsid w:val="008F45EB"/>
    <w:rsid w:val="008F60CA"/>
    <w:rsid w:val="00964ED0"/>
    <w:rsid w:val="009926AF"/>
    <w:rsid w:val="009C56E7"/>
    <w:rsid w:val="00A9561E"/>
    <w:rsid w:val="00AC326F"/>
    <w:rsid w:val="00AD0655"/>
    <w:rsid w:val="00B751FB"/>
    <w:rsid w:val="00B859B3"/>
    <w:rsid w:val="00B92F6E"/>
    <w:rsid w:val="00BC42F5"/>
    <w:rsid w:val="00C0065B"/>
    <w:rsid w:val="00C34509"/>
    <w:rsid w:val="00D14086"/>
    <w:rsid w:val="00D7501D"/>
    <w:rsid w:val="00D94414"/>
    <w:rsid w:val="00DA033E"/>
    <w:rsid w:val="00DA2BC1"/>
    <w:rsid w:val="00DD1AE2"/>
    <w:rsid w:val="00E253D9"/>
    <w:rsid w:val="00E75EFF"/>
    <w:rsid w:val="00EA180C"/>
    <w:rsid w:val="00ED2A3A"/>
    <w:rsid w:val="00EF63FF"/>
    <w:rsid w:val="00F13C71"/>
    <w:rsid w:val="00F20BEC"/>
    <w:rsid w:val="00F54A8A"/>
    <w:rsid w:val="00F73FC9"/>
    <w:rsid w:val="00FC5276"/>
    <w:rsid w:val="00F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A17E"/>
  <w15:docId w15:val="{A94CE981-EBB5-47F8-9767-29FA6CB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3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5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7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7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7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7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bi.nlm.nih.gov/pmc/articles/PMC2674408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Pickersgill</dc:creator>
  <cp:keywords/>
  <dc:description/>
  <cp:lastModifiedBy>Sarah Pickersgill</cp:lastModifiedBy>
  <cp:revision>53</cp:revision>
  <dcterms:created xsi:type="dcterms:W3CDTF">2022-04-20T17:14:00Z</dcterms:created>
  <dcterms:modified xsi:type="dcterms:W3CDTF">2023-11-20T23:34:00Z</dcterms:modified>
</cp:coreProperties>
</file>