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1B0B8" w14:textId="77777777" w:rsidR="00711131" w:rsidRDefault="00000000">
      <w:pPr>
        <w:pStyle w:val="Title"/>
      </w:pPr>
      <w:r>
        <w:t>Projected cardiovascular health gains from achieving WHO targets for hypertension control and lipid-lowering therapy: a global modelling study, 2026-2050</w:t>
      </w:r>
    </w:p>
    <w:p w14:paraId="1E11B0B9" w14:textId="77777777" w:rsidR="00711131" w:rsidRDefault="00000000">
      <w:pPr>
        <w:pStyle w:val="Author"/>
      </w:pPr>
      <w:r>
        <w:t>William Garcia</w:t>
      </w:r>
    </w:p>
    <w:p w14:paraId="1E11B0BA" w14:textId="77777777" w:rsidR="00711131" w:rsidRDefault="00000000">
      <w:pPr>
        <w:pStyle w:val="Date"/>
      </w:pPr>
      <w:r>
        <w:t>April 01, 2026</w:t>
      </w:r>
    </w:p>
    <w:sdt>
      <w:sdtPr>
        <w:rPr>
          <w:rFonts w:asciiTheme="minorHAnsi" w:eastAsiaTheme="minorHAnsi" w:hAnsiTheme="minorHAnsi" w:cstheme="minorBidi"/>
          <w:color w:val="auto"/>
          <w:sz w:val="24"/>
          <w:szCs w:val="24"/>
        </w:rPr>
        <w:id w:val="1511096870"/>
        <w:docPartObj>
          <w:docPartGallery w:val="Table of Contents"/>
          <w:docPartUnique/>
        </w:docPartObj>
      </w:sdtPr>
      <w:sdtContent>
        <w:p w14:paraId="1E11B0BB" w14:textId="77777777" w:rsidR="00711131" w:rsidRDefault="00000000">
          <w:pPr>
            <w:pStyle w:val="TOCHeading"/>
          </w:pPr>
          <w:r>
            <w:t>Table of Contents</w:t>
          </w:r>
        </w:p>
        <w:p w14:paraId="754B52E6" w14:textId="44ED570D" w:rsidR="0040223E" w:rsidRDefault="00000000">
          <w:pPr>
            <w:pStyle w:val="TOC1"/>
            <w:tabs>
              <w:tab w:val="left" w:pos="480"/>
              <w:tab w:val="right" w:leader="dot" w:pos="9350"/>
            </w:tabs>
            <w:rPr>
              <w:noProof/>
            </w:rPr>
          </w:pPr>
          <w:r>
            <w:fldChar w:fldCharType="begin"/>
          </w:r>
          <w:r>
            <w:instrText>TOC \o "1-3" \h \z \u</w:instrText>
          </w:r>
          <w:r>
            <w:fldChar w:fldCharType="separate"/>
          </w:r>
          <w:hyperlink w:anchor="_Toc225970023" w:history="1">
            <w:r w:rsidR="0040223E" w:rsidRPr="005877B2">
              <w:rPr>
                <w:rStyle w:val="Hyperlink"/>
                <w:noProof/>
              </w:rPr>
              <w:t>1</w:t>
            </w:r>
            <w:r w:rsidR="0040223E">
              <w:rPr>
                <w:noProof/>
              </w:rPr>
              <w:tab/>
            </w:r>
            <w:r w:rsidR="0040223E" w:rsidRPr="005877B2">
              <w:rPr>
                <w:rStyle w:val="Hyperlink"/>
                <w:noProof/>
              </w:rPr>
              <w:t>Abstract</w:t>
            </w:r>
            <w:r w:rsidR="0040223E">
              <w:rPr>
                <w:noProof/>
                <w:webHidden/>
              </w:rPr>
              <w:tab/>
            </w:r>
            <w:r w:rsidR="0040223E">
              <w:rPr>
                <w:noProof/>
                <w:webHidden/>
              </w:rPr>
              <w:fldChar w:fldCharType="begin"/>
            </w:r>
            <w:r w:rsidR="0040223E">
              <w:rPr>
                <w:noProof/>
                <w:webHidden/>
              </w:rPr>
              <w:instrText xml:space="preserve"> PAGEREF _Toc225970023 \h </w:instrText>
            </w:r>
            <w:r w:rsidR="0040223E">
              <w:rPr>
                <w:noProof/>
                <w:webHidden/>
              </w:rPr>
            </w:r>
            <w:r w:rsidR="0040223E">
              <w:rPr>
                <w:noProof/>
                <w:webHidden/>
              </w:rPr>
              <w:fldChar w:fldCharType="separate"/>
            </w:r>
            <w:r w:rsidR="0040223E">
              <w:rPr>
                <w:noProof/>
                <w:webHidden/>
              </w:rPr>
              <w:t>2</w:t>
            </w:r>
            <w:r w:rsidR="0040223E">
              <w:rPr>
                <w:noProof/>
                <w:webHidden/>
              </w:rPr>
              <w:fldChar w:fldCharType="end"/>
            </w:r>
          </w:hyperlink>
        </w:p>
        <w:p w14:paraId="65B8499F" w14:textId="63646537" w:rsidR="0040223E" w:rsidRDefault="0040223E">
          <w:pPr>
            <w:pStyle w:val="TOC2"/>
            <w:tabs>
              <w:tab w:val="left" w:pos="960"/>
              <w:tab w:val="right" w:leader="dot" w:pos="9350"/>
            </w:tabs>
            <w:rPr>
              <w:noProof/>
            </w:rPr>
          </w:pPr>
          <w:hyperlink w:anchor="_Toc225970024" w:history="1">
            <w:r w:rsidRPr="005877B2">
              <w:rPr>
                <w:rStyle w:val="Hyperlink"/>
                <w:noProof/>
              </w:rPr>
              <w:t>1.1</w:t>
            </w:r>
            <w:r>
              <w:rPr>
                <w:noProof/>
              </w:rPr>
              <w:tab/>
            </w:r>
            <w:r w:rsidRPr="005877B2">
              <w:rPr>
                <w:rStyle w:val="Hyperlink"/>
                <w:noProof/>
              </w:rPr>
              <w:t>Structured abstract</w:t>
            </w:r>
            <w:r>
              <w:rPr>
                <w:noProof/>
                <w:webHidden/>
              </w:rPr>
              <w:tab/>
            </w:r>
            <w:r>
              <w:rPr>
                <w:noProof/>
                <w:webHidden/>
              </w:rPr>
              <w:fldChar w:fldCharType="begin"/>
            </w:r>
            <w:r>
              <w:rPr>
                <w:noProof/>
                <w:webHidden/>
              </w:rPr>
              <w:instrText xml:space="preserve"> PAGEREF _Toc225970024 \h </w:instrText>
            </w:r>
            <w:r>
              <w:rPr>
                <w:noProof/>
                <w:webHidden/>
              </w:rPr>
            </w:r>
            <w:r>
              <w:rPr>
                <w:noProof/>
                <w:webHidden/>
              </w:rPr>
              <w:fldChar w:fldCharType="separate"/>
            </w:r>
            <w:r>
              <w:rPr>
                <w:noProof/>
                <w:webHidden/>
              </w:rPr>
              <w:t>2</w:t>
            </w:r>
            <w:r>
              <w:rPr>
                <w:noProof/>
                <w:webHidden/>
              </w:rPr>
              <w:fldChar w:fldCharType="end"/>
            </w:r>
          </w:hyperlink>
        </w:p>
        <w:p w14:paraId="69ED5391" w14:textId="17DD43DE" w:rsidR="0040223E" w:rsidRDefault="0040223E">
          <w:pPr>
            <w:pStyle w:val="TOC2"/>
            <w:tabs>
              <w:tab w:val="left" w:pos="960"/>
              <w:tab w:val="right" w:leader="dot" w:pos="9350"/>
            </w:tabs>
            <w:rPr>
              <w:noProof/>
            </w:rPr>
          </w:pPr>
          <w:hyperlink w:anchor="_Toc225970025" w:history="1">
            <w:r w:rsidRPr="005877B2">
              <w:rPr>
                <w:rStyle w:val="Hyperlink"/>
                <w:noProof/>
              </w:rPr>
              <w:t>1.2</w:t>
            </w:r>
            <w:r>
              <w:rPr>
                <w:noProof/>
              </w:rPr>
              <w:tab/>
            </w:r>
            <w:r w:rsidRPr="005877B2">
              <w:rPr>
                <w:rStyle w:val="Hyperlink"/>
                <w:noProof/>
              </w:rPr>
              <w:t>Research in context</w:t>
            </w:r>
            <w:r>
              <w:rPr>
                <w:noProof/>
                <w:webHidden/>
              </w:rPr>
              <w:tab/>
            </w:r>
            <w:r>
              <w:rPr>
                <w:noProof/>
                <w:webHidden/>
              </w:rPr>
              <w:fldChar w:fldCharType="begin"/>
            </w:r>
            <w:r>
              <w:rPr>
                <w:noProof/>
                <w:webHidden/>
              </w:rPr>
              <w:instrText xml:space="preserve"> PAGEREF _Toc225970025 \h </w:instrText>
            </w:r>
            <w:r>
              <w:rPr>
                <w:noProof/>
                <w:webHidden/>
              </w:rPr>
            </w:r>
            <w:r>
              <w:rPr>
                <w:noProof/>
                <w:webHidden/>
              </w:rPr>
              <w:fldChar w:fldCharType="separate"/>
            </w:r>
            <w:r>
              <w:rPr>
                <w:noProof/>
                <w:webHidden/>
              </w:rPr>
              <w:t>3</w:t>
            </w:r>
            <w:r>
              <w:rPr>
                <w:noProof/>
                <w:webHidden/>
              </w:rPr>
              <w:fldChar w:fldCharType="end"/>
            </w:r>
          </w:hyperlink>
        </w:p>
        <w:p w14:paraId="50ABD6B7" w14:textId="63605DCD" w:rsidR="0040223E" w:rsidRDefault="0040223E">
          <w:pPr>
            <w:pStyle w:val="TOC1"/>
            <w:tabs>
              <w:tab w:val="left" w:pos="480"/>
              <w:tab w:val="right" w:leader="dot" w:pos="9350"/>
            </w:tabs>
            <w:rPr>
              <w:noProof/>
            </w:rPr>
          </w:pPr>
          <w:hyperlink w:anchor="_Toc225970026" w:history="1">
            <w:r w:rsidRPr="005877B2">
              <w:rPr>
                <w:rStyle w:val="Hyperlink"/>
                <w:noProof/>
              </w:rPr>
              <w:t>2</w:t>
            </w:r>
            <w:r>
              <w:rPr>
                <w:noProof/>
              </w:rPr>
              <w:tab/>
            </w:r>
            <w:r w:rsidRPr="005877B2">
              <w:rPr>
                <w:rStyle w:val="Hyperlink"/>
                <w:noProof/>
              </w:rPr>
              <w:t>Introduction</w:t>
            </w:r>
            <w:r>
              <w:rPr>
                <w:noProof/>
                <w:webHidden/>
              </w:rPr>
              <w:tab/>
            </w:r>
            <w:r>
              <w:rPr>
                <w:noProof/>
                <w:webHidden/>
              </w:rPr>
              <w:fldChar w:fldCharType="begin"/>
            </w:r>
            <w:r>
              <w:rPr>
                <w:noProof/>
                <w:webHidden/>
              </w:rPr>
              <w:instrText xml:space="preserve"> PAGEREF _Toc225970026 \h </w:instrText>
            </w:r>
            <w:r>
              <w:rPr>
                <w:noProof/>
                <w:webHidden/>
              </w:rPr>
            </w:r>
            <w:r>
              <w:rPr>
                <w:noProof/>
                <w:webHidden/>
              </w:rPr>
              <w:fldChar w:fldCharType="separate"/>
            </w:r>
            <w:r>
              <w:rPr>
                <w:noProof/>
                <w:webHidden/>
              </w:rPr>
              <w:t>4</w:t>
            </w:r>
            <w:r>
              <w:rPr>
                <w:noProof/>
                <w:webHidden/>
              </w:rPr>
              <w:fldChar w:fldCharType="end"/>
            </w:r>
          </w:hyperlink>
        </w:p>
        <w:p w14:paraId="6B58F9AD" w14:textId="0385943A" w:rsidR="0040223E" w:rsidRDefault="0040223E">
          <w:pPr>
            <w:pStyle w:val="TOC1"/>
            <w:tabs>
              <w:tab w:val="left" w:pos="480"/>
              <w:tab w:val="right" w:leader="dot" w:pos="9350"/>
            </w:tabs>
            <w:rPr>
              <w:noProof/>
            </w:rPr>
          </w:pPr>
          <w:hyperlink w:anchor="_Toc225970027" w:history="1">
            <w:r w:rsidRPr="005877B2">
              <w:rPr>
                <w:rStyle w:val="Hyperlink"/>
                <w:noProof/>
              </w:rPr>
              <w:t>3</w:t>
            </w:r>
            <w:r>
              <w:rPr>
                <w:noProof/>
              </w:rPr>
              <w:tab/>
            </w:r>
            <w:r w:rsidRPr="005877B2">
              <w:rPr>
                <w:rStyle w:val="Hyperlink"/>
                <w:noProof/>
              </w:rPr>
              <w:t>Methods</w:t>
            </w:r>
            <w:r>
              <w:rPr>
                <w:noProof/>
                <w:webHidden/>
              </w:rPr>
              <w:tab/>
            </w:r>
            <w:r>
              <w:rPr>
                <w:noProof/>
                <w:webHidden/>
              </w:rPr>
              <w:fldChar w:fldCharType="begin"/>
            </w:r>
            <w:r>
              <w:rPr>
                <w:noProof/>
                <w:webHidden/>
              </w:rPr>
              <w:instrText xml:space="preserve"> PAGEREF _Toc225970027 \h </w:instrText>
            </w:r>
            <w:r>
              <w:rPr>
                <w:noProof/>
                <w:webHidden/>
              </w:rPr>
            </w:r>
            <w:r>
              <w:rPr>
                <w:noProof/>
                <w:webHidden/>
              </w:rPr>
              <w:fldChar w:fldCharType="separate"/>
            </w:r>
            <w:r>
              <w:rPr>
                <w:noProof/>
                <w:webHidden/>
              </w:rPr>
              <w:t>5</w:t>
            </w:r>
            <w:r>
              <w:rPr>
                <w:noProof/>
                <w:webHidden/>
              </w:rPr>
              <w:fldChar w:fldCharType="end"/>
            </w:r>
          </w:hyperlink>
        </w:p>
        <w:p w14:paraId="4F6F61D3" w14:textId="6A0D2C3E" w:rsidR="0040223E" w:rsidRDefault="0040223E">
          <w:pPr>
            <w:pStyle w:val="TOC2"/>
            <w:tabs>
              <w:tab w:val="left" w:pos="960"/>
              <w:tab w:val="right" w:leader="dot" w:pos="9350"/>
            </w:tabs>
            <w:rPr>
              <w:noProof/>
            </w:rPr>
          </w:pPr>
          <w:hyperlink w:anchor="_Toc225970028" w:history="1">
            <w:r w:rsidRPr="005877B2">
              <w:rPr>
                <w:rStyle w:val="Hyperlink"/>
                <w:noProof/>
              </w:rPr>
              <w:t>3.1</w:t>
            </w:r>
            <w:r>
              <w:rPr>
                <w:noProof/>
              </w:rPr>
              <w:tab/>
            </w:r>
            <w:r w:rsidRPr="005877B2">
              <w:rPr>
                <w:rStyle w:val="Hyperlink"/>
                <w:noProof/>
              </w:rPr>
              <w:t>Study design</w:t>
            </w:r>
            <w:r>
              <w:rPr>
                <w:noProof/>
                <w:webHidden/>
              </w:rPr>
              <w:tab/>
            </w:r>
            <w:r>
              <w:rPr>
                <w:noProof/>
                <w:webHidden/>
              </w:rPr>
              <w:fldChar w:fldCharType="begin"/>
            </w:r>
            <w:r>
              <w:rPr>
                <w:noProof/>
                <w:webHidden/>
              </w:rPr>
              <w:instrText xml:space="preserve"> PAGEREF _Toc225970028 \h </w:instrText>
            </w:r>
            <w:r>
              <w:rPr>
                <w:noProof/>
                <w:webHidden/>
              </w:rPr>
            </w:r>
            <w:r>
              <w:rPr>
                <w:noProof/>
                <w:webHidden/>
              </w:rPr>
              <w:fldChar w:fldCharType="separate"/>
            </w:r>
            <w:r>
              <w:rPr>
                <w:noProof/>
                <w:webHidden/>
              </w:rPr>
              <w:t>5</w:t>
            </w:r>
            <w:r>
              <w:rPr>
                <w:noProof/>
                <w:webHidden/>
              </w:rPr>
              <w:fldChar w:fldCharType="end"/>
            </w:r>
          </w:hyperlink>
        </w:p>
        <w:p w14:paraId="7F08BEC7" w14:textId="105F3E49" w:rsidR="0040223E" w:rsidRDefault="0040223E">
          <w:pPr>
            <w:pStyle w:val="TOC2"/>
            <w:tabs>
              <w:tab w:val="left" w:pos="960"/>
              <w:tab w:val="right" w:leader="dot" w:pos="9350"/>
            </w:tabs>
            <w:rPr>
              <w:noProof/>
            </w:rPr>
          </w:pPr>
          <w:hyperlink w:anchor="_Toc225970029" w:history="1">
            <w:r w:rsidRPr="005877B2">
              <w:rPr>
                <w:rStyle w:val="Hyperlink"/>
                <w:noProof/>
              </w:rPr>
              <w:t>3.2</w:t>
            </w:r>
            <w:r>
              <w:rPr>
                <w:noProof/>
              </w:rPr>
              <w:tab/>
            </w:r>
            <w:r w:rsidRPr="005877B2">
              <w:rPr>
                <w:rStyle w:val="Hyperlink"/>
                <w:noProof/>
              </w:rPr>
              <w:t>Data sources</w:t>
            </w:r>
            <w:r>
              <w:rPr>
                <w:noProof/>
                <w:webHidden/>
              </w:rPr>
              <w:tab/>
            </w:r>
            <w:r>
              <w:rPr>
                <w:noProof/>
                <w:webHidden/>
              </w:rPr>
              <w:fldChar w:fldCharType="begin"/>
            </w:r>
            <w:r>
              <w:rPr>
                <w:noProof/>
                <w:webHidden/>
              </w:rPr>
              <w:instrText xml:space="preserve"> PAGEREF _Toc225970029 \h </w:instrText>
            </w:r>
            <w:r>
              <w:rPr>
                <w:noProof/>
                <w:webHidden/>
              </w:rPr>
            </w:r>
            <w:r>
              <w:rPr>
                <w:noProof/>
                <w:webHidden/>
              </w:rPr>
              <w:fldChar w:fldCharType="separate"/>
            </w:r>
            <w:r>
              <w:rPr>
                <w:noProof/>
                <w:webHidden/>
              </w:rPr>
              <w:t>5</w:t>
            </w:r>
            <w:r>
              <w:rPr>
                <w:noProof/>
                <w:webHidden/>
              </w:rPr>
              <w:fldChar w:fldCharType="end"/>
            </w:r>
          </w:hyperlink>
        </w:p>
        <w:p w14:paraId="0D8BE46A" w14:textId="6135BC91" w:rsidR="0040223E" w:rsidRDefault="0040223E">
          <w:pPr>
            <w:pStyle w:val="TOC2"/>
            <w:tabs>
              <w:tab w:val="left" w:pos="960"/>
              <w:tab w:val="right" w:leader="dot" w:pos="9350"/>
            </w:tabs>
            <w:rPr>
              <w:noProof/>
            </w:rPr>
          </w:pPr>
          <w:hyperlink w:anchor="_Toc225970030" w:history="1">
            <w:r w:rsidRPr="005877B2">
              <w:rPr>
                <w:rStyle w:val="Hyperlink"/>
                <w:noProof/>
              </w:rPr>
              <w:t>3.3</w:t>
            </w:r>
            <w:r>
              <w:rPr>
                <w:noProof/>
              </w:rPr>
              <w:tab/>
            </w:r>
            <w:r w:rsidRPr="005877B2">
              <w:rPr>
                <w:rStyle w:val="Hyperlink"/>
                <w:noProof/>
              </w:rPr>
              <w:t>Intervention scenarios</w:t>
            </w:r>
            <w:r>
              <w:rPr>
                <w:noProof/>
                <w:webHidden/>
              </w:rPr>
              <w:tab/>
            </w:r>
            <w:r>
              <w:rPr>
                <w:noProof/>
                <w:webHidden/>
              </w:rPr>
              <w:fldChar w:fldCharType="begin"/>
            </w:r>
            <w:r>
              <w:rPr>
                <w:noProof/>
                <w:webHidden/>
              </w:rPr>
              <w:instrText xml:space="preserve"> PAGEREF _Toc225970030 \h </w:instrText>
            </w:r>
            <w:r>
              <w:rPr>
                <w:noProof/>
                <w:webHidden/>
              </w:rPr>
            </w:r>
            <w:r>
              <w:rPr>
                <w:noProof/>
                <w:webHidden/>
              </w:rPr>
              <w:fldChar w:fldCharType="separate"/>
            </w:r>
            <w:r>
              <w:rPr>
                <w:noProof/>
                <w:webHidden/>
              </w:rPr>
              <w:t>6</w:t>
            </w:r>
            <w:r>
              <w:rPr>
                <w:noProof/>
                <w:webHidden/>
              </w:rPr>
              <w:fldChar w:fldCharType="end"/>
            </w:r>
          </w:hyperlink>
        </w:p>
        <w:p w14:paraId="4AC65D65" w14:textId="5F764DA7" w:rsidR="0040223E" w:rsidRDefault="0040223E">
          <w:pPr>
            <w:pStyle w:val="TOC2"/>
            <w:tabs>
              <w:tab w:val="left" w:pos="960"/>
              <w:tab w:val="right" w:leader="dot" w:pos="9350"/>
            </w:tabs>
            <w:rPr>
              <w:noProof/>
            </w:rPr>
          </w:pPr>
          <w:hyperlink w:anchor="_Toc225970031" w:history="1">
            <w:r w:rsidRPr="005877B2">
              <w:rPr>
                <w:rStyle w:val="Hyperlink"/>
                <w:noProof/>
              </w:rPr>
              <w:t>3.4</w:t>
            </w:r>
            <w:r>
              <w:rPr>
                <w:noProof/>
              </w:rPr>
              <w:tab/>
            </w:r>
            <w:r w:rsidRPr="005877B2">
              <w:rPr>
                <w:rStyle w:val="Hyperlink"/>
                <w:noProof/>
              </w:rPr>
              <w:t>Modelling framework</w:t>
            </w:r>
            <w:r>
              <w:rPr>
                <w:noProof/>
                <w:webHidden/>
              </w:rPr>
              <w:tab/>
            </w:r>
            <w:r>
              <w:rPr>
                <w:noProof/>
                <w:webHidden/>
              </w:rPr>
              <w:fldChar w:fldCharType="begin"/>
            </w:r>
            <w:r>
              <w:rPr>
                <w:noProof/>
                <w:webHidden/>
              </w:rPr>
              <w:instrText xml:space="preserve"> PAGEREF _Toc225970031 \h </w:instrText>
            </w:r>
            <w:r>
              <w:rPr>
                <w:noProof/>
                <w:webHidden/>
              </w:rPr>
            </w:r>
            <w:r>
              <w:rPr>
                <w:noProof/>
                <w:webHidden/>
              </w:rPr>
              <w:fldChar w:fldCharType="separate"/>
            </w:r>
            <w:r>
              <w:rPr>
                <w:noProof/>
                <w:webHidden/>
              </w:rPr>
              <w:t>6</w:t>
            </w:r>
            <w:r>
              <w:rPr>
                <w:noProof/>
                <w:webHidden/>
              </w:rPr>
              <w:fldChar w:fldCharType="end"/>
            </w:r>
          </w:hyperlink>
        </w:p>
        <w:p w14:paraId="36F9CFF2" w14:textId="578A431E" w:rsidR="0040223E" w:rsidRDefault="0040223E">
          <w:pPr>
            <w:pStyle w:val="TOC2"/>
            <w:tabs>
              <w:tab w:val="left" w:pos="960"/>
              <w:tab w:val="right" w:leader="dot" w:pos="9350"/>
            </w:tabs>
            <w:rPr>
              <w:noProof/>
            </w:rPr>
          </w:pPr>
          <w:hyperlink w:anchor="_Toc225970032" w:history="1">
            <w:r w:rsidRPr="005877B2">
              <w:rPr>
                <w:rStyle w:val="Hyperlink"/>
                <w:noProof/>
              </w:rPr>
              <w:t>3.5</w:t>
            </w:r>
            <w:r>
              <w:rPr>
                <w:noProof/>
              </w:rPr>
              <w:tab/>
            </w:r>
            <w:r w:rsidRPr="005877B2">
              <w:rPr>
                <w:rStyle w:val="Hyperlink"/>
                <w:noProof/>
              </w:rPr>
              <w:t>Outcomes</w:t>
            </w:r>
            <w:r>
              <w:rPr>
                <w:noProof/>
                <w:webHidden/>
              </w:rPr>
              <w:tab/>
            </w:r>
            <w:r>
              <w:rPr>
                <w:noProof/>
                <w:webHidden/>
              </w:rPr>
              <w:fldChar w:fldCharType="begin"/>
            </w:r>
            <w:r>
              <w:rPr>
                <w:noProof/>
                <w:webHidden/>
              </w:rPr>
              <w:instrText xml:space="preserve"> PAGEREF _Toc225970032 \h </w:instrText>
            </w:r>
            <w:r>
              <w:rPr>
                <w:noProof/>
                <w:webHidden/>
              </w:rPr>
            </w:r>
            <w:r>
              <w:rPr>
                <w:noProof/>
                <w:webHidden/>
              </w:rPr>
              <w:fldChar w:fldCharType="separate"/>
            </w:r>
            <w:r>
              <w:rPr>
                <w:noProof/>
                <w:webHidden/>
              </w:rPr>
              <w:t>7</w:t>
            </w:r>
            <w:r>
              <w:rPr>
                <w:noProof/>
                <w:webHidden/>
              </w:rPr>
              <w:fldChar w:fldCharType="end"/>
            </w:r>
          </w:hyperlink>
        </w:p>
        <w:p w14:paraId="28AB521B" w14:textId="51F89B66" w:rsidR="0040223E" w:rsidRDefault="0040223E">
          <w:pPr>
            <w:pStyle w:val="TOC2"/>
            <w:tabs>
              <w:tab w:val="left" w:pos="960"/>
              <w:tab w:val="right" w:leader="dot" w:pos="9350"/>
            </w:tabs>
            <w:rPr>
              <w:noProof/>
            </w:rPr>
          </w:pPr>
          <w:hyperlink w:anchor="_Toc225970033" w:history="1">
            <w:r w:rsidRPr="005877B2">
              <w:rPr>
                <w:rStyle w:val="Hyperlink"/>
                <w:noProof/>
              </w:rPr>
              <w:t>3.6</w:t>
            </w:r>
            <w:r>
              <w:rPr>
                <w:noProof/>
              </w:rPr>
              <w:tab/>
            </w:r>
            <w:r w:rsidRPr="005877B2">
              <w:rPr>
                <w:rStyle w:val="Hyperlink"/>
                <w:noProof/>
              </w:rPr>
              <w:t>Sensitivity and uncertainty analysis</w:t>
            </w:r>
            <w:r>
              <w:rPr>
                <w:noProof/>
                <w:webHidden/>
              </w:rPr>
              <w:tab/>
            </w:r>
            <w:r>
              <w:rPr>
                <w:noProof/>
                <w:webHidden/>
              </w:rPr>
              <w:fldChar w:fldCharType="begin"/>
            </w:r>
            <w:r>
              <w:rPr>
                <w:noProof/>
                <w:webHidden/>
              </w:rPr>
              <w:instrText xml:space="preserve"> PAGEREF _Toc225970033 \h </w:instrText>
            </w:r>
            <w:r>
              <w:rPr>
                <w:noProof/>
                <w:webHidden/>
              </w:rPr>
            </w:r>
            <w:r>
              <w:rPr>
                <w:noProof/>
                <w:webHidden/>
              </w:rPr>
              <w:fldChar w:fldCharType="separate"/>
            </w:r>
            <w:r>
              <w:rPr>
                <w:noProof/>
                <w:webHidden/>
              </w:rPr>
              <w:t>7</w:t>
            </w:r>
            <w:r>
              <w:rPr>
                <w:noProof/>
                <w:webHidden/>
              </w:rPr>
              <w:fldChar w:fldCharType="end"/>
            </w:r>
          </w:hyperlink>
        </w:p>
        <w:p w14:paraId="4F798B75" w14:textId="2BDDBDD5" w:rsidR="0040223E" w:rsidRDefault="0040223E">
          <w:pPr>
            <w:pStyle w:val="TOC1"/>
            <w:tabs>
              <w:tab w:val="left" w:pos="480"/>
              <w:tab w:val="right" w:leader="dot" w:pos="9350"/>
            </w:tabs>
            <w:rPr>
              <w:noProof/>
            </w:rPr>
          </w:pPr>
          <w:hyperlink w:anchor="_Toc225970034" w:history="1">
            <w:r w:rsidRPr="005877B2">
              <w:rPr>
                <w:rStyle w:val="Hyperlink"/>
                <w:noProof/>
              </w:rPr>
              <w:t>4</w:t>
            </w:r>
            <w:r>
              <w:rPr>
                <w:noProof/>
              </w:rPr>
              <w:tab/>
            </w:r>
            <w:r w:rsidRPr="005877B2">
              <w:rPr>
                <w:rStyle w:val="Hyperlink"/>
                <w:noProof/>
              </w:rPr>
              <w:t>Results</w:t>
            </w:r>
            <w:r>
              <w:rPr>
                <w:noProof/>
                <w:webHidden/>
              </w:rPr>
              <w:tab/>
            </w:r>
            <w:r>
              <w:rPr>
                <w:noProof/>
                <w:webHidden/>
              </w:rPr>
              <w:fldChar w:fldCharType="begin"/>
            </w:r>
            <w:r>
              <w:rPr>
                <w:noProof/>
                <w:webHidden/>
              </w:rPr>
              <w:instrText xml:space="preserve"> PAGEREF _Toc225970034 \h </w:instrText>
            </w:r>
            <w:r>
              <w:rPr>
                <w:noProof/>
                <w:webHidden/>
              </w:rPr>
            </w:r>
            <w:r>
              <w:rPr>
                <w:noProof/>
                <w:webHidden/>
              </w:rPr>
              <w:fldChar w:fldCharType="separate"/>
            </w:r>
            <w:r>
              <w:rPr>
                <w:noProof/>
                <w:webHidden/>
              </w:rPr>
              <w:t>7</w:t>
            </w:r>
            <w:r>
              <w:rPr>
                <w:noProof/>
                <w:webHidden/>
              </w:rPr>
              <w:fldChar w:fldCharType="end"/>
            </w:r>
          </w:hyperlink>
        </w:p>
        <w:p w14:paraId="04E7E372" w14:textId="45DD872D" w:rsidR="0040223E" w:rsidRDefault="0040223E">
          <w:pPr>
            <w:pStyle w:val="TOC2"/>
            <w:tabs>
              <w:tab w:val="left" w:pos="960"/>
              <w:tab w:val="right" w:leader="dot" w:pos="9350"/>
            </w:tabs>
            <w:rPr>
              <w:noProof/>
            </w:rPr>
          </w:pPr>
          <w:hyperlink w:anchor="_Toc225970035" w:history="1">
            <w:r w:rsidRPr="005877B2">
              <w:rPr>
                <w:rStyle w:val="Hyperlink"/>
                <w:noProof/>
              </w:rPr>
              <w:t>4.1</w:t>
            </w:r>
            <w:r>
              <w:rPr>
                <w:noProof/>
              </w:rPr>
              <w:tab/>
            </w:r>
            <w:r w:rsidRPr="005877B2">
              <w:rPr>
                <w:rStyle w:val="Hyperlink"/>
                <w:noProof/>
              </w:rPr>
              <w:t>Baseline global trajectory, 2026–2050</w:t>
            </w:r>
            <w:r>
              <w:rPr>
                <w:noProof/>
                <w:webHidden/>
              </w:rPr>
              <w:tab/>
            </w:r>
            <w:r>
              <w:rPr>
                <w:noProof/>
                <w:webHidden/>
              </w:rPr>
              <w:fldChar w:fldCharType="begin"/>
            </w:r>
            <w:r>
              <w:rPr>
                <w:noProof/>
                <w:webHidden/>
              </w:rPr>
              <w:instrText xml:space="preserve"> PAGEREF _Toc225970035 \h </w:instrText>
            </w:r>
            <w:r>
              <w:rPr>
                <w:noProof/>
                <w:webHidden/>
              </w:rPr>
            </w:r>
            <w:r>
              <w:rPr>
                <w:noProof/>
                <w:webHidden/>
              </w:rPr>
              <w:fldChar w:fldCharType="separate"/>
            </w:r>
            <w:r>
              <w:rPr>
                <w:noProof/>
                <w:webHidden/>
              </w:rPr>
              <w:t>7</w:t>
            </w:r>
            <w:r>
              <w:rPr>
                <w:noProof/>
                <w:webHidden/>
              </w:rPr>
              <w:fldChar w:fldCharType="end"/>
            </w:r>
          </w:hyperlink>
        </w:p>
        <w:p w14:paraId="4F0D3B05" w14:textId="77C1581C" w:rsidR="0040223E" w:rsidRDefault="0040223E">
          <w:pPr>
            <w:pStyle w:val="TOC2"/>
            <w:tabs>
              <w:tab w:val="left" w:pos="960"/>
              <w:tab w:val="right" w:leader="dot" w:pos="9350"/>
            </w:tabs>
            <w:rPr>
              <w:noProof/>
            </w:rPr>
          </w:pPr>
          <w:hyperlink w:anchor="_Toc225970036" w:history="1">
            <w:r w:rsidRPr="005877B2">
              <w:rPr>
                <w:rStyle w:val="Hyperlink"/>
                <w:noProof/>
              </w:rPr>
              <w:t>4.2</w:t>
            </w:r>
            <w:r>
              <w:rPr>
                <w:noProof/>
              </w:rPr>
              <w:tab/>
            </w:r>
            <w:r w:rsidRPr="005877B2">
              <w:rPr>
                <w:rStyle w:val="Hyperlink"/>
                <w:noProof/>
              </w:rPr>
              <w:t>Global impact of achieving the hypertension control target</w:t>
            </w:r>
            <w:r>
              <w:rPr>
                <w:noProof/>
                <w:webHidden/>
              </w:rPr>
              <w:tab/>
            </w:r>
            <w:r>
              <w:rPr>
                <w:noProof/>
                <w:webHidden/>
              </w:rPr>
              <w:fldChar w:fldCharType="begin"/>
            </w:r>
            <w:r>
              <w:rPr>
                <w:noProof/>
                <w:webHidden/>
              </w:rPr>
              <w:instrText xml:space="preserve"> PAGEREF _Toc225970036 \h </w:instrText>
            </w:r>
            <w:r>
              <w:rPr>
                <w:noProof/>
                <w:webHidden/>
              </w:rPr>
            </w:r>
            <w:r>
              <w:rPr>
                <w:noProof/>
                <w:webHidden/>
              </w:rPr>
              <w:fldChar w:fldCharType="separate"/>
            </w:r>
            <w:r>
              <w:rPr>
                <w:noProof/>
                <w:webHidden/>
              </w:rPr>
              <w:t>7</w:t>
            </w:r>
            <w:r>
              <w:rPr>
                <w:noProof/>
                <w:webHidden/>
              </w:rPr>
              <w:fldChar w:fldCharType="end"/>
            </w:r>
          </w:hyperlink>
        </w:p>
        <w:p w14:paraId="499E07E8" w14:textId="6A083C92" w:rsidR="0040223E" w:rsidRDefault="0040223E">
          <w:pPr>
            <w:pStyle w:val="TOC2"/>
            <w:tabs>
              <w:tab w:val="left" w:pos="960"/>
              <w:tab w:val="right" w:leader="dot" w:pos="9350"/>
            </w:tabs>
            <w:rPr>
              <w:noProof/>
            </w:rPr>
          </w:pPr>
          <w:hyperlink w:anchor="_Toc225970037" w:history="1">
            <w:r w:rsidRPr="005877B2">
              <w:rPr>
                <w:rStyle w:val="Hyperlink"/>
                <w:noProof/>
              </w:rPr>
              <w:t>4.3</w:t>
            </w:r>
            <w:r>
              <w:rPr>
                <w:noProof/>
              </w:rPr>
              <w:tab/>
            </w:r>
            <w:r w:rsidRPr="005877B2">
              <w:rPr>
                <w:rStyle w:val="Hyperlink"/>
                <w:noProof/>
              </w:rPr>
              <w:t>Global impact of achieving the lipid-lowering therapy target</w:t>
            </w:r>
            <w:r>
              <w:rPr>
                <w:noProof/>
                <w:webHidden/>
              </w:rPr>
              <w:tab/>
            </w:r>
            <w:r>
              <w:rPr>
                <w:noProof/>
                <w:webHidden/>
              </w:rPr>
              <w:fldChar w:fldCharType="begin"/>
            </w:r>
            <w:r>
              <w:rPr>
                <w:noProof/>
                <w:webHidden/>
              </w:rPr>
              <w:instrText xml:space="preserve"> PAGEREF _Toc225970037 \h </w:instrText>
            </w:r>
            <w:r>
              <w:rPr>
                <w:noProof/>
                <w:webHidden/>
              </w:rPr>
            </w:r>
            <w:r>
              <w:rPr>
                <w:noProof/>
                <w:webHidden/>
              </w:rPr>
              <w:fldChar w:fldCharType="separate"/>
            </w:r>
            <w:r>
              <w:rPr>
                <w:noProof/>
                <w:webHidden/>
              </w:rPr>
              <w:t>8</w:t>
            </w:r>
            <w:r>
              <w:rPr>
                <w:noProof/>
                <w:webHidden/>
              </w:rPr>
              <w:fldChar w:fldCharType="end"/>
            </w:r>
          </w:hyperlink>
        </w:p>
        <w:p w14:paraId="4EA227FF" w14:textId="37CF100A" w:rsidR="0040223E" w:rsidRDefault="0040223E">
          <w:pPr>
            <w:pStyle w:val="TOC2"/>
            <w:tabs>
              <w:tab w:val="left" w:pos="960"/>
              <w:tab w:val="right" w:leader="dot" w:pos="9350"/>
            </w:tabs>
            <w:rPr>
              <w:noProof/>
            </w:rPr>
          </w:pPr>
          <w:hyperlink w:anchor="_Toc225970038" w:history="1">
            <w:r w:rsidRPr="005877B2">
              <w:rPr>
                <w:rStyle w:val="Hyperlink"/>
                <w:noProof/>
              </w:rPr>
              <w:t>4.4</w:t>
            </w:r>
            <w:r>
              <w:rPr>
                <w:noProof/>
              </w:rPr>
              <w:tab/>
            </w:r>
            <w:r w:rsidRPr="005877B2">
              <w:rPr>
                <w:rStyle w:val="Hyperlink"/>
                <w:noProof/>
              </w:rPr>
              <w:t>Combined impact of both targets</w:t>
            </w:r>
            <w:r>
              <w:rPr>
                <w:noProof/>
                <w:webHidden/>
              </w:rPr>
              <w:tab/>
            </w:r>
            <w:r>
              <w:rPr>
                <w:noProof/>
                <w:webHidden/>
              </w:rPr>
              <w:fldChar w:fldCharType="begin"/>
            </w:r>
            <w:r>
              <w:rPr>
                <w:noProof/>
                <w:webHidden/>
              </w:rPr>
              <w:instrText xml:space="preserve"> PAGEREF _Toc225970038 \h </w:instrText>
            </w:r>
            <w:r>
              <w:rPr>
                <w:noProof/>
                <w:webHidden/>
              </w:rPr>
            </w:r>
            <w:r>
              <w:rPr>
                <w:noProof/>
                <w:webHidden/>
              </w:rPr>
              <w:fldChar w:fldCharType="separate"/>
            </w:r>
            <w:r>
              <w:rPr>
                <w:noProof/>
                <w:webHidden/>
              </w:rPr>
              <w:t>8</w:t>
            </w:r>
            <w:r>
              <w:rPr>
                <w:noProof/>
                <w:webHidden/>
              </w:rPr>
              <w:fldChar w:fldCharType="end"/>
            </w:r>
          </w:hyperlink>
        </w:p>
        <w:p w14:paraId="3DE53DE0" w14:textId="3028818E" w:rsidR="0040223E" w:rsidRDefault="0040223E">
          <w:pPr>
            <w:pStyle w:val="TOC2"/>
            <w:tabs>
              <w:tab w:val="left" w:pos="960"/>
              <w:tab w:val="right" w:leader="dot" w:pos="9350"/>
            </w:tabs>
            <w:rPr>
              <w:noProof/>
            </w:rPr>
          </w:pPr>
          <w:hyperlink w:anchor="_Toc225970039" w:history="1">
            <w:r w:rsidRPr="005877B2">
              <w:rPr>
                <w:rStyle w:val="Hyperlink"/>
                <w:noProof/>
              </w:rPr>
              <w:t>4.5</w:t>
            </w:r>
            <w:r>
              <w:rPr>
                <w:noProof/>
              </w:rPr>
              <w:tab/>
            </w:r>
            <w:r w:rsidRPr="005877B2">
              <w:rPr>
                <w:rStyle w:val="Hyperlink"/>
                <w:noProof/>
              </w:rPr>
              <w:t>Heterogeneity across countries and regions</w:t>
            </w:r>
            <w:r>
              <w:rPr>
                <w:noProof/>
                <w:webHidden/>
              </w:rPr>
              <w:tab/>
            </w:r>
            <w:r>
              <w:rPr>
                <w:noProof/>
                <w:webHidden/>
              </w:rPr>
              <w:fldChar w:fldCharType="begin"/>
            </w:r>
            <w:r>
              <w:rPr>
                <w:noProof/>
                <w:webHidden/>
              </w:rPr>
              <w:instrText xml:space="preserve"> PAGEREF _Toc225970039 \h </w:instrText>
            </w:r>
            <w:r>
              <w:rPr>
                <w:noProof/>
                <w:webHidden/>
              </w:rPr>
            </w:r>
            <w:r>
              <w:rPr>
                <w:noProof/>
                <w:webHidden/>
              </w:rPr>
              <w:fldChar w:fldCharType="separate"/>
            </w:r>
            <w:r>
              <w:rPr>
                <w:noProof/>
                <w:webHidden/>
              </w:rPr>
              <w:t>8</w:t>
            </w:r>
            <w:r>
              <w:rPr>
                <w:noProof/>
                <w:webHidden/>
              </w:rPr>
              <w:fldChar w:fldCharType="end"/>
            </w:r>
          </w:hyperlink>
        </w:p>
        <w:p w14:paraId="1E8384DB" w14:textId="7A00F4F8" w:rsidR="0040223E" w:rsidRDefault="0040223E">
          <w:pPr>
            <w:pStyle w:val="TOC2"/>
            <w:tabs>
              <w:tab w:val="left" w:pos="960"/>
              <w:tab w:val="right" w:leader="dot" w:pos="9350"/>
            </w:tabs>
            <w:rPr>
              <w:noProof/>
            </w:rPr>
          </w:pPr>
          <w:hyperlink w:anchor="_Toc225970040" w:history="1">
            <w:r w:rsidRPr="005877B2">
              <w:rPr>
                <w:rStyle w:val="Hyperlink"/>
                <w:noProof/>
              </w:rPr>
              <w:t>4.6</w:t>
            </w:r>
            <w:r>
              <w:rPr>
                <w:noProof/>
              </w:rPr>
              <w:tab/>
            </w:r>
            <w:r w:rsidRPr="005877B2">
              <w:rPr>
                <w:rStyle w:val="Hyperlink"/>
                <w:noProof/>
              </w:rPr>
              <w:t>Distribution by age and sex</w:t>
            </w:r>
            <w:r>
              <w:rPr>
                <w:noProof/>
                <w:webHidden/>
              </w:rPr>
              <w:tab/>
            </w:r>
            <w:r>
              <w:rPr>
                <w:noProof/>
                <w:webHidden/>
              </w:rPr>
              <w:fldChar w:fldCharType="begin"/>
            </w:r>
            <w:r>
              <w:rPr>
                <w:noProof/>
                <w:webHidden/>
              </w:rPr>
              <w:instrText xml:space="preserve"> PAGEREF _Toc225970040 \h </w:instrText>
            </w:r>
            <w:r>
              <w:rPr>
                <w:noProof/>
                <w:webHidden/>
              </w:rPr>
            </w:r>
            <w:r>
              <w:rPr>
                <w:noProof/>
                <w:webHidden/>
              </w:rPr>
              <w:fldChar w:fldCharType="separate"/>
            </w:r>
            <w:r>
              <w:rPr>
                <w:noProof/>
                <w:webHidden/>
              </w:rPr>
              <w:t>9</w:t>
            </w:r>
            <w:r>
              <w:rPr>
                <w:noProof/>
                <w:webHidden/>
              </w:rPr>
              <w:fldChar w:fldCharType="end"/>
            </w:r>
          </w:hyperlink>
        </w:p>
        <w:p w14:paraId="368C8E2A" w14:textId="79402DA0" w:rsidR="0040223E" w:rsidRDefault="0040223E">
          <w:pPr>
            <w:pStyle w:val="TOC2"/>
            <w:tabs>
              <w:tab w:val="left" w:pos="960"/>
              <w:tab w:val="right" w:leader="dot" w:pos="9350"/>
            </w:tabs>
            <w:rPr>
              <w:noProof/>
            </w:rPr>
          </w:pPr>
          <w:hyperlink w:anchor="_Toc225970041" w:history="1">
            <w:r w:rsidRPr="005877B2">
              <w:rPr>
                <w:rStyle w:val="Hyperlink"/>
                <w:noProof/>
              </w:rPr>
              <w:t>4.7</w:t>
            </w:r>
            <w:r>
              <w:rPr>
                <w:noProof/>
              </w:rPr>
              <w:tab/>
            </w:r>
            <w:r w:rsidRPr="005877B2">
              <w:rPr>
                <w:rStyle w:val="Hyperlink"/>
                <w:noProof/>
              </w:rPr>
              <w:t>Sensitivity and uncertainty results</w:t>
            </w:r>
            <w:r>
              <w:rPr>
                <w:noProof/>
                <w:webHidden/>
              </w:rPr>
              <w:tab/>
            </w:r>
            <w:r>
              <w:rPr>
                <w:noProof/>
                <w:webHidden/>
              </w:rPr>
              <w:fldChar w:fldCharType="begin"/>
            </w:r>
            <w:r>
              <w:rPr>
                <w:noProof/>
                <w:webHidden/>
              </w:rPr>
              <w:instrText xml:space="preserve"> PAGEREF _Toc225970041 \h </w:instrText>
            </w:r>
            <w:r>
              <w:rPr>
                <w:noProof/>
                <w:webHidden/>
              </w:rPr>
            </w:r>
            <w:r>
              <w:rPr>
                <w:noProof/>
                <w:webHidden/>
              </w:rPr>
              <w:fldChar w:fldCharType="separate"/>
            </w:r>
            <w:r>
              <w:rPr>
                <w:noProof/>
                <w:webHidden/>
              </w:rPr>
              <w:t>9</w:t>
            </w:r>
            <w:r>
              <w:rPr>
                <w:noProof/>
                <w:webHidden/>
              </w:rPr>
              <w:fldChar w:fldCharType="end"/>
            </w:r>
          </w:hyperlink>
        </w:p>
        <w:p w14:paraId="4936BB79" w14:textId="1D462392" w:rsidR="0040223E" w:rsidRDefault="0040223E">
          <w:pPr>
            <w:pStyle w:val="TOC1"/>
            <w:tabs>
              <w:tab w:val="left" w:pos="480"/>
              <w:tab w:val="right" w:leader="dot" w:pos="9350"/>
            </w:tabs>
            <w:rPr>
              <w:noProof/>
            </w:rPr>
          </w:pPr>
          <w:hyperlink w:anchor="_Toc225970042" w:history="1">
            <w:r w:rsidRPr="005877B2">
              <w:rPr>
                <w:rStyle w:val="Hyperlink"/>
                <w:noProof/>
              </w:rPr>
              <w:t>5</w:t>
            </w:r>
            <w:r>
              <w:rPr>
                <w:noProof/>
              </w:rPr>
              <w:tab/>
            </w:r>
            <w:r w:rsidRPr="005877B2">
              <w:rPr>
                <w:rStyle w:val="Hyperlink"/>
                <w:noProof/>
              </w:rPr>
              <w:t>Discussion</w:t>
            </w:r>
            <w:r>
              <w:rPr>
                <w:noProof/>
                <w:webHidden/>
              </w:rPr>
              <w:tab/>
            </w:r>
            <w:r>
              <w:rPr>
                <w:noProof/>
                <w:webHidden/>
              </w:rPr>
              <w:fldChar w:fldCharType="begin"/>
            </w:r>
            <w:r>
              <w:rPr>
                <w:noProof/>
                <w:webHidden/>
              </w:rPr>
              <w:instrText xml:space="preserve"> PAGEREF _Toc225970042 \h </w:instrText>
            </w:r>
            <w:r>
              <w:rPr>
                <w:noProof/>
                <w:webHidden/>
              </w:rPr>
            </w:r>
            <w:r>
              <w:rPr>
                <w:noProof/>
                <w:webHidden/>
              </w:rPr>
              <w:fldChar w:fldCharType="separate"/>
            </w:r>
            <w:r>
              <w:rPr>
                <w:noProof/>
                <w:webHidden/>
              </w:rPr>
              <w:t>9</w:t>
            </w:r>
            <w:r>
              <w:rPr>
                <w:noProof/>
                <w:webHidden/>
              </w:rPr>
              <w:fldChar w:fldCharType="end"/>
            </w:r>
          </w:hyperlink>
        </w:p>
        <w:p w14:paraId="53C2DF1B" w14:textId="7CE0D278" w:rsidR="0040223E" w:rsidRDefault="0040223E">
          <w:pPr>
            <w:pStyle w:val="TOC2"/>
            <w:tabs>
              <w:tab w:val="left" w:pos="960"/>
              <w:tab w:val="right" w:leader="dot" w:pos="9350"/>
            </w:tabs>
            <w:rPr>
              <w:noProof/>
            </w:rPr>
          </w:pPr>
          <w:hyperlink w:anchor="_Toc225970043" w:history="1">
            <w:r w:rsidRPr="005877B2">
              <w:rPr>
                <w:rStyle w:val="Hyperlink"/>
                <w:noProof/>
              </w:rPr>
              <w:t>5.1</w:t>
            </w:r>
            <w:r>
              <w:rPr>
                <w:noProof/>
              </w:rPr>
              <w:tab/>
            </w:r>
            <w:r w:rsidRPr="005877B2">
              <w:rPr>
                <w:rStyle w:val="Hyperlink"/>
                <w:noProof/>
              </w:rPr>
              <w:t>Principal findings</w:t>
            </w:r>
            <w:r>
              <w:rPr>
                <w:noProof/>
                <w:webHidden/>
              </w:rPr>
              <w:tab/>
            </w:r>
            <w:r>
              <w:rPr>
                <w:noProof/>
                <w:webHidden/>
              </w:rPr>
              <w:fldChar w:fldCharType="begin"/>
            </w:r>
            <w:r>
              <w:rPr>
                <w:noProof/>
                <w:webHidden/>
              </w:rPr>
              <w:instrText xml:space="preserve"> PAGEREF _Toc225970043 \h </w:instrText>
            </w:r>
            <w:r>
              <w:rPr>
                <w:noProof/>
                <w:webHidden/>
              </w:rPr>
            </w:r>
            <w:r>
              <w:rPr>
                <w:noProof/>
                <w:webHidden/>
              </w:rPr>
              <w:fldChar w:fldCharType="separate"/>
            </w:r>
            <w:r>
              <w:rPr>
                <w:noProof/>
                <w:webHidden/>
              </w:rPr>
              <w:t>9</w:t>
            </w:r>
            <w:r>
              <w:rPr>
                <w:noProof/>
                <w:webHidden/>
              </w:rPr>
              <w:fldChar w:fldCharType="end"/>
            </w:r>
          </w:hyperlink>
        </w:p>
        <w:p w14:paraId="75F5F9F4" w14:textId="45F540FF" w:rsidR="0040223E" w:rsidRDefault="0040223E">
          <w:pPr>
            <w:pStyle w:val="TOC2"/>
            <w:tabs>
              <w:tab w:val="left" w:pos="960"/>
              <w:tab w:val="right" w:leader="dot" w:pos="9350"/>
            </w:tabs>
            <w:rPr>
              <w:noProof/>
            </w:rPr>
          </w:pPr>
          <w:hyperlink w:anchor="_Toc225970044" w:history="1">
            <w:r w:rsidRPr="005877B2">
              <w:rPr>
                <w:rStyle w:val="Hyperlink"/>
                <w:noProof/>
              </w:rPr>
              <w:t>5.2</w:t>
            </w:r>
            <w:r>
              <w:rPr>
                <w:noProof/>
              </w:rPr>
              <w:tab/>
            </w:r>
            <w:r w:rsidRPr="005877B2">
              <w:rPr>
                <w:rStyle w:val="Hyperlink"/>
                <w:noProof/>
              </w:rPr>
              <w:t>Interpretation of hypertension control findings</w:t>
            </w:r>
            <w:r>
              <w:rPr>
                <w:noProof/>
                <w:webHidden/>
              </w:rPr>
              <w:tab/>
            </w:r>
            <w:r>
              <w:rPr>
                <w:noProof/>
                <w:webHidden/>
              </w:rPr>
              <w:fldChar w:fldCharType="begin"/>
            </w:r>
            <w:r>
              <w:rPr>
                <w:noProof/>
                <w:webHidden/>
              </w:rPr>
              <w:instrText xml:space="preserve"> PAGEREF _Toc225970044 \h </w:instrText>
            </w:r>
            <w:r>
              <w:rPr>
                <w:noProof/>
                <w:webHidden/>
              </w:rPr>
            </w:r>
            <w:r>
              <w:rPr>
                <w:noProof/>
                <w:webHidden/>
              </w:rPr>
              <w:fldChar w:fldCharType="separate"/>
            </w:r>
            <w:r>
              <w:rPr>
                <w:noProof/>
                <w:webHidden/>
              </w:rPr>
              <w:t>9</w:t>
            </w:r>
            <w:r>
              <w:rPr>
                <w:noProof/>
                <w:webHidden/>
              </w:rPr>
              <w:fldChar w:fldCharType="end"/>
            </w:r>
          </w:hyperlink>
        </w:p>
        <w:p w14:paraId="7882FC19" w14:textId="4C48E79B" w:rsidR="0040223E" w:rsidRDefault="0040223E">
          <w:pPr>
            <w:pStyle w:val="TOC2"/>
            <w:tabs>
              <w:tab w:val="left" w:pos="960"/>
              <w:tab w:val="right" w:leader="dot" w:pos="9350"/>
            </w:tabs>
            <w:rPr>
              <w:noProof/>
            </w:rPr>
          </w:pPr>
          <w:hyperlink w:anchor="_Toc225970045" w:history="1">
            <w:r w:rsidRPr="005877B2">
              <w:rPr>
                <w:rStyle w:val="Hyperlink"/>
                <w:noProof/>
              </w:rPr>
              <w:t>5.3</w:t>
            </w:r>
            <w:r>
              <w:rPr>
                <w:noProof/>
              </w:rPr>
              <w:tab/>
            </w:r>
            <w:r w:rsidRPr="005877B2">
              <w:rPr>
                <w:rStyle w:val="Hyperlink"/>
                <w:noProof/>
              </w:rPr>
              <w:t>Interpretation of lipid-lowering therapy findings</w:t>
            </w:r>
            <w:r>
              <w:rPr>
                <w:noProof/>
                <w:webHidden/>
              </w:rPr>
              <w:tab/>
            </w:r>
            <w:r>
              <w:rPr>
                <w:noProof/>
                <w:webHidden/>
              </w:rPr>
              <w:fldChar w:fldCharType="begin"/>
            </w:r>
            <w:r>
              <w:rPr>
                <w:noProof/>
                <w:webHidden/>
              </w:rPr>
              <w:instrText xml:space="preserve"> PAGEREF _Toc225970045 \h </w:instrText>
            </w:r>
            <w:r>
              <w:rPr>
                <w:noProof/>
                <w:webHidden/>
              </w:rPr>
            </w:r>
            <w:r>
              <w:rPr>
                <w:noProof/>
                <w:webHidden/>
              </w:rPr>
              <w:fldChar w:fldCharType="separate"/>
            </w:r>
            <w:r>
              <w:rPr>
                <w:noProof/>
                <w:webHidden/>
              </w:rPr>
              <w:t>10</w:t>
            </w:r>
            <w:r>
              <w:rPr>
                <w:noProof/>
                <w:webHidden/>
              </w:rPr>
              <w:fldChar w:fldCharType="end"/>
            </w:r>
          </w:hyperlink>
        </w:p>
        <w:p w14:paraId="540E5207" w14:textId="66523F6B" w:rsidR="0040223E" w:rsidRDefault="0040223E">
          <w:pPr>
            <w:pStyle w:val="TOC2"/>
            <w:tabs>
              <w:tab w:val="left" w:pos="960"/>
              <w:tab w:val="right" w:leader="dot" w:pos="9350"/>
            </w:tabs>
            <w:rPr>
              <w:noProof/>
            </w:rPr>
          </w:pPr>
          <w:hyperlink w:anchor="_Toc225970046" w:history="1">
            <w:r w:rsidRPr="005877B2">
              <w:rPr>
                <w:rStyle w:val="Hyperlink"/>
                <w:noProof/>
              </w:rPr>
              <w:t>5.4</w:t>
            </w:r>
            <w:r>
              <w:rPr>
                <w:noProof/>
              </w:rPr>
              <w:tab/>
            </w:r>
            <w:r w:rsidRPr="005877B2">
              <w:rPr>
                <w:rStyle w:val="Hyperlink"/>
                <w:noProof/>
              </w:rPr>
              <w:t>Combined policy meaning</w:t>
            </w:r>
            <w:r>
              <w:rPr>
                <w:noProof/>
                <w:webHidden/>
              </w:rPr>
              <w:tab/>
            </w:r>
            <w:r>
              <w:rPr>
                <w:noProof/>
                <w:webHidden/>
              </w:rPr>
              <w:fldChar w:fldCharType="begin"/>
            </w:r>
            <w:r>
              <w:rPr>
                <w:noProof/>
                <w:webHidden/>
              </w:rPr>
              <w:instrText xml:space="preserve"> PAGEREF _Toc225970046 \h </w:instrText>
            </w:r>
            <w:r>
              <w:rPr>
                <w:noProof/>
                <w:webHidden/>
              </w:rPr>
            </w:r>
            <w:r>
              <w:rPr>
                <w:noProof/>
                <w:webHidden/>
              </w:rPr>
              <w:fldChar w:fldCharType="separate"/>
            </w:r>
            <w:r>
              <w:rPr>
                <w:noProof/>
                <w:webHidden/>
              </w:rPr>
              <w:t>10</w:t>
            </w:r>
            <w:r>
              <w:rPr>
                <w:noProof/>
                <w:webHidden/>
              </w:rPr>
              <w:fldChar w:fldCharType="end"/>
            </w:r>
          </w:hyperlink>
        </w:p>
        <w:p w14:paraId="446DB5A1" w14:textId="516D8494" w:rsidR="0040223E" w:rsidRDefault="0040223E">
          <w:pPr>
            <w:pStyle w:val="TOC2"/>
            <w:tabs>
              <w:tab w:val="left" w:pos="960"/>
              <w:tab w:val="right" w:leader="dot" w:pos="9350"/>
            </w:tabs>
            <w:rPr>
              <w:noProof/>
            </w:rPr>
          </w:pPr>
          <w:hyperlink w:anchor="_Toc225970047" w:history="1">
            <w:r w:rsidRPr="005877B2">
              <w:rPr>
                <w:rStyle w:val="Hyperlink"/>
                <w:noProof/>
              </w:rPr>
              <w:t>5.5</w:t>
            </w:r>
            <w:r>
              <w:rPr>
                <w:noProof/>
              </w:rPr>
              <w:tab/>
            </w:r>
            <w:r w:rsidRPr="005877B2">
              <w:rPr>
                <w:rStyle w:val="Hyperlink"/>
                <w:noProof/>
              </w:rPr>
              <w:t>Equity and implementation implications</w:t>
            </w:r>
            <w:r>
              <w:rPr>
                <w:noProof/>
                <w:webHidden/>
              </w:rPr>
              <w:tab/>
            </w:r>
            <w:r>
              <w:rPr>
                <w:noProof/>
                <w:webHidden/>
              </w:rPr>
              <w:fldChar w:fldCharType="begin"/>
            </w:r>
            <w:r>
              <w:rPr>
                <w:noProof/>
                <w:webHidden/>
              </w:rPr>
              <w:instrText xml:space="preserve"> PAGEREF _Toc225970047 \h </w:instrText>
            </w:r>
            <w:r>
              <w:rPr>
                <w:noProof/>
                <w:webHidden/>
              </w:rPr>
            </w:r>
            <w:r>
              <w:rPr>
                <w:noProof/>
                <w:webHidden/>
              </w:rPr>
              <w:fldChar w:fldCharType="separate"/>
            </w:r>
            <w:r>
              <w:rPr>
                <w:noProof/>
                <w:webHidden/>
              </w:rPr>
              <w:t>11</w:t>
            </w:r>
            <w:r>
              <w:rPr>
                <w:noProof/>
                <w:webHidden/>
              </w:rPr>
              <w:fldChar w:fldCharType="end"/>
            </w:r>
          </w:hyperlink>
        </w:p>
        <w:p w14:paraId="3FDDA839" w14:textId="6ED9C0AB" w:rsidR="0040223E" w:rsidRDefault="0040223E">
          <w:pPr>
            <w:pStyle w:val="TOC2"/>
            <w:tabs>
              <w:tab w:val="left" w:pos="960"/>
              <w:tab w:val="right" w:leader="dot" w:pos="9350"/>
            </w:tabs>
            <w:rPr>
              <w:noProof/>
            </w:rPr>
          </w:pPr>
          <w:hyperlink w:anchor="_Toc225970048" w:history="1">
            <w:r w:rsidRPr="005877B2">
              <w:rPr>
                <w:rStyle w:val="Hyperlink"/>
                <w:noProof/>
              </w:rPr>
              <w:t>5.6</w:t>
            </w:r>
            <w:r>
              <w:rPr>
                <w:noProof/>
              </w:rPr>
              <w:tab/>
            </w:r>
            <w:r w:rsidRPr="005877B2">
              <w:rPr>
                <w:rStyle w:val="Hyperlink"/>
                <w:noProof/>
              </w:rPr>
              <w:t>Relation to previous literature</w:t>
            </w:r>
            <w:r>
              <w:rPr>
                <w:noProof/>
                <w:webHidden/>
              </w:rPr>
              <w:tab/>
            </w:r>
            <w:r>
              <w:rPr>
                <w:noProof/>
                <w:webHidden/>
              </w:rPr>
              <w:fldChar w:fldCharType="begin"/>
            </w:r>
            <w:r>
              <w:rPr>
                <w:noProof/>
                <w:webHidden/>
              </w:rPr>
              <w:instrText xml:space="preserve"> PAGEREF _Toc225970048 \h </w:instrText>
            </w:r>
            <w:r>
              <w:rPr>
                <w:noProof/>
                <w:webHidden/>
              </w:rPr>
            </w:r>
            <w:r>
              <w:rPr>
                <w:noProof/>
                <w:webHidden/>
              </w:rPr>
              <w:fldChar w:fldCharType="separate"/>
            </w:r>
            <w:r>
              <w:rPr>
                <w:noProof/>
                <w:webHidden/>
              </w:rPr>
              <w:t>11</w:t>
            </w:r>
            <w:r>
              <w:rPr>
                <w:noProof/>
                <w:webHidden/>
              </w:rPr>
              <w:fldChar w:fldCharType="end"/>
            </w:r>
          </w:hyperlink>
        </w:p>
        <w:p w14:paraId="358B582B" w14:textId="3DFB3486" w:rsidR="0040223E" w:rsidRDefault="0040223E">
          <w:pPr>
            <w:pStyle w:val="TOC2"/>
            <w:tabs>
              <w:tab w:val="left" w:pos="960"/>
              <w:tab w:val="right" w:leader="dot" w:pos="9350"/>
            </w:tabs>
            <w:rPr>
              <w:noProof/>
            </w:rPr>
          </w:pPr>
          <w:hyperlink w:anchor="_Toc225970049" w:history="1">
            <w:r w:rsidRPr="005877B2">
              <w:rPr>
                <w:rStyle w:val="Hyperlink"/>
                <w:noProof/>
              </w:rPr>
              <w:t>5.7</w:t>
            </w:r>
            <w:r>
              <w:rPr>
                <w:noProof/>
              </w:rPr>
              <w:tab/>
            </w:r>
            <w:r w:rsidRPr="005877B2">
              <w:rPr>
                <w:rStyle w:val="Hyperlink"/>
                <w:noProof/>
              </w:rPr>
              <w:t>Strengths</w:t>
            </w:r>
            <w:r>
              <w:rPr>
                <w:noProof/>
                <w:webHidden/>
              </w:rPr>
              <w:tab/>
            </w:r>
            <w:r>
              <w:rPr>
                <w:noProof/>
                <w:webHidden/>
              </w:rPr>
              <w:fldChar w:fldCharType="begin"/>
            </w:r>
            <w:r>
              <w:rPr>
                <w:noProof/>
                <w:webHidden/>
              </w:rPr>
              <w:instrText xml:space="preserve"> PAGEREF _Toc225970049 \h </w:instrText>
            </w:r>
            <w:r>
              <w:rPr>
                <w:noProof/>
                <w:webHidden/>
              </w:rPr>
            </w:r>
            <w:r>
              <w:rPr>
                <w:noProof/>
                <w:webHidden/>
              </w:rPr>
              <w:fldChar w:fldCharType="separate"/>
            </w:r>
            <w:r>
              <w:rPr>
                <w:noProof/>
                <w:webHidden/>
              </w:rPr>
              <w:t>12</w:t>
            </w:r>
            <w:r>
              <w:rPr>
                <w:noProof/>
                <w:webHidden/>
              </w:rPr>
              <w:fldChar w:fldCharType="end"/>
            </w:r>
          </w:hyperlink>
        </w:p>
        <w:p w14:paraId="3DC22BB5" w14:textId="42F741EA" w:rsidR="0040223E" w:rsidRDefault="0040223E">
          <w:pPr>
            <w:pStyle w:val="TOC2"/>
            <w:tabs>
              <w:tab w:val="left" w:pos="960"/>
              <w:tab w:val="right" w:leader="dot" w:pos="9350"/>
            </w:tabs>
            <w:rPr>
              <w:noProof/>
            </w:rPr>
          </w:pPr>
          <w:hyperlink w:anchor="_Toc225970050" w:history="1">
            <w:r w:rsidRPr="005877B2">
              <w:rPr>
                <w:rStyle w:val="Hyperlink"/>
                <w:noProof/>
              </w:rPr>
              <w:t>5.8</w:t>
            </w:r>
            <w:r>
              <w:rPr>
                <w:noProof/>
              </w:rPr>
              <w:tab/>
            </w:r>
            <w:r w:rsidRPr="005877B2">
              <w:rPr>
                <w:rStyle w:val="Hyperlink"/>
                <w:noProof/>
              </w:rPr>
              <w:t>Limitations</w:t>
            </w:r>
            <w:r>
              <w:rPr>
                <w:noProof/>
                <w:webHidden/>
              </w:rPr>
              <w:tab/>
            </w:r>
            <w:r>
              <w:rPr>
                <w:noProof/>
                <w:webHidden/>
              </w:rPr>
              <w:fldChar w:fldCharType="begin"/>
            </w:r>
            <w:r>
              <w:rPr>
                <w:noProof/>
                <w:webHidden/>
              </w:rPr>
              <w:instrText xml:space="preserve"> PAGEREF _Toc225970050 \h </w:instrText>
            </w:r>
            <w:r>
              <w:rPr>
                <w:noProof/>
                <w:webHidden/>
              </w:rPr>
            </w:r>
            <w:r>
              <w:rPr>
                <w:noProof/>
                <w:webHidden/>
              </w:rPr>
              <w:fldChar w:fldCharType="separate"/>
            </w:r>
            <w:r>
              <w:rPr>
                <w:noProof/>
                <w:webHidden/>
              </w:rPr>
              <w:t>12</w:t>
            </w:r>
            <w:r>
              <w:rPr>
                <w:noProof/>
                <w:webHidden/>
              </w:rPr>
              <w:fldChar w:fldCharType="end"/>
            </w:r>
          </w:hyperlink>
        </w:p>
        <w:p w14:paraId="5D13A089" w14:textId="35A44AB0" w:rsidR="0040223E" w:rsidRDefault="0040223E">
          <w:pPr>
            <w:pStyle w:val="TOC1"/>
            <w:tabs>
              <w:tab w:val="left" w:pos="480"/>
              <w:tab w:val="right" w:leader="dot" w:pos="9350"/>
            </w:tabs>
            <w:rPr>
              <w:noProof/>
            </w:rPr>
          </w:pPr>
          <w:hyperlink w:anchor="_Toc225970051" w:history="1">
            <w:r w:rsidRPr="005877B2">
              <w:rPr>
                <w:rStyle w:val="Hyperlink"/>
                <w:noProof/>
              </w:rPr>
              <w:t>6</w:t>
            </w:r>
            <w:r>
              <w:rPr>
                <w:noProof/>
              </w:rPr>
              <w:tab/>
            </w:r>
            <w:r w:rsidRPr="005877B2">
              <w:rPr>
                <w:rStyle w:val="Hyperlink"/>
                <w:noProof/>
              </w:rPr>
              <w:t>Conclusion</w:t>
            </w:r>
            <w:r>
              <w:rPr>
                <w:noProof/>
                <w:webHidden/>
              </w:rPr>
              <w:tab/>
            </w:r>
            <w:r>
              <w:rPr>
                <w:noProof/>
                <w:webHidden/>
              </w:rPr>
              <w:fldChar w:fldCharType="begin"/>
            </w:r>
            <w:r>
              <w:rPr>
                <w:noProof/>
                <w:webHidden/>
              </w:rPr>
              <w:instrText xml:space="preserve"> PAGEREF _Toc225970051 \h </w:instrText>
            </w:r>
            <w:r>
              <w:rPr>
                <w:noProof/>
                <w:webHidden/>
              </w:rPr>
            </w:r>
            <w:r>
              <w:rPr>
                <w:noProof/>
                <w:webHidden/>
              </w:rPr>
              <w:fldChar w:fldCharType="separate"/>
            </w:r>
            <w:r>
              <w:rPr>
                <w:noProof/>
                <w:webHidden/>
              </w:rPr>
              <w:t>12</w:t>
            </w:r>
            <w:r>
              <w:rPr>
                <w:noProof/>
                <w:webHidden/>
              </w:rPr>
              <w:fldChar w:fldCharType="end"/>
            </w:r>
          </w:hyperlink>
        </w:p>
        <w:p w14:paraId="5502832E" w14:textId="674A2C71" w:rsidR="0040223E" w:rsidRDefault="0040223E">
          <w:pPr>
            <w:pStyle w:val="TOC1"/>
            <w:tabs>
              <w:tab w:val="left" w:pos="480"/>
              <w:tab w:val="right" w:leader="dot" w:pos="9350"/>
            </w:tabs>
            <w:rPr>
              <w:noProof/>
            </w:rPr>
          </w:pPr>
          <w:hyperlink w:anchor="_Toc225970052" w:history="1">
            <w:r w:rsidRPr="005877B2">
              <w:rPr>
                <w:rStyle w:val="Hyperlink"/>
                <w:noProof/>
              </w:rPr>
              <w:t>7</w:t>
            </w:r>
            <w:r>
              <w:rPr>
                <w:noProof/>
              </w:rPr>
              <w:tab/>
            </w:r>
            <w:r w:rsidRPr="005877B2">
              <w:rPr>
                <w:rStyle w:val="Hyperlink"/>
                <w:noProof/>
              </w:rPr>
              <w:t>References</w:t>
            </w:r>
            <w:r>
              <w:rPr>
                <w:noProof/>
                <w:webHidden/>
              </w:rPr>
              <w:tab/>
            </w:r>
            <w:r>
              <w:rPr>
                <w:noProof/>
                <w:webHidden/>
              </w:rPr>
              <w:fldChar w:fldCharType="begin"/>
            </w:r>
            <w:r>
              <w:rPr>
                <w:noProof/>
                <w:webHidden/>
              </w:rPr>
              <w:instrText xml:space="preserve"> PAGEREF _Toc225970052 \h </w:instrText>
            </w:r>
            <w:r>
              <w:rPr>
                <w:noProof/>
                <w:webHidden/>
              </w:rPr>
            </w:r>
            <w:r>
              <w:rPr>
                <w:noProof/>
                <w:webHidden/>
              </w:rPr>
              <w:fldChar w:fldCharType="separate"/>
            </w:r>
            <w:r>
              <w:rPr>
                <w:noProof/>
                <w:webHidden/>
              </w:rPr>
              <w:t>13</w:t>
            </w:r>
            <w:r>
              <w:rPr>
                <w:noProof/>
                <w:webHidden/>
              </w:rPr>
              <w:fldChar w:fldCharType="end"/>
            </w:r>
          </w:hyperlink>
        </w:p>
        <w:p w14:paraId="5C6F6CA0" w14:textId="1149666A" w:rsidR="0040223E" w:rsidRDefault="0040223E">
          <w:pPr>
            <w:pStyle w:val="TOC1"/>
            <w:tabs>
              <w:tab w:val="left" w:pos="480"/>
              <w:tab w:val="right" w:leader="dot" w:pos="9350"/>
            </w:tabs>
            <w:rPr>
              <w:noProof/>
            </w:rPr>
          </w:pPr>
          <w:hyperlink w:anchor="_Toc225970053" w:history="1">
            <w:r w:rsidRPr="005877B2">
              <w:rPr>
                <w:rStyle w:val="Hyperlink"/>
                <w:noProof/>
              </w:rPr>
              <w:t>8</w:t>
            </w:r>
            <w:r>
              <w:rPr>
                <w:noProof/>
              </w:rPr>
              <w:tab/>
            </w:r>
            <w:r w:rsidRPr="005877B2">
              <w:rPr>
                <w:rStyle w:val="Hyperlink"/>
                <w:noProof/>
              </w:rPr>
              <w:t>Tables</w:t>
            </w:r>
            <w:r>
              <w:rPr>
                <w:noProof/>
                <w:webHidden/>
              </w:rPr>
              <w:tab/>
            </w:r>
            <w:r>
              <w:rPr>
                <w:noProof/>
                <w:webHidden/>
              </w:rPr>
              <w:fldChar w:fldCharType="begin"/>
            </w:r>
            <w:r>
              <w:rPr>
                <w:noProof/>
                <w:webHidden/>
              </w:rPr>
              <w:instrText xml:space="preserve"> PAGEREF _Toc225970053 \h </w:instrText>
            </w:r>
            <w:r>
              <w:rPr>
                <w:noProof/>
                <w:webHidden/>
              </w:rPr>
            </w:r>
            <w:r>
              <w:rPr>
                <w:noProof/>
                <w:webHidden/>
              </w:rPr>
              <w:fldChar w:fldCharType="separate"/>
            </w:r>
            <w:r>
              <w:rPr>
                <w:noProof/>
                <w:webHidden/>
              </w:rPr>
              <w:t>15</w:t>
            </w:r>
            <w:r>
              <w:rPr>
                <w:noProof/>
                <w:webHidden/>
              </w:rPr>
              <w:fldChar w:fldCharType="end"/>
            </w:r>
          </w:hyperlink>
        </w:p>
        <w:p w14:paraId="39A72C10" w14:textId="1322A3DF" w:rsidR="0040223E" w:rsidRDefault="0040223E">
          <w:pPr>
            <w:pStyle w:val="TOC1"/>
            <w:tabs>
              <w:tab w:val="left" w:pos="480"/>
              <w:tab w:val="right" w:leader="dot" w:pos="9350"/>
            </w:tabs>
            <w:rPr>
              <w:noProof/>
            </w:rPr>
          </w:pPr>
          <w:hyperlink w:anchor="_Toc225970054" w:history="1">
            <w:r w:rsidRPr="005877B2">
              <w:rPr>
                <w:rStyle w:val="Hyperlink"/>
                <w:noProof/>
              </w:rPr>
              <w:t>9</w:t>
            </w:r>
            <w:r>
              <w:rPr>
                <w:noProof/>
              </w:rPr>
              <w:tab/>
            </w:r>
            <w:r w:rsidRPr="005877B2">
              <w:rPr>
                <w:rStyle w:val="Hyperlink"/>
                <w:noProof/>
              </w:rPr>
              <w:t>Figures</w:t>
            </w:r>
            <w:r>
              <w:rPr>
                <w:noProof/>
                <w:webHidden/>
              </w:rPr>
              <w:tab/>
            </w:r>
            <w:r>
              <w:rPr>
                <w:noProof/>
                <w:webHidden/>
              </w:rPr>
              <w:fldChar w:fldCharType="begin"/>
            </w:r>
            <w:r>
              <w:rPr>
                <w:noProof/>
                <w:webHidden/>
              </w:rPr>
              <w:instrText xml:space="preserve"> PAGEREF _Toc225970054 \h </w:instrText>
            </w:r>
            <w:r>
              <w:rPr>
                <w:noProof/>
                <w:webHidden/>
              </w:rPr>
            </w:r>
            <w:r>
              <w:rPr>
                <w:noProof/>
                <w:webHidden/>
              </w:rPr>
              <w:fldChar w:fldCharType="separate"/>
            </w:r>
            <w:r>
              <w:rPr>
                <w:noProof/>
                <w:webHidden/>
              </w:rPr>
              <w:t>19</w:t>
            </w:r>
            <w:r>
              <w:rPr>
                <w:noProof/>
                <w:webHidden/>
              </w:rPr>
              <w:fldChar w:fldCharType="end"/>
            </w:r>
          </w:hyperlink>
        </w:p>
        <w:p w14:paraId="5D5237E7" w14:textId="0B950ECA" w:rsidR="0040223E" w:rsidRDefault="0040223E">
          <w:pPr>
            <w:pStyle w:val="TOC1"/>
            <w:tabs>
              <w:tab w:val="left" w:pos="720"/>
              <w:tab w:val="right" w:leader="dot" w:pos="9350"/>
            </w:tabs>
            <w:rPr>
              <w:noProof/>
            </w:rPr>
          </w:pPr>
          <w:hyperlink w:anchor="_Toc225970055" w:history="1">
            <w:r w:rsidRPr="005877B2">
              <w:rPr>
                <w:rStyle w:val="Hyperlink"/>
                <w:noProof/>
              </w:rPr>
              <w:t>10</w:t>
            </w:r>
            <w:r>
              <w:rPr>
                <w:noProof/>
              </w:rPr>
              <w:tab/>
            </w:r>
            <w:r w:rsidRPr="005877B2">
              <w:rPr>
                <w:rStyle w:val="Hyperlink"/>
                <w:noProof/>
              </w:rPr>
              <w:t>Supplemental Material</w:t>
            </w:r>
            <w:r>
              <w:rPr>
                <w:noProof/>
                <w:webHidden/>
              </w:rPr>
              <w:tab/>
            </w:r>
            <w:r>
              <w:rPr>
                <w:noProof/>
                <w:webHidden/>
              </w:rPr>
              <w:fldChar w:fldCharType="begin"/>
            </w:r>
            <w:r>
              <w:rPr>
                <w:noProof/>
                <w:webHidden/>
              </w:rPr>
              <w:instrText xml:space="preserve"> PAGEREF _Toc225970055 \h </w:instrText>
            </w:r>
            <w:r>
              <w:rPr>
                <w:noProof/>
                <w:webHidden/>
              </w:rPr>
            </w:r>
            <w:r>
              <w:rPr>
                <w:noProof/>
                <w:webHidden/>
              </w:rPr>
              <w:fldChar w:fldCharType="separate"/>
            </w:r>
            <w:r>
              <w:rPr>
                <w:noProof/>
                <w:webHidden/>
              </w:rPr>
              <w:t>28</w:t>
            </w:r>
            <w:r>
              <w:rPr>
                <w:noProof/>
                <w:webHidden/>
              </w:rPr>
              <w:fldChar w:fldCharType="end"/>
            </w:r>
          </w:hyperlink>
        </w:p>
        <w:p w14:paraId="36378DCF" w14:textId="6FEC601C" w:rsidR="0040223E" w:rsidRDefault="0040223E">
          <w:pPr>
            <w:pStyle w:val="TOC2"/>
            <w:tabs>
              <w:tab w:val="left" w:pos="960"/>
              <w:tab w:val="right" w:leader="dot" w:pos="9350"/>
            </w:tabs>
            <w:rPr>
              <w:noProof/>
            </w:rPr>
          </w:pPr>
          <w:hyperlink w:anchor="_Toc225970056" w:history="1">
            <w:r w:rsidRPr="005877B2">
              <w:rPr>
                <w:rStyle w:val="Hyperlink"/>
                <w:noProof/>
              </w:rPr>
              <w:t>10.1</w:t>
            </w:r>
            <w:r>
              <w:rPr>
                <w:noProof/>
              </w:rPr>
              <w:tab/>
            </w:r>
            <w:r w:rsidRPr="005877B2">
              <w:rPr>
                <w:rStyle w:val="Hyperlink"/>
                <w:noProof/>
              </w:rPr>
              <w:t>Additional results</w:t>
            </w:r>
            <w:r>
              <w:rPr>
                <w:noProof/>
                <w:webHidden/>
              </w:rPr>
              <w:tab/>
            </w:r>
            <w:r>
              <w:rPr>
                <w:noProof/>
                <w:webHidden/>
              </w:rPr>
              <w:fldChar w:fldCharType="begin"/>
            </w:r>
            <w:r>
              <w:rPr>
                <w:noProof/>
                <w:webHidden/>
              </w:rPr>
              <w:instrText xml:space="preserve"> PAGEREF _Toc225970056 \h </w:instrText>
            </w:r>
            <w:r>
              <w:rPr>
                <w:noProof/>
                <w:webHidden/>
              </w:rPr>
            </w:r>
            <w:r>
              <w:rPr>
                <w:noProof/>
                <w:webHidden/>
              </w:rPr>
              <w:fldChar w:fldCharType="separate"/>
            </w:r>
            <w:r>
              <w:rPr>
                <w:noProof/>
                <w:webHidden/>
              </w:rPr>
              <w:t>28</w:t>
            </w:r>
            <w:r>
              <w:rPr>
                <w:noProof/>
                <w:webHidden/>
              </w:rPr>
              <w:fldChar w:fldCharType="end"/>
            </w:r>
          </w:hyperlink>
        </w:p>
        <w:p w14:paraId="0C47FF77" w14:textId="7DEAE4E6" w:rsidR="0040223E" w:rsidRDefault="0040223E">
          <w:pPr>
            <w:pStyle w:val="TOC3"/>
            <w:tabs>
              <w:tab w:val="left" w:pos="1440"/>
              <w:tab w:val="right" w:leader="dot" w:pos="9350"/>
            </w:tabs>
            <w:rPr>
              <w:noProof/>
            </w:rPr>
          </w:pPr>
          <w:hyperlink w:anchor="_Toc225970057" w:history="1">
            <w:r w:rsidRPr="005877B2">
              <w:rPr>
                <w:rStyle w:val="Hyperlink"/>
                <w:noProof/>
              </w:rPr>
              <w:t>10.1.1</w:t>
            </w:r>
            <w:r>
              <w:rPr>
                <w:noProof/>
              </w:rPr>
              <w:tab/>
            </w:r>
            <w:r w:rsidRPr="005877B2">
              <w:rPr>
                <w:rStyle w:val="Hyperlink"/>
                <w:noProof/>
              </w:rPr>
              <w:t>Figure: conceptual framework of the modelling approach</w:t>
            </w:r>
            <w:r>
              <w:rPr>
                <w:noProof/>
                <w:webHidden/>
              </w:rPr>
              <w:tab/>
            </w:r>
            <w:r>
              <w:rPr>
                <w:noProof/>
                <w:webHidden/>
              </w:rPr>
              <w:fldChar w:fldCharType="begin"/>
            </w:r>
            <w:r>
              <w:rPr>
                <w:noProof/>
                <w:webHidden/>
              </w:rPr>
              <w:instrText xml:space="preserve"> PAGEREF _Toc225970057 \h </w:instrText>
            </w:r>
            <w:r>
              <w:rPr>
                <w:noProof/>
                <w:webHidden/>
              </w:rPr>
            </w:r>
            <w:r>
              <w:rPr>
                <w:noProof/>
                <w:webHidden/>
              </w:rPr>
              <w:fldChar w:fldCharType="separate"/>
            </w:r>
            <w:r>
              <w:rPr>
                <w:noProof/>
                <w:webHidden/>
              </w:rPr>
              <w:t>28</w:t>
            </w:r>
            <w:r>
              <w:rPr>
                <w:noProof/>
                <w:webHidden/>
              </w:rPr>
              <w:fldChar w:fldCharType="end"/>
            </w:r>
          </w:hyperlink>
        </w:p>
        <w:p w14:paraId="412033B9" w14:textId="6AA2457F" w:rsidR="0040223E" w:rsidRDefault="0040223E">
          <w:pPr>
            <w:pStyle w:val="TOC3"/>
            <w:tabs>
              <w:tab w:val="left" w:pos="1440"/>
              <w:tab w:val="right" w:leader="dot" w:pos="9350"/>
            </w:tabs>
            <w:rPr>
              <w:noProof/>
            </w:rPr>
          </w:pPr>
          <w:hyperlink w:anchor="_Toc225970058" w:history="1">
            <w:r w:rsidRPr="005877B2">
              <w:rPr>
                <w:rStyle w:val="Hyperlink"/>
                <w:noProof/>
              </w:rPr>
              <w:t>10.1.2</w:t>
            </w:r>
            <w:r>
              <w:rPr>
                <w:noProof/>
              </w:rPr>
              <w:tab/>
            </w:r>
            <w:r w:rsidRPr="005877B2">
              <w:rPr>
                <w:rStyle w:val="Hyperlink"/>
                <w:noProof/>
              </w:rPr>
              <w:t>Figure: projected cumulative deaths under reference and target-achievement scenarios, 2026-2050</w:t>
            </w:r>
            <w:r>
              <w:rPr>
                <w:noProof/>
                <w:webHidden/>
              </w:rPr>
              <w:tab/>
            </w:r>
            <w:r>
              <w:rPr>
                <w:noProof/>
                <w:webHidden/>
              </w:rPr>
              <w:fldChar w:fldCharType="begin"/>
            </w:r>
            <w:r>
              <w:rPr>
                <w:noProof/>
                <w:webHidden/>
              </w:rPr>
              <w:instrText xml:space="preserve"> PAGEREF _Toc225970058 \h </w:instrText>
            </w:r>
            <w:r>
              <w:rPr>
                <w:noProof/>
                <w:webHidden/>
              </w:rPr>
            </w:r>
            <w:r>
              <w:rPr>
                <w:noProof/>
                <w:webHidden/>
              </w:rPr>
              <w:fldChar w:fldCharType="separate"/>
            </w:r>
            <w:r>
              <w:rPr>
                <w:noProof/>
                <w:webHidden/>
              </w:rPr>
              <w:t>28</w:t>
            </w:r>
            <w:r>
              <w:rPr>
                <w:noProof/>
                <w:webHidden/>
              </w:rPr>
              <w:fldChar w:fldCharType="end"/>
            </w:r>
          </w:hyperlink>
        </w:p>
        <w:p w14:paraId="0B6D2297" w14:textId="338BC6B9" w:rsidR="0040223E" w:rsidRDefault="0040223E">
          <w:pPr>
            <w:pStyle w:val="TOC3"/>
            <w:tabs>
              <w:tab w:val="left" w:pos="1440"/>
              <w:tab w:val="right" w:leader="dot" w:pos="9350"/>
            </w:tabs>
            <w:rPr>
              <w:noProof/>
            </w:rPr>
          </w:pPr>
          <w:hyperlink w:anchor="_Toc225970059" w:history="1">
            <w:r w:rsidRPr="005877B2">
              <w:rPr>
                <w:rStyle w:val="Hyperlink"/>
                <w:noProof/>
              </w:rPr>
              <w:t>10.1.3</w:t>
            </w:r>
            <w:r>
              <w:rPr>
                <w:noProof/>
              </w:rPr>
              <w:tab/>
            </w:r>
            <w:r w:rsidRPr="005877B2">
              <w:rPr>
                <w:rStyle w:val="Hyperlink"/>
                <w:noProof/>
              </w:rPr>
              <w:t>Table: global projected health outcomes by scenario</w:t>
            </w:r>
            <w:r>
              <w:rPr>
                <w:noProof/>
                <w:webHidden/>
              </w:rPr>
              <w:tab/>
            </w:r>
            <w:r>
              <w:rPr>
                <w:noProof/>
                <w:webHidden/>
              </w:rPr>
              <w:fldChar w:fldCharType="begin"/>
            </w:r>
            <w:r>
              <w:rPr>
                <w:noProof/>
                <w:webHidden/>
              </w:rPr>
              <w:instrText xml:space="preserve"> PAGEREF _Toc225970059 \h </w:instrText>
            </w:r>
            <w:r>
              <w:rPr>
                <w:noProof/>
                <w:webHidden/>
              </w:rPr>
            </w:r>
            <w:r>
              <w:rPr>
                <w:noProof/>
                <w:webHidden/>
              </w:rPr>
              <w:fldChar w:fldCharType="separate"/>
            </w:r>
            <w:r>
              <w:rPr>
                <w:noProof/>
                <w:webHidden/>
              </w:rPr>
              <w:t>28</w:t>
            </w:r>
            <w:r>
              <w:rPr>
                <w:noProof/>
                <w:webHidden/>
              </w:rPr>
              <w:fldChar w:fldCharType="end"/>
            </w:r>
          </w:hyperlink>
        </w:p>
        <w:p w14:paraId="74D4C149" w14:textId="63C6ACCE" w:rsidR="0040223E" w:rsidRDefault="0040223E">
          <w:pPr>
            <w:pStyle w:val="TOC3"/>
            <w:tabs>
              <w:tab w:val="left" w:pos="1440"/>
              <w:tab w:val="right" w:leader="dot" w:pos="9350"/>
            </w:tabs>
            <w:rPr>
              <w:noProof/>
            </w:rPr>
          </w:pPr>
          <w:hyperlink w:anchor="_Toc225970060" w:history="1">
            <w:r w:rsidRPr="005877B2">
              <w:rPr>
                <w:rStyle w:val="Hyperlink"/>
                <w:noProof/>
              </w:rPr>
              <w:t>10.1.4</w:t>
            </w:r>
            <w:r>
              <w:rPr>
                <w:noProof/>
              </w:rPr>
              <w:tab/>
            </w:r>
            <w:r w:rsidRPr="005877B2">
              <w:rPr>
                <w:rStyle w:val="Hyperlink"/>
                <w:noProof/>
              </w:rPr>
              <w:t>Table: regional and income-group results</w:t>
            </w:r>
            <w:r>
              <w:rPr>
                <w:noProof/>
                <w:webHidden/>
              </w:rPr>
              <w:tab/>
            </w:r>
            <w:r>
              <w:rPr>
                <w:noProof/>
                <w:webHidden/>
              </w:rPr>
              <w:fldChar w:fldCharType="begin"/>
            </w:r>
            <w:r>
              <w:rPr>
                <w:noProof/>
                <w:webHidden/>
              </w:rPr>
              <w:instrText xml:space="preserve"> PAGEREF _Toc225970060 \h </w:instrText>
            </w:r>
            <w:r>
              <w:rPr>
                <w:noProof/>
                <w:webHidden/>
              </w:rPr>
            </w:r>
            <w:r>
              <w:rPr>
                <w:noProof/>
                <w:webHidden/>
              </w:rPr>
              <w:fldChar w:fldCharType="separate"/>
            </w:r>
            <w:r>
              <w:rPr>
                <w:noProof/>
                <w:webHidden/>
              </w:rPr>
              <w:t>28</w:t>
            </w:r>
            <w:r>
              <w:rPr>
                <w:noProof/>
                <w:webHidden/>
              </w:rPr>
              <w:fldChar w:fldCharType="end"/>
            </w:r>
          </w:hyperlink>
        </w:p>
        <w:p w14:paraId="210803D5" w14:textId="504E9723" w:rsidR="0040223E" w:rsidRDefault="0040223E">
          <w:pPr>
            <w:pStyle w:val="TOC2"/>
            <w:tabs>
              <w:tab w:val="left" w:pos="960"/>
              <w:tab w:val="right" w:leader="dot" w:pos="9350"/>
            </w:tabs>
            <w:rPr>
              <w:noProof/>
            </w:rPr>
          </w:pPr>
          <w:hyperlink w:anchor="_Toc225970061" w:history="1">
            <w:r w:rsidRPr="005877B2">
              <w:rPr>
                <w:rStyle w:val="Hyperlink"/>
                <w:noProof/>
              </w:rPr>
              <w:t>10.2</w:t>
            </w:r>
            <w:r>
              <w:rPr>
                <w:noProof/>
              </w:rPr>
              <w:tab/>
            </w:r>
            <w:r w:rsidRPr="005877B2">
              <w:rPr>
                <w:rStyle w:val="Hyperlink"/>
                <w:noProof/>
              </w:rPr>
              <w:t>Methodology and mathematical details</w:t>
            </w:r>
            <w:r>
              <w:rPr>
                <w:noProof/>
                <w:webHidden/>
              </w:rPr>
              <w:tab/>
            </w:r>
            <w:r>
              <w:rPr>
                <w:noProof/>
                <w:webHidden/>
              </w:rPr>
              <w:fldChar w:fldCharType="begin"/>
            </w:r>
            <w:r>
              <w:rPr>
                <w:noProof/>
                <w:webHidden/>
              </w:rPr>
              <w:instrText xml:space="preserve"> PAGEREF _Toc225970061 \h </w:instrText>
            </w:r>
            <w:r>
              <w:rPr>
                <w:noProof/>
                <w:webHidden/>
              </w:rPr>
            </w:r>
            <w:r>
              <w:rPr>
                <w:noProof/>
                <w:webHidden/>
              </w:rPr>
              <w:fldChar w:fldCharType="separate"/>
            </w:r>
            <w:r>
              <w:rPr>
                <w:noProof/>
                <w:webHidden/>
              </w:rPr>
              <w:t>29</w:t>
            </w:r>
            <w:r>
              <w:rPr>
                <w:noProof/>
                <w:webHidden/>
              </w:rPr>
              <w:fldChar w:fldCharType="end"/>
            </w:r>
          </w:hyperlink>
        </w:p>
        <w:p w14:paraId="1E11B0BC" w14:textId="4B87D506" w:rsidR="00711131" w:rsidRDefault="00000000">
          <w:r>
            <w:fldChar w:fldCharType="end"/>
          </w:r>
        </w:p>
      </w:sdtContent>
    </w:sdt>
    <w:p w14:paraId="1E11B0BD" w14:textId="77777777" w:rsidR="00711131" w:rsidRDefault="00000000">
      <w:pPr>
        <w:pStyle w:val="Heading1"/>
      </w:pPr>
      <w:bookmarkStart w:id="0" w:name="abstract"/>
      <w:bookmarkStart w:id="1" w:name="_Toc225970023"/>
      <w:r>
        <w:rPr>
          <w:rStyle w:val="SectionNumber"/>
        </w:rPr>
        <w:t>1</w:t>
      </w:r>
      <w:r>
        <w:tab/>
        <w:t>Abstract</w:t>
      </w:r>
      <w:bookmarkEnd w:id="1"/>
    </w:p>
    <w:p w14:paraId="1E11B0BE" w14:textId="77777777" w:rsidR="00711131" w:rsidRDefault="00000000">
      <w:pPr>
        <w:pStyle w:val="Heading2"/>
      </w:pPr>
      <w:bookmarkStart w:id="2" w:name="structured-abstract"/>
      <w:bookmarkStart w:id="3" w:name="_Toc225970024"/>
      <w:r>
        <w:rPr>
          <w:rStyle w:val="SectionNumber"/>
        </w:rPr>
        <w:t>1.1</w:t>
      </w:r>
      <w:r>
        <w:tab/>
        <w:t>Structured abstract</w:t>
      </w:r>
      <w:bookmarkEnd w:id="3"/>
    </w:p>
    <w:p w14:paraId="1E11B0BF" w14:textId="77777777" w:rsidR="00711131" w:rsidRDefault="00000000">
      <w:pPr>
        <w:pStyle w:val="FirstParagraph"/>
      </w:pPr>
      <w:r>
        <w:t>Background</w:t>
      </w:r>
    </w:p>
    <w:p w14:paraId="1E11B0C0" w14:textId="77777777" w:rsidR="00711131" w:rsidRDefault="00000000">
      <w:pPr>
        <w:pStyle w:val="BodyText"/>
      </w:pPr>
      <w:r>
        <w:t>Cardiovascular diseases (CVDs) remain the leading cause of death worldwide, yet most of this burden is attributable to modifiable risk factors. The WHO has endorsed ambitious targets for hypertension control and lipid-lowering therapy coverage by 2030, but the long-term health gains achievable across the full spectrum of country income levels have not been quantified.</w:t>
      </w:r>
    </w:p>
    <w:p w14:paraId="1E11B0C1" w14:textId="77777777" w:rsidR="00711131" w:rsidRDefault="00000000">
      <w:pPr>
        <w:pStyle w:val="BodyText"/>
      </w:pPr>
      <w:r>
        <w:t>Methods</w:t>
      </w:r>
    </w:p>
    <w:p w14:paraId="1E11B0C2" w14:textId="77777777" w:rsidR="00711131" w:rsidRDefault="00000000">
      <w:pPr>
        <w:pStyle w:val="BodyText"/>
      </w:pPr>
      <w:r>
        <w:t xml:space="preserve">We used a discrete-time multi-state transition model (Well, Sick, Dead) calibrated to Global Burden of Disease 2023 epidemiological data and United Nations World Population </w:t>
      </w:r>
      <w:r>
        <w:lastRenderedPageBreak/>
        <w:t>Prospects 2024 demographic projections. The model was applied to 190 countries over the period 2025–2050, projecting mortality from four CVD causes: ischaemic heart disease, ischaemic stroke, intracerebral haemorrhage, and hypertensive heart disease. Three intervention scenarios — hypertension control in the general population (50% control by 2030), hypertension control among people with diabetes (80% control by 2030), and lipid-lowering therapy scale-up (50% coverage by 2030) — were modelled individually and in combination against a business-as-usual reference scenario.</w:t>
      </w:r>
    </w:p>
    <w:p w14:paraId="1E11B0C3" w14:textId="77777777" w:rsidR="00711131" w:rsidRDefault="00000000">
      <w:pPr>
        <w:pStyle w:val="BodyText"/>
      </w:pPr>
      <w:r>
        <w:t>Findings</w:t>
      </w:r>
    </w:p>
    <w:p w14:paraId="1E11B0C4" w14:textId="77777777" w:rsidR="00711131" w:rsidRDefault="00000000">
      <w:pPr>
        <w:pStyle w:val="BodyText"/>
      </w:pPr>
      <w:r>
        <w:t>Simultaneous achievement of all three WHO targets was projected to avert 64.7 million CVD deaths over 2025–2050, representing 9.3% of business-as-usual CVD mortality. Hypertension control in the general population contributed the largest single-intervention effect (29.4 million deaths averted; 4.2%), followed by lipid-lowering therapy (21.3 million; 3.1%) and targeted blood pressure control in people with diabetes (15.3 million; 2.2%). Ischaemic heart disease accounted for the largest share of avertable deaths. Benefits accrued predominantly in adults aged 70 years and older and were concentrated in countries with the highest baseline CVD burden.</w:t>
      </w:r>
    </w:p>
    <w:p w14:paraId="1E11B0C5" w14:textId="77777777" w:rsidR="00711131" w:rsidRDefault="00000000">
      <w:pPr>
        <w:pStyle w:val="BodyText"/>
      </w:pPr>
      <w:r>
        <w:t>Interpretation</w:t>
      </w:r>
    </w:p>
    <w:p w14:paraId="1E11B0C6" w14:textId="77777777" w:rsidR="00711131" w:rsidRDefault="00000000">
      <w:pPr>
        <w:pStyle w:val="BodyText"/>
      </w:pPr>
      <w:r>
        <w:t>Achieving WHO cardiovascular risk-factor targets by 2030 could avert millions of CVD deaths over the subsequent 25 years across 190 countries. These findings provide a quantitative foundation for national and global investment in hypertension management and lipid-lowering therapy scale-up as complementary strategies for CVD prevention.</w:t>
      </w:r>
    </w:p>
    <w:p w14:paraId="1E11B0C7" w14:textId="77777777" w:rsidR="00711131" w:rsidRDefault="00000000">
      <w:pPr>
        <w:pStyle w:val="BodyText"/>
      </w:pPr>
      <w:r>
        <w:t>Funding</w:t>
      </w:r>
    </w:p>
    <w:p w14:paraId="1E11B0C8" w14:textId="77777777" w:rsidR="00711131" w:rsidRDefault="00000000">
      <w:pPr>
        <w:pStyle w:val="BodyText"/>
      </w:pPr>
      <w:r>
        <w:t>[Write the funding statement here.]</w:t>
      </w:r>
    </w:p>
    <w:p w14:paraId="1E11B0C9" w14:textId="77777777" w:rsidR="00711131" w:rsidRDefault="00000000">
      <w:pPr>
        <w:pStyle w:val="Heading2"/>
      </w:pPr>
      <w:bookmarkStart w:id="4" w:name="research-in-context"/>
      <w:bookmarkStart w:id="5" w:name="_Toc225970025"/>
      <w:bookmarkEnd w:id="2"/>
      <w:r>
        <w:rPr>
          <w:rStyle w:val="SectionNumber"/>
        </w:rPr>
        <w:t>1.2</w:t>
      </w:r>
      <w:r>
        <w:tab/>
        <w:t>Research in context</w:t>
      </w:r>
      <w:bookmarkEnd w:id="5"/>
    </w:p>
    <w:p w14:paraId="1E11B0CA" w14:textId="77777777" w:rsidR="00711131" w:rsidRDefault="00000000">
      <w:pPr>
        <w:pStyle w:val="FirstParagraph"/>
      </w:pPr>
      <w:r>
        <w:t>Evidence before this study</w:t>
      </w:r>
    </w:p>
    <w:p w14:paraId="1E11B0CB" w14:textId="77777777" w:rsidR="00711131" w:rsidRDefault="00000000">
      <w:pPr>
        <w:pStyle w:val="BodyText"/>
      </w:pPr>
      <w:r>
        <w:t>Previous modelling studies have demonstrated the effectiveness of blood pressure lowering and statin therapy for reducing cardiovascular events at the individual and single-country levels. The NCD Countdown collaborations have tracked progress toward SDG target 3.4 and identified efficient intervention packages for low- and middle-income countries (Bennett et al. 2020; Watkins et al. 2022). However, prior global analyses have typically been limited to single interventions, short projection horizons, or restricted country coverage, making it difficult to quantify the combined, long-term health returns of achieving multiple WHO cardiovascular targets simultaneously across the full range of country settings.</w:t>
      </w:r>
    </w:p>
    <w:p w14:paraId="1E11B0CC" w14:textId="77777777" w:rsidR="00711131" w:rsidRDefault="00000000">
      <w:pPr>
        <w:pStyle w:val="BodyText"/>
      </w:pPr>
      <w:r>
        <w:t>Added value of this study</w:t>
      </w:r>
    </w:p>
    <w:p w14:paraId="1E11B0CD" w14:textId="77777777" w:rsidR="00711131" w:rsidRDefault="00000000">
      <w:pPr>
        <w:pStyle w:val="BodyText"/>
      </w:pPr>
      <w:r>
        <w:t xml:space="preserve">This study provides the first comprehensive global projection of CVD deaths avertable from simultaneous achievement of WHO targets for hypertension control and lipid-lowering </w:t>
      </w:r>
      <w:r>
        <w:lastRenderedPageBreak/>
        <w:t>therapy across 190 countries over a 25-year horizon. By modelling country-specific epidemiological and demographic trajectories and applying intervention effects based on meta-analytic evidence, it quantifies the magnitude, timing, and distribution of health gains by cause, age, sex, WHO region, and World Bank income group.</w:t>
      </w:r>
    </w:p>
    <w:p w14:paraId="1E11B0CE" w14:textId="77777777" w:rsidR="00711131" w:rsidRDefault="00000000">
      <w:pPr>
        <w:pStyle w:val="BodyText"/>
      </w:pPr>
      <w:r>
        <w:t>Implications of all the available evidence</w:t>
      </w:r>
    </w:p>
    <w:p w14:paraId="1E11B0CF" w14:textId="77777777" w:rsidR="00711131" w:rsidRDefault="00000000">
      <w:pPr>
        <w:pStyle w:val="BodyText"/>
      </w:pPr>
      <w:r>
        <w:t>The evidence supports prioritising concurrent investment in hypertension management and lipid-lowering therapy as complementary, high-impact strategies for reducing global CVD mortality. The benefits are largest in absolute terms in high-burden countries, but proportional gains are substantial across all income groups, reinforcing the case for universal scale-up through primary health care platforms such as the WHO HEARTS technical package.</w:t>
      </w:r>
    </w:p>
    <w:p w14:paraId="1E11B0D0" w14:textId="77777777" w:rsidR="00711131" w:rsidRDefault="00000000">
      <w:pPr>
        <w:pStyle w:val="Heading1"/>
      </w:pPr>
      <w:bookmarkStart w:id="6" w:name="introduction"/>
      <w:bookmarkStart w:id="7" w:name="_Toc225970026"/>
      <w:bookmarkEnd w:id="0"/>
      <w:bookmarkEnd w:id="4"/>
      <w:r>
        <w:rPr>
          <w:rStyle w:val="SectionNumber"/>
        </w:rPr>
        <w:t>2</w:t>
      </w:r>
      <w:r>
        <w:tab/>
        <w:t>Introduction</w:t>
      </w:r>
      <w:bookmarkEnd w:id="7"/>
    </w:p>
    <w:p w14:paraId="1E11B0D1" w14:textId="77777777" w:rsidR="00711131" w:rsidRDefault="00000000">
      <w:pPr>
        <w:pStyle w:val="FirstParagraph"/>
      </w:pPr>
      <w:r>
        <w:t>Cardiovascular diseases (CVDs) remain the world’s leading cause of death and disability-adjusted life years (DALYs). CVD deaths increased globally from 13.1 million in 1990 to 19.2 million in 2023, with ischaemic heart disease, intracerebral haemorrhagic stroke, ischaemic stroke, and hypertensive heart disease among the leading causes (Chong et al. 2024). Age-standardized CVD DALY rates were highest in low and low-middle Socio-demographic Index (SDI) settings, and the number of prevalent CVD cases more than doubled between 1990 and 2023, rising from 311 million to 626 million. In 2023, modifiable risk factors accounted for 79.6% of CVD burden, equivalent to 347 million DALYs — underscoring that the majority of this burden is preventable.</w:t>
      </w:r>
    </w:p>
    <w:p w14:paraId="1E11B0D2" w14:textId="77777777" w:rsidR="00711131" w:rsidRDefault="00000000">
      <w:pPr>
        <w:pStyle w:val="BodyText"/>
      </w:pPr>
      <w:r>
        <w:t>Among modifiable exposures, high systolic blood pressure and high low-density lipoprotein (LDL) cholesterol rank as the two leading contributors to attributable CVD burden worldwide, together accounting for a greater share of ischaemic heart disease and stroke mortality than dietary risks, air pollution, or any other single risk factor (Vollset et al. 2024). The scale of unmet need is striking: 1.4 billion adults live with high blood pressure, yet only 23% have it under control (Banigbe et al. 2025). The estimated global prevalence of hypercholesterolaemia was 24.1% in 2025, and that of hypertriglyceridaemia 28.8%, with statin therapy coverage remaining far below levels needed for meaningful population-level risk reduction (Basios et al. 2025). Beyond their magnitude of effect, blood pressure control and lipid-lowering therapy are distinguished by the availability of effective, affordable, and scalable pharmaceutical interventions and established primary health care delivery platforms — making them implementation priorities of the highest order (Moran et al. 2024).</w:t>
      </w:r>
    </w:p>
    <w:p w14:paraId="1E11B0D3" w14:textId="77777777" w:rsidR="00711131" w:rsidRDefault="00000000">
      <w:pPr>
        <w:pStyle w:val="BodyText"/>
      </w:pPr>
      <w:r>
        <w:t xml:space="preserve">Multiple multilateral frameworks now reflect convergent political commitment to tackling these two risk factors as a cornerstone of NCD prevention. WHO Member States have endorsed progressively ambitious targets: the 2021 Global Diabetes Compact committed to 80% blood pressure control and systematic statin therapy for all adults aged 40 years and above with diabetes. The WHO NCD Global Monitoring Framework set a target of at </w:t>
      </w:r>
      <w:r>
        <w:lastRenderedPageBreak/>
        <w:t>least 50% of eligible high-risk individuals receiving effective drug therapies, including statins, by 2025; and the Political Declaration of the Fourth High-level Meeting on NCDs (2025) called for 80% of primary health care facilities to stock WHO-recommended essential medicines by 2030, alongside control of blood pressure in an additional 150 million people. The present study quantifies what achieving these targets would mean in practice — in health and economic terms, across 190 countries.</w:t>
      </w:r>
    </w:p>
    <w:p w14:paraId="1E11B0D4" w14:textId="77777777" w:rsidR="00711131" w:rsidRDefault="00000000">
      <w:pPr>
        <w:pStyle w:val="BodyText"/>
      </w:pPr>
      <w:r>
        <w:t>Although the clinical benefits of these interventions are well established, comparable global evidence quantifying the long-term mortality, morbidity, and economic returns of simultaneously achieving both targets across the full spectrum of country income levels remains limited. Existing analyses have typically been restricted to single countries, short time horizons, or individual interventions modelled in isolation (Kontis et al. 2019; Pickersgill et al. 2022), constraining the ability of national governments, international donors, and health institutions to prioritise investment and plan implementation at scale.</w:t>
      </w:r>
    </w:p>
    <w:p w14:paraId="1E11B0D5" w14:textId="77777777" w:rsidR="00711131" w:rsidRDefault="00000000">
      <w:pPr>
        <w:pStyle w:val="BodyText"/>
      </w:pPr>
      <w:r>
        <w:t>This study addresses that gap by estimating the health outcomes associated with achieving WHO targets for hypertension control and lipid-lowering therapy across 190 countries from 2026 to 2050, using a comparative risk assessment modelling framework applied to country-specific epidemiological and demographic data.</w:t>
      </w:r>
    </w:p>
    <w:p w14:paraId="1E11B0D6" w14:textId="77777777" w:rsidR="00711131" w:rsidRDefault="00000000">
      <w:pPr>
        <w:pStyle w:val="Heading1"/>
      </w:pPr>
      <w:bookmarkStart w:id="8" w:name="methods"/>
      <w:bookmarkStart w:id="9" w:name="_Toc225970027"/>
      <w:bookmarkEnd w:id="6"/>
      <w:r>
        <w:rPr>
          <w:rStyle w:val="SectionNumber"/>
        </w:rPr>
        <w:t>3</w:t>
      </w:r>
      <w:r>
        <w:tab/>
        <w:t>Methods</w:t>
      </w:r>
      <w:bookmarkEnd w:id="9"/>
    </w:p>
    <w:p w14:paraId="1E11B0D7" w14:textId="77777777" w:rsidR="00711131" w:rsidRDefault="00000000">
      <w:pPr>
        <w:pStyle w:val="Heading2"/>
      </w:pPr>
      <w:bookmarkStart w:id="10" w:name="study-design"/>
      <w:bookmarkStart w:id="11" w:name="_Toc225970028"/>
      <w:r>
        <w:rPr>
          <w:rStyle w:val="SectionNumber"/>
        </w:rPr>
        <w:t>3.1</w:t>
      </w:r>
      <w:r>
        <w:tab/>
        <w:t>Study design</w:t>
      </w:r>
      <w:bookmarkEnd w:id="11"/>
    </w:p>
    <w:p w14:paraId="1E11B0D8" w14:textId="77777777" w:rsidR="00711131" w:rsidRDefault="00000000">
      <w:pPr>
        <w:pStyle w:val="FirstParagraph"/>
      </w:pPr>
      <w:r>
        <w:t>We conducted a multi-country comparative modelling study using a discrete-time multi-state transition model projecting CVD mortality across 190 countries from 2026 to 2050. Four causes of CVD death were modelled jointly: ischaemic heart disease (IHD), ischaemic stroke, intracerebral haemorrhage (haemorrhagic stroke), and hypertensive heart disease (HHD). Three health states — Well, Sick, and Dead — were tracked for each cause, stratified by single year of age (20–95), sex, and country. The model was calibrated to observed epidemiological data from 2019 and projected forward using annual time steps.</w:t>
      </w:r>
    </w:p>
    <w:p w14:paraId="1E11B0D9" w14:textId="77777777" w:rsidR="00711131" w:rsidRDefault="00000000">
      <w:pPr>
        <w:pStyle w:val="Heading2"/>
      </w:pPr>
      <w:bookmarkStart w:id="12" w:name="data-sources"/>
      <w:bookmarkStart w:id="13" w:name="_Toc225970029"/>
      <w:bookmarkEnd w:id="10"/>
      <w:r>
        <w:rPr>
          <w:rStyle w:val="SectionNumber"/>
        </w:rPr>
        <w:t>3.2</w:t>
      </w:r>
      <w:r>
        <w:tab/>
        <w:t>Data sources</w:t>
      </w:r>
      <w:bookmarkEnd w:id="13"/>
    </w:p>
    <w:p w14:paraId="1E11B0DA" w14:textId="77777777" w:rsidR="00711131" w:rsidRDefault="00000000">
      <w:pPr>
        <w:pStyle w:val="FirstParagraph"/>
      </w:pPr>
      <w:r>
        <w:t xml:space="preserve">Baseline transition rates — incidence (IR), case fatality (CF), cause-specific background mortality, and prevalence — were derived from the Global Burden of Disease (GBD) 2023 study (Chong et al. 2024). Population denominators were obtained from the United Nations World Population Prospects 2024, using single-year age and sex projections for each country. Blood pressure distributions by country, age, and sex were sourced from the NCD Risk Factor Collaboration, and baseline hypertension control rates were derived from country-level NCD-RisC estimates. Relative risks for blood pressure reduction were based on the meta-analysis by Ettehad et al. (2016), stratified by blood pressure category and cause. COVID-19 excess mortality was applied for 2020–2021 only. Statin coverage estimates were derived from published and imputed country-level data, with intervention </w:t>
      </w:r>
      <w:r>
        <w:lastRenderedPageBreak/>
        <w:t>effect sizes drawn from established randomised controlled trial evidence (Fulcher et al. 2015).</w:t>
      </w:r>
    </w:p>
    <w:p w14:paraId="1E11B0DB" w14:textId="77777777" w:rsidR="00711131" w:rsidRDefault="00000000">
      <w:pPr>
        <w:pStyle w:val="Heading2"/>
      </w:pPr>
      <w:bookmarkStart w:id="14" w:name="intervention-scenarios"/>
      <w:bookmarkStart w:id="15" w:name="_Toc225970030"/>
      <w:bookmarkEnd w:id="12"/>
      <w:r>
        <w:rPr>
          <w:rStyle w:val="SectionNumber"/>
        </w:rPr>
        <w:t>3.3</w:t>
      </w:r>
      <w:r>
        <w:tab/>
        <w:t>Intervention scenarios</w:t>
      </w:r>
      <w:bookmarkEnd w:id="15"/>
    </w:p>
    <w:p w14:paraId="1E11B0DC" w14:textId="77777777" w:rsidR="00711131" w:rsidRDefault="00000000">
      <w:pPr>
        <w:pStyle w:val="FirstParagraph"/>
      </w:pPr>
      <w:r>
        <w:t>Three active intervention scenarios were modelled against a business-as-usual (BAU) reference in which 2024 coverage rates were held constant through 2050:</w:t>
      </w:r>
    </w:p>
    <w:p w14:paraId="1E11B0DD" w14:textId="77777777" w:rsidR="00711131" w:rsidRDefault="00000000">
      <w:pPr>
        <w:numPr>
          <w:ilvl w:val="0"/>
          <w:numId w:val="2"/>
        </w:numPr>
      </w:pPr>
      <w:r>
        <w:rPr>
          <w:b/>
          <w:bCs/>
        </w:rPr>
        <w:t>Hypertension control (general population):</w:t>
      </w:r>
      <w:r>
        <w:t xml:space="preserve"> Linear scale-up to 50% population-level blood pressure control by 2030, beginning in 2026, corresponding to the WHO target of 150 million additional people with controlled hypertension. Effect sizes were derived from the Ettehad et al. meta-analysis, applied across eight blood pressure bins with incremental coverage above baseline generating new risk reductions for incidence and case fatality.</w:t>
      </w:r>
    </w:p>
    <w:p w14:paraId="1E11B0DE" w14:textId="77777777" w:rsidR="00711131" w:rsidRDefault="00000000">
      <w:pPr>
        <w:numPr>
          <w:ilvl w:val="0"/>
          <w:numId w:val="2"/>
        </w:numPr>
      </w:pPr>
      <w:r>
        <w:rPr>
          <w:b/>
          <w:bCs/>
        </w:rPr>
        <w:t>Hypertension control (diabetes subgroup):</w:t>
      </w:r>
      <w:r>
        <w:t xml:space="preserve"> Linear scale-up to 80% blood pressure control among people with diagnosed diabetes by 2030. Effect sizes were weighted by country-level diabetes prevalence and blended with general-population hypertension effects.</w:t>
      </w:r>
    </w:p>
    <w:p w14:paraId="1E11B0DF" w14:textId="77777777" w:rsidR="00711131" w:rsidRDefault="00000000">
      <w:pPr>
        <w:numPr>
          <w:ilvl w:val="0"/>
          <w:numId w:val="2"/>
        </w:numPr>
      </w:pPr>
      <w:r>
        <w:rPr>
          <w:b/>
          <w:bCs/>
        </w:rPr>
        <w:t>Lipid-lowering therapy:</w:t>
      </w:r>
      <w:r>
        <w:t xml:space="preserve"> Linear scale-up to 50% statin coverage among eligible adults (aged 40 years and older) by 2030. Effects were restricted to IHD and ischaemic stroke and applied through an attributable-fraction approach, with an atherosclerotic fraction of 0.60 for ischaemic stroke.</w:t>
      </w:r>
    </w:p>
    <w:p w14:paraId="1E11B0E0" w14:textId="77777777" w:rsidR="00711131" w:rsidRDefault="00000000">
      <w:pPr>
        <w:pStyle w:val="FirstParagraph"/>
      </w:pPr>
      <w:r>
        <w:t>A fourth combination scenario applied all three interventions simultaneously, with effects combining multiplicatively across interventions.</w:t>
      </w:r>
    </w:p>
    <w:p w14:paraId="1E11B0E1" w14:textId="77777777" w:rsidR="00711131" w:rsidRDefault="00000000">
      <w:pPr>
        <w:pStyle w:val="Heading2"/>
      </w:pPr>
      <w:bookmarkStart w:id="16" w:name="modelling-framework"/>
      <w:bookmarkStart w:id="17" w:name="_Toc225970031"/>
      <w:bookmarkEnd w:id="14"/>
      <w:r>
        <w:rPr>
          <w:rStyle w:val="SectionNumber"/>
        </w:rPr>
        <w:t>3.4</w:t>
      </w:r>
      <w:r>
        <w:tab/>
        <w:t>Modelling framework</w:t>
      </w:r>
      <w:bookmarkEnd w:id="17"/>
    </w:p>
    <w:p w14:paraId="1E11B0E2" w14:textId="77777777" w:rsidR="00711131" w:rsidRDefault="00000000">
      <w:pPr>
        <w:pStyle w:val="FirstParagraph"/>
      </w:pPr>
      <w:r>
        <w:t>The core model is a discrete-time state-transition framework in which individuals move between Well, Sick, and Dead states at each annual time step according to cause-specific incidence rates (Well to Sick), case fatality rates (Sick to Dead), and background mortality rates (all states to Dead). Interventions modify incidence and case fatality through multiplicative effect ratios (</w:t>
      </w:r>
      <m:oMath>
        <m:sSub>
          <m:sSubPr>
            <m:ctrlPr>
              <w:rPr>
                <w:rFonts w:ascii="Cambria Math" w:hAnsi="Cambria Math"/>
              </w:rPr>
            </m:ctrlPr>
          </m:sSubPr>
          <m:e>
            <m:r>
              <w:rPr>
                <w:rFonts w:ascii="Cambria Math" w:hAnsi="Cambria Math"/>
              </w:rPr>
              <m:t>ε</m:t>
            </m:r>
          </m:e>
          <m:sub>
            <m:r>
              <w:rPr>
                <w:rFonts w:ascii="Cambria Math" w:hAnsi="Cambria Math"/>
              </w:rPr>
              <m:t>IR</m:t>
            </m:r>
          </m:sub>
        </m:sSub>
      </m:oMath>
      <w:r>
        <w:t xml:space="preserve">, </w:t>
      </w:r>
      <m:oMath>
        <m:sSub>
          <m:sSubPr>
            <m:ctrlPr>
              <w:rPr>
                <w:rFonts w:ascii="Cambria Math" w:hAnsi="Cambria Math"/>
              </w:rPr>
            </m:ctrlPr>
          </m:sSubPr>
          <m:e>
            <m:r>
              <w:rPr>
                <w:rFonts w:ascii="Cambria Math" w:hAnsi="Cambria Math"/>
              </w:rPr>
              <m:t>ε</m:t>
            </m:r>
          </m:e>
          <m:sub>
            <m:r>
              <w:rPr>
                <w:rFonts w:ascii="Cambria Math" w:hAnsi="Cambria Math"/>
              </w:rPr>
              <m:t>CF</m:t>
            </m:r>
          </m:sub>
        </m:sSub>
      </m:oMath>
      <w:r>
        <w:t xml:space="preserve">), which are computed from the intervention-specific coverage increment above baseline. For hypertension control, effect ratios are derived from a nine-step pipeline incorporating blood pressure bin distributions, GBD relative risks, Ettehad trial effect sizes, and population-weighted aggregation. For statin therapy, incremental coverage generates cause- and location-specific risk reductions applied to incidence and case fatality. Under the combined scenario, effects combine multiplicatively: </w:t>
      </w:r>
      <m:oMath>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total</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BP</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statin</m:t>
            </m:r>
          </m:sub>
        </m:sSub>
      </m:oMath>
      <w:r>
        <w:t>.</w:t>
      </w:r>
    </w:p>
    <w:p w14:paraId="1E11B0E3" w14:textId="77777777" w:rsidR="00711131" w:rsidRDefault="00000000">
      <w:pPr>
        <w:pStyle w:val="BodyText"/>
      </w:pPr>
      <w:r>
        <w:t xml:space="preserve">Each country was run independently in parallel using the </w:t>
      </w:r>
      <w:r>
        <w:rPr>
          <w:rStyle w:val="VerbatimChar"/>
        </w:rPr>
        <w:t>doParallel</w:t>
      </w:r>
      <w:r>
        <w:t xml:space="preserve"> framework in R. Only incremental coverage above baseline was credited with new effects, avoiding double-counting of existing treatment benefits.</w:t>
      </w:r>
    </w:p>
    <w:p w14:paraId="1E11B0E4" w14:textId="77777777" w:rsidR="00711131" w:rsidRDefault="00000000">
      <w:pPr>
        <w:pStyle w:val="Heading2"/>
      </w:pPr>
      <w:bookmarkStart w:id="18" w:name="outcomes"/>
      <w:bookmarkStart w:id="19" w:name="_Toc225970032"/>
      <w:bookmarkEnd w:id="16"/>
      <w:r>
        <w:rPr>
          <w:rStyle w:val="SectionNumber"/>
        </w:rPr>
        <w:lastRenderedPageBreak/>
        <w:t>3.5</w:t>
      </w:r>
      <w:r>
        <w:tab/>
        <w:t>Outcomes</w:t>
      </w:r>
      <w:bookmarkEnd w:id="19"/>
    </w:p>
    <w:p w14:paraId="1E11B0E5" w14:textId="77777777" w:rsidR="00711131" w:rsidRDefault="00000000">
      <w:pPr>
        <w:pStyle w:val="FirstParagraph"/>
      </w:pPr>
      <w:r>
        <w:t>The primary outcome was cumulative CVD deaths averted relative to the BAU scenario over 2026–2050, disaggregated by intervention, cause of death, age group, sex, WHO region, and World Bank income group. Secondary outcomes included years of life lost (YLLs) averted, years lived with disability (YLDs) averted, disability-adjusted life years (DALYs) averted, and age-standardised mortality rates (ASMR) over time.</w:t>
      </w:r>
    </w:p>
    <w:p w14:paraId="1E11B0E6" w14:textId="77777777" w:rsidR="00711131" w:rsidRDefault="00000000">
      <w:pPr>
        <w:pStyle w:val="Heading2"/>
      </w:pPr>
      <w:bookmarkStart w:id="20" w:name="sensitivity-and-uncertainty-analysis"/>
      <w:bookmarkStart w:id="21" w:name="_Toc225970033"/>
      <w:bookmarkEnd w:id="18"/>
      <w:r>
        <w:rPr>
          <w:rStyle w:val="SectionNumber"/>
        </w:rPr>
        <w:t>3.6</w:t>
      </w:r>
      <w:r>
        <w:tab/>
        <w:t>Sensitivity and uncertainty analysis</w:t>
      </w:r>
      <w:bookmarkEnd w:id="21"/>
    </w:p>
    <w:p w14:paraId="1E11B0E7" w14:textId="77777777" w:rsidR="00711131" w:rsidRDefault="00000000">
      <w:pPr>
        <w:pStyle w:val="FirstParagraph"/>
      </w:pPr>
      <w:r>
        <w:t>The model was run under the primary set of assumptions described above. Formal probabilistic sensitivity analysis incorporating GBD uncertainty intervals and parameter distributions is planned as a subsequent extension. The present analysis reports central estimates derived from mean input parameters.</w:t>
      </w:r>
    </w:p>
    <w:p w14:paraId="1E11B0E8" w14:textId="77777777" w:rsidR="00711131" w:rsidRDefault="00000000">
      <w:pPr>
        <w:pStyle w:val="Heading1"/>
      </w:pPr>
      <w:bookmarkStart w:id="22" w:name="results"/>
      <w:bookmarkStart w:id="23" w:name="_Toc225970034"/>
      <w:bookmarkEnd w:id="8"/>
      <w:bookmarkEnd w:id="20"/>
      <w:r>
        <w:rPr>
          <w:rStyle w:val="SectionNumber"/>
        </w:rPr>
        <w:t>4</w:t>
      </w:r>
      <w:r>
        <w:tab/>
        <w:t>Results</w:t>
      </w:r>
      <w:bookmarkEnd w:id="23"/>
    </w:p>
    <w:p w14:paraId="1E11B0E9" w14:textId="77777777" w:rsidR="00711131" w:rsidRDefault="00000000">
      <w:pPr>
        <w:pStyle w:val="Heading2"/>
      </w:pPr>
      <w:bookmarkStart w:id="24" w:name="baseline-global-trajectory-20262050"/>
      <w:bookmarkStart w:id="25" w:name="_Toc225970035"/>
      <w:r>
        <w:rPr>
          <w:rStyle w:val="SectionNumber"/>
        </w:rPr>
        <w:t>4.1</w:t>
      </w:r>
      <w:r>
        <w:tab/>
        <w:t>Baseline global trajectory, 2026–2050</w:t>
      </w:r>
      <w:bookmarkEnd w:id="25"/>
    </w:p>
    <w:p w14:paraId="1E11B0EA" w14:textId="77777777" w:rsidR="00711131" w:rsidRDefault="00000000">
      <w:pPr>
        <w:pStyle w:val="FirstParagraph"/>
      </w:pPr>
      <w:r>
        <w:t>Under the business-as-usual scenario, in which hypertension control and statin coverage remained at 2024 levels, the model projected 696.2 million cumulative CVD deaths from all four causes across 190 countries over 2026–2050 (Figure 1). Ischaemic heart disease was the dominant contributor, followed by ischaemic stroke, intracerebral haemorrhage, and hypertensive heart disease. Global incident and prevalent CVD cases continued to rise over the projection period, driven by population ageing. Age-standardised CVD mortality rates declined modestly even under the BAU scenario, reflecting projected demographic transitions, but absolute death counts increased as population growth outpaced age-specific rate reductions.</w:t>
      </w:r>
    </w:p>
    <w:p w14:paraId="1E11B0EB" w14:textId="77777777" w:rsidR="00711131" w:rsidRDefault="00000000">
      <w:pPr>
        <w:pStyle w:val="Heading2"/>
      </w:pPr>
      <w:bookmarkStart w:id="26" w:name="X871da7f6b6c54f07659c565381184c9d41c1a7f"/>
      <w:bookmarkStart w:id="27" w:name="_Toc225970036"/>
      <w:bookmarkEnd w:id="24"/>
      <w:r>
        <w:rPr>
          <w:rStyle w:val="SectionNumber"/>
        </w:rPr>
        <w:t>4.2</w:t>
      </w:r>
      <w:r>
        <w:tab/>
        <w:t>Global impact of achieving the hypertension control target</w:t>
      </w:r>
      <w:bookmarkEnd w:id="27"/>
    </w:p>
    <w:p w14:paraId="1E11B0EC" w14:textId="77777777" w:rsidR="00711131" w:rsidRDefault="00000000">
      <w:pPr>
        <w:pStyle w:val="FirstParagraph"/>
      </w:pPr>
      <w:r>
        <w:t>Achievement of the WHO target for hypertension control in the general population (50% control by 2030) was projected to avert 29.4 million CVD deaths over 2025–2050, equivalent to 4.2% of BAU mortality (Table 1; Figure 2). The annual number of deaths averted grew steadily from the onset of scale-up in 2026, reaching 930 thousand per year by 2030 and 1,589 thousand per year by 2050, as the cumulative exposure to lower blood pressure compounded over time (Figure 3). The benefits of hypertension control spanned all four CVD causes, with ischaemic heart disease and ischaemic stroke accounting for the majority of averted deaths, followed by intracerebral haemorrhage and hypertensive heart disease (Table 2). In terms of disease burden, hypertension control in the general population was projected to avert 390.2 million DALYs over the study period.</w:t>
      </w:r>
    </w:p>
    <w:p w14:paraId="1E11B0ED" w14:textId="77777777" w:rsidR="00711131" w:rsidRDefault="00000000">
      <w:pPr>
        <w:pStyle w:val="BodyText"/>
      </w:pPr>
      <w:r>
        <w:t>Targeted hypertension control among people with diabetes (80% control by 2030) was projected to avert an additional 15.3 million deaths (2.2% of BAU) and 140.7 million DALYs, reflecting the elevated cardiovascular risk in this subgroup and the higher coverage target.</w:t>
      </w:r>
    </w:p>
    <w:p w14:paraId="1E11B0EE" w14:textId="77777777" w:rsidR="00711131" w:rsidRDefault="00000000">
      <w:pPr>
        <w:pStyle w:val="Heading2"/>
      </w:pPr>
      <w:bookmarkStart w:id="28" w:name="X06aa6fccb3cc5459d6dcbe6aec4f67e900334e9"/>
      <w:bookmarkStart w:id="29" w:name="_Toc225970037"/>
      <w:bookmarkEnd w:id="26"/>
      <w:r>
        <w:rPr>
          <w:rStyle w:val="SectionNumber"/>
        </w:rPr>
        <w:lastRenderedPageBreak/>
        <w:t>4.3</w:t>
      </w:r>
      <w:r>
        <w:tab/>
        <w:t>Global impact of achieving the lipid-lowering therapy target</w:t>
      </w:r>
      <w:bookmarkEnd w:id="29"/>
    </w:p>
    <w:p w14:paraId="1E11B0EF" w14:textId="77777777" w:rsidR="00711131" w:rsidRDefault="00000000">
      <w:pPr>
        <w:pStyle w:val="FirstParagraph"/>
      </w:pPr>
      <w:r>
        <w:t>Scale-up of lipid-lowering therapy to 50% coverage among eligible adults by 2030 was projected to avert 21.3 million deaths over 2025–2050 (3.1% of BAU; Table 1). Because statin effects were restricted to ischaemic heart disease and ischaemic stroke, the cause-specific profile of averted deaths differed from the hypertension scenarios: ischaemic heart disease accounted for 20.8 million averted deaths and ischaemic stroke for 1.5 million (Table 2). The annual trajectory of benefit was similar in shape to that of hypertension control, with gains accelerating after 2030 as sustained coverage translated into cumulative risk reduction (Figure 3). Lipid-lowering therapy was projected to avert 263.1 million DALYs over the study period.</w:t>
      </w:r>
    </w:p>
    <w:p w14:paraId="1E11B0F0" w14:textId="77777777" w:rsidR="00711131" w:rsidRDefault="00000000">
      <w:pPr>
        <w:pStyle w:val="Heading2"/>
      </w:pPr>
      <w:bookmarkStart w:id="30" w:name="combined-impact-of-both-targets"/>
      <w:bookmarkStart w:id="31" w:name="_Toc225970038"/>
      <w:bookmarkEnd w:id="28"/>
      <w:r>
        <w:rPr>
          <w:rStyle w:val="SectionNumber"/>
        </w:rPr>
        <w:t>4.4</w:t>
      </w:r>
      <w:r>
        <w:tab/>
        <w:t>Combined impact of both targets</w:t>
      </w:r>
      <w:bookmarkEnd w:id="31"/>
    </w:p>
    <w:p w14:paraId="1E11B0F1" w14:textId="77777777" w:rsidR="00711131" w:rsidRDefault="00000000">
      <w:pPr>
        <w:pStyle w:val="FirstParagraph"/>
      </w:pPr>
      <w:r>
        <w:t>Simultaneous achievement of all three WHO targets was projected to avert 64.7 million CVD deaths over 2025–2050, representing 9.3% of cumulative BAU mortality (Table 1; Figure 2). The combined scenario yielded substantially greater benefits than any single intervention alone, because hypertension control and statin therapy act on partially overlapping but distinct causal pathways and their effects combined multiplicatively. By 2050, the all-interventions scenario was averting approximately 3,419 thousand deaths annually relative to BAU (Figure 3). The combined scenario was projected to avert 778.5 million DALYs, 761.8 million YLLs, and 16.7 million YLDs over the study period (Table 3).</w:t>
      </w:r>
    </w:p>
    <w:p w14:paraId="1E11B0F2" w14:textId="77777777" w:rsidR="00711131" w:rsidRDefault="00000000">
      <w:pPr>
        <w:pStyle w:val="BodyText"/>
      </w:pPr>
      <w:r>
        <w:t>Ischaemic heart disease was the leading cause of averted deaths under the combined scenario (30.4 million), followed by ischaemic stroke (9.6 million), intracerebral haemorrhage (21.5 million), and hypertensive heart disease (3.2 million; Table 2).</w:t>
      </w:r>
    </w:p>
    <w:p w14:paraId="1E11B0F3" w14:textId="77777777" w:rsidR="00711131" w:rsidRDefault="00000000">
      <w:pPr>
        <w:pStyle w:val="Heading2"/>
      </w:pPr>
      <w:bookmarkStart w:id="32" w:name="Xfee0f011bec7907973059fb083e13bcabb33fcf"/>
      <w:bookmarkStart w:id="33" w:name="_Toc225970039"/>
      <w:bookmarkEnd w:id="30"/>
      <w:r>
        <w:rPr>
          <w:rStyle w:val="SectionNumber"/>
        </w:rPr>
        <w:t>4.5</w:t>
      </w:r>
      <w:r>
        <w:tab/>
        <w:t>Heterogeneity across countries and regions</w:t>
      </w:r>
      <w:bookmarkEnd w:id="33"/>
    </w:p>
    <w:p w14:paraId="1E11B0F4" w14:textId="77777777" w:rsidR="00711131" w:rsidRDefault="00000000">
      <w:pPr>
        <w:pStyle w:val="FirstParagraph"/>
      </w:pPr>
      <w:r>
        <w:t>The distribution of projected health gains was highly heterogeneous across countries and WHO regions (Table 4; Figures 4–5). In absolute terms, the largest numbers of deaths averted were concentrated in the most populous, high-burden countries: China, India, Indonesia, Russian Federation, and Pakistan accounted for the five highest national totals under the all-interventions scenario (Figure 5). Regional totals reflected the combination of population size, baseline CVD burden, and current coverage gaps, with regions characterised by high hypertension prevalence and low baseline treatment rates exhibiting the largest proportional reductions (Table 4).</w:t>
      </w:r>
    </w:p>
    <w:p w14:paraId="1E11B0F5" w14:textId="77777777" w:rsidR="00711131" w:rsidRDefault="00000000">
      <w:pPr>
        <w:pStyle w:val="BodyText"/>
      </w:pPr>
      <w:r>
        <w:t>When stratified by World Bank income group, low-income and lower-middle-income countries together accounted for a substantial share of avertable deaths and DALYs, underscoring the equity implications of global target achievement (Table 5). Upper-middle-income countries, which include several of the world’s most populous nations, contributed the largest absolute volumes of averted burden. High-income countries showed smaller proportional gains, consistent with their higher baseline treatment coverage.</w:t>
      </w:r>
    </w:p>
    <w:p w14:paraId="1E11B0F6" w14:textId="77777777" w:rsidR="00711131" w:rsidRDefault="00000000">
      <w:pPr>
        <w:pStyle w:val="Heading2"/>
      </w:pPr>
      <w:bookmarkStart w:id="34" w:name="distribution-by-age-and-sex"/>
      <w:bookmarkStart w:id="35" w:name="_Toc225970040"/>
      <w:bookmarkEnd w:id="32"/>
      <w:r>
        <w:rPr>
          <w:rStyle w:val="SectionNumber"/>
        </w:rPr>
        <w:lastRenderedPageBreak/>
        <w:t>4.6</w:t>
      </w:r>
      <w:r>
        <w:tab/>
        <w:t>Distribution by age and sex</w:t>
      </w:r>
      <w:bookmarkEnd w:id="35"/>
    </w:p>
    <w:p w14:paraId="1E11B0F7" w14:textId="77777777" w:rsidR="00711131" w:rsidRDefault="00000000">
      <w:pPr>
        <w:pStyle w:val="FirstParagraph"/>
      </w:pPr>
      <w:r>
        <w:t>The projected benefits of all interventions were concentrated among older adults. Under the combined scenario, adults aged 70 years and older accounted for 46.5 million of the 64.7 million deaths averted, reflecting the exponential increase in CVD mortality with age (Figure 6). Adults younger than 70 years accounted for 18.3 million averted deaths, representing the prevention of premature CVD mortality — a metric aligned with SDG target 3.4.</w:t>
      </w:r>
    </w:p>
    <w:p w14:paraId="1E11B0F8" w14:textId="77777777" w:rsidR="00711131" w:rsidRDefault="00000000">
      <w:pPr>
        <w:pStyle w:val="BodyText"/>
      </w:pPr>
      <w:r>
        <w:t>Males accounted for million averted deaths and females for million, consistent with the higher age-specific CVD mortality rates observed in men. The relative benefit of hypertension control versus lipid-lowering therapy was broadly similar across sex groups, although the absolute number of averted deaths was greater among men for all intervention scenarios (Figure 6).</w:t>
      </w:r>
    </w:p>
    <w:p w14:paraId="1E11B0F9" w14:textId="77777777" w:rsidR="00711131" w:rsidRDefault="00000000">
      <w:pPr>
        <w:pStyle w:val="Heading2"/>
      </w:pPr>
      <w:bookmarkStart w:id="36" w:name="sensitivity-and-uncertainty-results"/>
      <w:bookmarkStart w:id="37" w:name="_Toc225970041"/>
      <w:bookmarkEnd w:id="34"/>
      <w:r>
        <w:rPr>
          <w:rStyle w:val="SectionNumber"/>
        </w:rPr>
        <w:t>4.7</w:t>
      </w:r>
      <w:r>
        <w:tab/>
        <w:t>Sensitivity and uncertainty results</w:t>
      </w:r>
      <w:bookmarkEnd w:id="37"/>
    </w:p>
    <w:p w14:paraId="1E11B0FA" w14:textId="77777777" w:rsidR="00711131" w:rsidRDefault="00000000">
      <w:pPr>
        <w:pStyle w:val="FirstParagraph"/>
      </w:pPr>
      <w:r>
        <w:t>The present analysis reports central estimates based on mean input parameters from GBD 2023, meta-analytic effect sizes, and linear scale-up assumptions. Formal probabilistic sensitivity analysis, including propagation of GBD uncertainty intervals and alternative assumptions regarding adherence, secular trends in risk-factor levels, and non-linear scale-up trajectories, is planned as a subsequent extension. The principal findings — that combined target achievement would avert millions of CVD deaths, that hypertension control contributes the largest single-intervention effect, and that benefits are concentrated in high-burden settings — are expected to be robust to plausible parameter variation, given the consistent direction and magnitude of evidence from the underlying meta-analyses (Ettehad et al. 2016; Fulcher et al. 2015).</w:t>
      </w:r>
    </w:p>
    <w:p w14:paraId="1E11B0FB" w14:textId="77777777" w:rsidR="00711131" w:rsidRDefault="00000000">
      <w:pPr>
        <w:pStyle w:val="Heading1"/>
      </w:pPr>
      <w:bookmarkStart w:id="38" w:name="discussion"/>
      <w:bookmarkStart w:id="39" w:name="_Toc225970042"/>
      <w:bookmarkEnd w:id="22"/>
      <w:bookmarkEnd w:id="36"/>
      <w:r>
        <w:rPr>
          <w:rStyle w:val="SectionNumber"/>
        </w:rPr>
        <w:t>5</w:t>
      </w:r>
      <w:r>
        <w:tab/>
        <w:t>Discussion</w:t>
      </w:r>
      <w:bookmarkEnd w:id="39"/>
    </w:p>
    <w:p w14:paraId="1E11B0FC" w14:textId="77777777" w:rsidR="00711131" w:rsidRDefault="00000000">
      <w:pPr>
        <w:pStyle w:val="Heading2"/>
      </w:pPr>
      <w:bookmarkStart w:id="40" w:name="principal-findings"/>
      <w:bookmarkStart w:id="41" w:name="_Toc225970043"/>
      <w:r>
        <w:rPr>
          <w:rStyle w:val="SectionNumber"/>
        </w:rPr>
        <w:t>5.1</w:t>
      </w:r>
      <w:r>
        <w:tab/>
        <w:t>Principal findings</w:t>
      </w:r>
      <w:bookmarkEnd w:id="41"/>
    </w:p>
    <w:p w14:paraId="1E11B0FD" w14:textId="77777777" w:rsidR="00711131" w:rsidRDefault="00000000">
      <w:pPr>
        <w:pStyle w:val="FirstParagraph"/>
      </w:pPr>
      <w:r>
        <w:t>This study projected that simultaneous achievement of WHO targets for hypertension control and lipid-lowering therapy across 190 countries from 2026 to 2050 would avert approximately 64.7 million CVD deaths and 778.5 million DALYs. Hypertension control in the general population was the single most impactful intervention, averting 29.4 million deaths, while lipid-lowering therapy contributed an additional 21.3 million deaths averted. The multiplicative combination of these interventions yielded substantially greater benefits than any single strategy alone, affirming the complementary nature of blood pressure and lipid management for CVD prevention.</w:t>
      </w:r>
    </w:p>
    <w:p w14:paraId="1E11B0FE" w14:textId="77777777" w:rsidR="00711131" w:rsidRDefault="00000000">
      <w:pPr>
        <w:pStyle w:val="Heading2"/>
      </w:pPr>
      <w:bookmarkStart w:id="42" w:name="X2a9bb67ed82774f7a99ecbdf531cab4a472e02d"/>
      <w:bookmarkStart w:id="43" w:name="_Toc225970044"/>
      <w:bookmarkEnd w:id="40"/>
      <w:r>
        <w:rPr>
          <w:rStyle w:val="SectionNumber"/>
        </w:rPr>
        <w:t>5.2</w:t>
      </w:r>
      <w:r>
        <w:tab/>
        <w:t>Interpretation of hypertension control findings</w:t>
      </w:r>
      <w:bookmarkEnd w:id="43"/>
    </w:p>
    <w:p w14:paraId="1E11B0FF" w14:textId="77777777" w:rsidR="00711131" w:rsidRDefault="00000000">
      <w:pPr>
        <w:pStyle w:val="FirstParagraph"/>
      </w:pPr>
      <w:r>
        <w:t xml:space="preserve">The projected impact of hypertension control is consistent with the well-established dose–response relationship between blood pressure reduction and cardiovascular risk </w:t>
      </w:r>
      <w:r>
        <w:lastRenderedPageBreak/>
        <w:t>described by Ettehad et al. (2016), in which every 10 mmHg reduction in systolic blood pressure was associated with a 20% reduction in major cardiovascular events, a 17% reduction in coronary heart disease, and a 27% reduction in stroke. Our findings extend this evidence by quantifying the population-level health gains achievable when these effect sizes are applied at scale across diverse country settings, accounting for heterogeneous baseline blood pressure distributions, varying levels of current hypertension control, and country-specific demographic trajectories.</w:t>
      </w:r>
    </w:p>
    <w:p w14:paraId="1E11B100" w14:textId="77777777" w:rsidR="00711131" w:rsidRDefault="00000000">
      <w:pPr>
        <w:pStyle w:val="BodyText"/>
      </w:pPr>
      <w:r>
        <w:t>The concentration of benefits in older age groups reflects the age-dependent increase in both baseline CVD mortality rates and the absolute risk reduction achievable through blood pressure lowering. The consistent benefit across all four modelled CVD causes — including haemorrhagic stroke and hypertensive heart disease — underscores the broad pathophysiological relevance of blood pressure control beyond ischaemic outcomes alone.</w:t>
      </w:r>
    </w:p>
    <w:p w14:paraId="1E11B101" w14:textId="77777777" w:rsidR="00711131" w:rsidRDefault="00000000">
      <w:pPr>
        <w:pStyle w:val="Heading2"/>
      </w:pPr>
      <w:bookmarkStart w:id="44" w:name="Xf35506f9c332e98967539573b75894b01753136"/>
      <w:bookmarkStart w:id="45" w:name="_Toc225970045"/>
      <w:bookmarkEnd w:id="42"/>
      <w:r>
        <w:rPr>
          <w:rStyle w:val="SectionNumber"/>
        </w:rPr>
        <w:t>5.3</w:t>
      </w:r>
      <w:r>
        <w:tab/>
        <w:t>Interpretation of lipid-lowering therapy findings</w:t>
      </w:r>
      <w:bookmarkEnd w:id="45"/>
    </w:p>
    <w:p w14:paraId="1E11B102" w14:textId="77777777" w:rsidR="00711131" w:rsidRDefault="00000000">
      <w:pPr>
        <w:pStyle w:val="FirstParagraph"/>
      </w:pPr>
      <w:r>
        <w:t>Lipid-lowering therapy with statins was projected to avert 21.3 million deaths, with effects concentrated in ischaemic heart disease and ischaemic stroke. This cause-specific profile is consistent with the atherogenic mechanism of LDL cholesterol and the evidence base from major statin trials, which have demonstrated significant reductions in coronary events and ischaemic stroke with minimal effect on haemorrhagic stroke or hypertensive heart disease (Fulcher et al. 2015). The modelling of statin effects only in adults aged 40 and above, and only for IHD and ischaemic stroke, represents a conservative approach that may underestimate the total benefit if future evidence supports broader indications or earlier initiation.</w:t>
      </w:r>
    </w:p>
    <w:p w14:paraId="1E11B103" w14:textId="77777777" w:rsidR="00711131" w:rsidRDefault="00000000">
      <w:pPr>
        <w:pStyle w:val="BodyText"/>
      </w:pPr>
      <w:r>
        <w:t>Adherence to statin therapy remains a critical implementation challenge. Meta-analytic evidence suggests that real-world statin adherence ranges from 40% to 75% depending on the clinical context and follow-up duration (Basios et al. 2025). Our model assumed full adherence for newly covered individuals under hypertension therapy and adjusted statin adherence for primary and secondary prevention; true population-level effects may be lower if adherence is suboptimal, particularly in settings with limited health system capacity for long-term medication management.</w:t>
      </w:r>
    </w:p>
    <w:p w14:paraId="1E11B104" w14:textId="77777777" w:rsidR="00711131" w:rsidRDefault="00000000">
      <w:pPr>
        <w:pStyle w:val="Heading2"/>
      </w:pPr>
      <w:bookmarkStart w:id="46" w:name="combined-policy-meaning"/>
      <w:bookmarkStart w:id="47" w:name="_Toc225970046"/>
      <w:bookmarkEnd w:id="44"/>
      <w:r>
        <w:rPr>
          <w:rStyle w:val="SectionNumber"/>
        </w:rPr>
        <w:t>5.4</w:t>
      </w:r>
      <w:r>
        <w:tab/>
        <w:t>Combined policy meaning</w:t>
      </w:r>
      <w:bookmarkEnd w:id="47"/>
    </w:p>
    <w:p w14:paraId="1E11B105" w14:textId="77777777" w:rsidR="00711131" w:rsidRDefault="00000000">
      <w:pPr>
        <w:pStyle w:val="FirstParagraph"/>
      </w:pPr>
      <w:r>
        <w:t>The combined scenario demonstrates that hypertension control and lipid-lowering therapy are complementary rather than substitutable interventions. Because blood pressure and LDL cholesterol act through partially independent causal pathways, their multiplicative combination generates health gains greater than the sum of their individual effects. This finding has direct policy relevance: programmes that integrate blood pressure measurement and treatment with lipid assessment and statin therapy — such as the WHO HEARTS technical package — can capture these synergistic benefits within existing primary health care platforms (Banigbe et al. 2025; Moran et al. 2024).</w:t>
      </w:r>
    </w:p>
    <w:p w14:paraId="1E11B106" w14:textId="77777777" w:rsidR="00711131" w:rsidRDefault="00000000">
      <w:pPr>
        <w:pStyle w:val="BodyText"/>
      </w:pPr>
      <w:r>
        <w:lastRenderedPageBreak/>
        <w:t>The projected 64.7 million deaths averted and 778.5 million DALYs averted under the combined scenario represent a substantial return on investment in cardiovascular risk-factor management. Recent costing analyses of the HEARTS programme in low- and middle-income countries have demonstrated favourable cost-effectiveness ratios for integrated hypertension and statin management (Husain et al. 2022; Garcia et al. 2026), suggesting that the health gains projected here are achievable within realistic resource envelopes.</w:t>
      </w:r>
    </w:p>
    <w:p w14:paraId="1E11B107" w14:textId="77777777" w:rsidR="00711131" w:rsidRDefault="00000000">
      <w:pPr>
        <w:pStyle w:val="Heading2"/>
      </w:pPr>
      <w:bookmarkStart w:id="48" w:name="equity-and-implementation-implications"/>
      <w:bookmarkStart w:id="49" w:name="_Toc225970047"/>
      <w:bookmarkEnd w:id="46"/>
      <w:r>
        <w:rPr>
          <w:rStyle w:val="SectionNumber"/>
        </w:rPr>
        <w:t>5.5</w:t>
      </w:r>
      <w:r>
        <w:tab/>
        <w:t>Equity and implementation implications</w:t>
      </w:r>
      <w:bookmarkEnd w:id="49"/>
    </w:p>
    <w:p w14:paraId="1E11B108" w14:textId="77777777" w:rsidR="00711131" w:rsidRDefault="00000000">
      <w:pPr>
        <w:pStyle w:val="FirstParagraph"/>
      </w:pPr>
      <w:r>
        <w:t>The distribution of projected benefits by income group reveals important equity dimensions. Low-income and lower-middle-income countries, which currently have the lowest levels of hypertension control and statin coverage, stand to gain substantially from global target achievement — both in absolute numbers and as a proportion of their baseline CVD burden. This finding reinforces the moral and epidemiological case for prioritising cardiovascular risk-factor management in resource-constrained settings, where the return on investment in prevention is highest.</w:t>
      </w:r>
    </w:p>
    <w:p w14:paraId="1E11B109" w14:textId="77777777" w:rsidR="00711131" w:rsidRDefault="00000000">
      <w:pPr>
        <w:pStyle w:val="BodyText"/>
      </w:pPr>
      <w:r>
        <w:t>However, realising these gains requires overcoming well-documented implementation barriers, including limited access to essential medicines, insufficient numbers of trained health workers, weak supply chains, and fragmented health information systems. The WHO HEARTS programme has demonstrated that standardised, protocol-based approaches to hypertension management can achieve large-scale coverage expansion in diverse country settings (Banigbe et al. 2025), and similar models are needed for lipid management. National commitment to pharmaceutical procurement, task sharing, and community-based screening and follow-up will be essential to translate these modelled projections into real-world health outcomes.</w:t>
      </w:r>
    </w:p>
    <w:p w14:paraId="1E11B10A" w14:textId="77777777" w:rsidR="00711131" w:rsidRDefault="00000000">
      <w:pPr>
        <w:pStyle w:val="Heading2"/>
      </w:pPr>
      <w:bookmarkStart w:id="50" w:name="relation-to-previous-literature"/>
      <w:bookmarkStart w:id="51" w:name="_Toc225970048"/>
      <w:bookmarkEnd w:id="48"/>
      <w:r>
        <w:rPr>
          <w:rStyle w:val="SectionNumber"/>
        </w:rPr>
        <w:t>5.6</w:t>
      </w:r>
      <w:r>
        <w:tab/>
        <w:t>Relation to previous literature</w:t>
      </w:r>
      <w:bookmarkEnd w:id="51"/>
    </w:p>
    <w:p w14:paraId="1E11B10B" w14:textId="77777777" w:rsidR="00711131" w:rsidRDefault="00000000">
      <w:pPr>
        <w:pStyle w:val="FirstParagraph"/>
      </w:pPr>
      <w:r>
        <w:t>Our findings are broadly consistent with, and extend, previous global and regional analyses. Kontis et al. (2019) projected the probability of achieving SDG target 3.4 (a one-third reduction in premature NCD mortality by 2030) and identified inadequate cardiovascular risk-factor control as a major barrier in most countries. The NCD Countdown analyses identified blood pressure management and statin therapy as among the most efficient interventions for reducing premature CVD mortality in low- and middle-income settings (Watkins et al. 2022; Bennett et al. 2020). Our study complements this work by providing country-specific projections over a 25-year horizon, enabling direct comparison of the relative contribution of each intervention.</w:t>
      </w:r>
    </w:p>
    <w:p w14:paraId="1E11B10C" w14:textId="77777777" w:rsidR="00711131" w:rsidRDefault="00000000">
      <w:pPr>
        <w:pStyle w:val="BodyText"/>
      </w:pPr>
      <w:r>
        <w:t xml:space="preserve">The Ford et al. analysis of the decline in US coronary mortality attributed approximately half of the observed reduction to evidence-based treatments, including statins and antihypertensives, and the remainder to risk-factor improvements (Ford et al. 2007). Similarly, Critchley et al. (2004) demonstrated that unfavourable risk-factor trends could offset treatment gains in rapidly developing countries. Our projections implicitly capture </w:t>
      </w:r>
      <w:r>
        <w:lastRenderedPageBreak/>
        <w:t>this tension by holding baseline risk-factor levels constant in the BAU scenario: the modelled health gains represent the incremental benefit of treatment scale-up above current trajectories.</w:t>
      </w:r>
    </w:p>
    <w:p w14:paraId="1E11B10D" w14:textId="77777777" w:rsidR="00711131" w:rsidRDefault="00000000">
      <w:pPr>
        <w:pStyle w:val="Heading2"/>
      </w:pPr>
      <w:bookmarkStart w:id="52" w:name="strengths"/>
      <w:bookmarkStart w:id="53" w:name="_Toc225970049"/>
      <w:bookmarkEnd w:id="50"/>
      <w:r>
        <w:rPr>
          <w:rStyle w:val="SectionNumber"/>
        </w:rPr>
        <w:t>5.7</w:t>
      </w:r>
      <w:r>
        <w:tab/>
        <w:t>Strengths</w:t>
      </w:r>
      <w:bookmarkEnd w:id="53"/>
    </w:p>
    <w:p w14:paraId="1E11B10E" w14:textId="77777777" w:rsidR="00711131" w:rsidRDefault="00000000">
      <w:pPr>
        <w:pStyle w:val="FirstParagraph"/>
      </w:pPr>
      <w:r>
        <w:t>This study has several notable strengths. First, it provides comprehensive global coverage across 190 countries, with country-specific epidemiological and demographic inputs rather than reliance on regional averages. Second, the model explicitly accounts for the interaction between hypertension control and statin therapy through multiplicative effect combination, avoiding the overestimation that would result from additive assumptions. Third, the use of GBD 2023 data and UNWPP 2024 population projections ensures that the analysis reflects the most current global health and demographic evidence. Fourth, the model de-duplicates existing treatment effects by crediting only incremental coverage above baseline, avoiding double-counting of current treatment benefits. Fifth, the 25-year projection horizon captures the long-term compounding of sustained risk-factor reduction, which shorter-horizon models may miss.</w:t>
      </w:r>
    </w:p>
    <w:p w14:paraId="1E11B10F" w14:textId="77777777" w:rsidR="00711131" w:rsidRDefault="00000000">
      <w:pPr>
        <w:pStyle w:val="Heading2"/>
      </w:pPr>
      <w:bookmarkStart w:id="54" w:name="limitations"/>
      <w:bookmarkStart w:id="55" w:name="_Toc225970050"/>
      <w:bookmarkEnd w:id="52"/>
      <w:r>
        <w:rPr>
          <w:rStyle w:val="SectionNumber"/>
        </w:rPr>
        <w:t>5.8</w:t>
      </w:r>
      <w:r>
        <w:tab/>
        <w:t>Limitations</w:t>
      </w:r>
      <w:bookmarkEnd w:id="55"/>
    </w:p>
    <w:p w14:paraId="1E11B110" w14:textId="77777777" w:rsidR="00711131" w:rsidRDefault="00000000">
      <w:pPr>
        <w:pStyle w:val="FirstParagraph"/>
      </w:pPr>
      <w:r>
        <w:t>Several limitations should be considered when interpreting these results. First, formal probabilistic sensitivity analysis was not conducted; results represent central estimates and do not incorporate uncertainty intervals from GBD inputs, meta-analytic effect sizes, or demographic projections. Second, the model assumes a static blood pressure distribution within countries — no secular trends in population blood pressure and no endogenous updating as treatment coverage increases — which may overestimate baseline risk in countries experiencing favourable risk-factor trends. Third, full adherence was assumed for hypertension therapy, and adherence-adjusted estimates for statin therapy may still exceed real-world levels in settings with limited health system capacity. Fourth, the linear scale-up assumption (2026–2030) is a simplification; actual programme expansion may follow non-linear trajectories with initial delays and subsequent acceleration. Fifth, no explicit health-system capacity constraints were modelled, meaning that the scenarios represent technical potential rather than implementation-ready projections. Sixth, COVID-19 excess mortality was modelled only for 2020–2021, and potential long-term cardiovascular sequelae of SARS-CoV-2 infection were not incorporated. Finally, the model does not capture potential interactions between interventions and other concurrent NCD prevention strategies, such as dietary sodium reduction or trans-fat elimination, which may modify the marginal benefit of hypertension control and statin therapy.</w:t>
      </w:r>
    </w:p>
    <w:p w14:paraId="1E11B111" w14:textId="77777777" w:rsidR="00711131" w:rsidRDefault="00000000">
      <w:pPr>
        <w:pStyle w:val="Heading1"/>
      </w:pPr>
      <w:bookmarkStart w:id="56" w:name="conclusion"/>
      <w:bookmarkStart w:id="57" w:name="_Toc225970051"/>
      <w:bookmarkEnd w:id="38"/>
      <w:bookmarkEnd w:id="54"/>
      <w:r>
        <w:rPr>
          <w:rStyle w:val="SectionNumber"/>
        </w:rPr>
        <w:t>6</w:t>
      </w:r>
      <w:r>
        <w:tab/>
        <w:t>Conclusion</w:t>
      </w:r>
      <w:bookmarkEnd w:id="57"/>
    </w:p>
    <w:p w14:paraId="1E11B112" w14:textId="77777777" w:rsidR="00711131" w:rsidRDefault="00000000">
      <w:pPr>
        <w:pStyle w:val="FirstParagraph"/>
      </w:pPr>
      <w:r>
        <w:t xml:space="preserve">Achievement of WHO targets for hypertension control and lipid-lowering therapy by 2030, sustained through 2050, could avert approximately 64.7 million CVD deaths and 778.5 </w:t>
      </w:r>
      <w:r>
        <w:lastRenderedPageBreak/>
        <w:t>million DALYs across 190 countries. Hypertension control in the general population and lipid-lowering therapy are complementary strategies whose combined benefit exceeds the sum of their individual effects. The projected health gains are substantial across all world regions and income groups, with the largest proportional benefits accruing to countries with the lowest current treatment coverage. These findings provide a quantitative foundation for accelerated investment in integrated cardiovascular risk-factor management through primary health care, and support the case for sustained political commitment to the WHO NCD targets as a cornerstone of global health policy.</w:t>
      </w:r>
    </w:p>
    <w:p w14:paraId="1E11B113" w14:textId="77777777" w:rsidR="00711131" w:rsidRDefault="00000000">
      <w:pPr>
        <w:pStyle w:val="Heading1"/>
      </w:pPr>
      <w:bookmarkStart w:id="58" w:name="references"/>
      <w:bookmarkStart w:id="59" w:name="_Toc225970052"/>
      <w:bookmarkEnd w:id="56"/>
      <w:r>
        <w:rPr>
          <w:rStyle w:val="SectionNumber"/>
        </w:rPr>
        <w:t>7</w:t>
      </w:r>
      <w:r>
        <w:tab/>
        <w:t>References</w:t>
      </w:r>
      <w:bookmarkEnd w:id="59"/>
    </w:p>
    <w:p w14:paraId="1E11B114" w14:textId="5F87FCD2" w:rsidR="00711131" w:rsidRDefault="00000000">
      <w:pPr>
        <w:pStyle w:val="Bibliography"/>
      </w:pPr>
      <w:bookmarkStart w:id="60" w:name="ref-Banigbe2025"/>
      <w:bookmarkStart w:id="61" w:name="refs"/>
      <w:r>
        <w:t xml:space="preserve">Banigbe, Bolanle F., Andrew E. Moran, Reena Gupta, Danielle Cazabon, Obehioye Aimiosior, Kufor Osi, Anupam Khungar Pathni, et al. 2025. “Lessons Learned from Treating 34 Million People with Hypertension: The Global HEARTS Initiative.” </w:t>
      </w:r>
      <w:r>
        <w:rPr>
          <w:i/>
          <w:iCs/>
        </w:rPr>
        <w:t>Journal of the American College of Cardiology</w:t>
      </w:r>
      <w:r>
        <w:t xml:space="preserve"> 86 (December): 2374–87. </w:t>
      </w:r>
      <w:hyperlink r:id="rId5">
        <w:r>
          <w:rPr>
            <w:rStyle w:val="Hyperlink"/>
          </w:rPr>
          <w:t>https://doi.org/10.1016/J.JACC.2025.09.324</w:t>
        </w:r>
      </w:hyperlink>
      <w:r>
        <w:t>.</w:t>
      </w:r>
    </w:p>
    <w:p w14:paraId="1E11B115" w14:textId="7C58C4EE" w:rsidR="00711131" w:rsidRDefault="00000000">
      <w:pPr>
        <w:pStyle w:val="Bibliography"/>
      </w:pPr>
      <w:bookmarkStart w:id="62" w:name="ref-Basios2025"/>
      <w:bookmarkEnd w:id="60"/>
      <w:r>
        <w:t xml:space="preserve">Basios, Athanasios, Georgios Markozannes, Evangelia E Ntzani, Konstantinos Christopoulos, Christina A Chatzi, Evangelos Liberopoulos, Konstantinos K Tsilidis, Maria Pappa, and Evangelos C Rizos. 2025. “Prevalence and Determinants of Adherence to Statin Therapy: A Systematic Review and Meta-Analysis.” </w:t>
      </w:r>
      <w:r>
        <w:rPr>
          <w:i/>
          <w:iCs/>
        </w:rPr>
        <w:t>European Journal of Preventive Cardiology</w:t>
      </w:r>
      <w:r>
        <w:t xml:space="preserve"> 00 (December): 1–12. </w:t>
      </w:r>
      <w:hyperlink r:id="rId6">
        <w:r>
          <w:rPr>
            <w:rStyle w:val="Hyperlink"/>
          </w:rPr>
          <w:t>https://doi.org/10.1093/EURJPC/ZWAF769</w:t>
        </w:r>
      </w:hyperlink>
      <w:r>
        <w:t>.</w:t>
      </w:r>
    </w:p>
    <w:p w14:paraId="1E11B116" w14:textId="187F13A6" w:rsidR="00711131" w:rsidRDefault="00000000">
      <w:pPr>
        <w:pStyle w:val="Bibliography"/>
      </w:pPr>
      <w:bookmarkStart w:id="63" w:name="ref-Bennett2020NCD2030Path"/>
      <w:bookmarkEnd w:id="62"/>
      <w:r>
        <w:t xml:space="preserve">Bennett, James E, Vasilis Kontis, Colin D Mathers, Michel Guillot, Jürgen Rehm, Kalipso Chalkidou, Andre P Kengne, et al. 2020. “NCD Countdown 2030: Pathways to Achieving Sustainable Development Goal Target 3.4.” </w:t>
      </w:r>
      <w:r>
        <w:rPr>
          <w:i/>
          <w:iCs/>
        </w:rPr>
        <w:t>The Lancet</w:t>
      </w:r>
      <w:r>
        <w:t xml:space="preserve"> 396 (September): 918–34. </w:t>
      </w:r>
      <w:hyperlink r:id="rId7">
        <w:r>
          <w:rPr>
            <w:rStyle w:val="Hyperlink"/>
          </w:rPr>
          <w:t>https://doi.org/10.1016/S0140-6736(20)31761-X</w:t>
        </w:r>
      </w:hyperlink>
      <w:r>
        <w:t>.</w:t>
      </w:r>
    </w:p>
    <w:p w14:paraId="1E11B117" w14:textId="487DF927" w:rsidR="00711131" w:rsidRDefault="00000000">
      <w:pPr>
        <w:pStyle w:val="Bibliography"/>
      </w:pPr>
      <w:bookmarkStart w:id="64" w:name="ref-Chong2024"/>
      <w:bookmarkEnd w:id="63"/>
      <w:r>
        <w:t xml:space="preserve">Chong, Bryan, Jayanth Jayabaskaran, Silingga Metta Jauhari, Siew Pang Chan, Rachel Goh, Martin Tze Wah Kueh, Henry Li, et al. 2024. “Global Burden of Cardiovascular Diseases: Projections from 2025 to 2050.” </w:t>
      </w:r>
      <w:r>
        <w:rPr>
          <w:i/>
          <w:iCs/>
        </w:rPr>
        <w:t>European Journal of Preventive Cardiology</w:t>
      </w:r>
      <w:r>
        <w:t xml:space="preserve">, September. </w:t>
      </w:r>
      <w:hyperlink r:id="rId8">
        <w:r>
          <w:rPr>
            <w:rStyle w:val="Hyperlink"/>
          </w:rPr>
          <w:t>https://doi.org/10.1093/EURJPC/ZWAE281</w:t>
        </w:r>
      </w:hyperlink>
      <w:r>
        <w:t>.</w:t>
      </w:r>
    </w:p>
    <w:p w14:paraId="1E11B118" w14:textId="68AE18A8" w:rsidR="00711131" w:rsidRDefault="00000000">
      <w:pPr>
        <w:pStyle w:val="Bibliography"/>
      </w:pPr>
      <w:bookmarkStart w:id="65" w:name="ref-Critchley2004"/>
      <w:bookmarkEnd w:id="64"/>
      <w:r>
        <w:t xml:space="preserve">Critchley, Julia, Jing Liu, Dong Zhao, Wang Wei, and Simon Capewell. 2004. “Explaining the Increase in Coronary Heart Disease Mortality in Beijing Between 1984 and 1999.” </w:t>
      </w:r>
      <w:r>
        <w:rPr>
          <w:i/>
          <w:iCs/>
        </w:rPr>
        <w:t>Circulation</w:t>
      </w:r>
      <w:r>
        <w:t xml:space="preserve"> 110 (September): 1236–44. </w:t>
      </w:r>
      <w:hyperlink r:id="rId9">
        <w:r>
          <w:rPr>
            <w:rStyle w:val="Hyperlink"/>
          </w:rPr>
          <w:t>https://doi.org/10.1161/01.CIR.0000140668.91896.AE/ASSET/8DE2D8C6-674F-4BA5-BFEE-5AD659C5872D/ASSETS/GRAPHIC/13FF3.JPEG</w:t>
        </w:r>
      </w:hyperlink>
      <w:r>
        <w:t>.</w:t>
      </w:r>
    </w:p>
    <w:p w14:paraId="1E11B119" w14:textId="411C96B7" w:rsidR="00711131" w:rsidRDefault="00000000">
      <w:pPr>
        <w:pStyle w:val="Bibliography"/>
      </w:pPr>
      <w:bookmarkStart w:id="66" w:name="ref-Ettehad2016"/>
      <w:bookmarkEnd w:id="65"/>
      <w:r>
        <w:t xml:space="preserve">Ettehad, Dena, Connor A. Emdin, Amit Kiran, Simon G. Anderson, Thomas Callender, Jonathan Emberson, John Chalmers, Anthony Rodgers, and Kazem Rahimi. 2016. “Blood Pressure Lowering for Prevention of Cardiovascular Disease and Death: A Systematic Review and Meta-Analysis.” </w:t>
      </w:r>
      <w:r>
        <w:rPr>
          <w:i/>
          <w:iCs/>
        </w:rPr>
        <w:t>The Lancet</w:t>
      </w:r>
      <w:r>
        <w:t xml:space="preserve"> 387 (March): 957–67. </w:t>
      </w:r>
      <w:hyperlink r:id="rId10">
        <w:r>
          <w:rPr>
            <w:rStyle w:val="Hyperlink"/>
          </w:rPr>
          <w:t>https://doi.org/10.1016/S0140-6736(15)01225-8/ATTACHMENT/603C0742-74C8-441A-9C4C-C02740B35023/MMC1.PDF</w:t>
        </w:r>
      </w:hyperlink>
      <w:r>
        <w:t>.</w:t>
      </w:r>
    </w:p>
    <w:p w14:paraId="1E11B11A" w14:textId="144072A4" w:rsidR="00711131" w:rsidRDefault="00000000">
      <w:pPr>
        <w:pStyle w:val="Bibliography"/>
      </w:pPr>
      <w:bookmarkStart w:id="67" w:name="ref-Ford2007"/>
      <w:bookmarkEnd w:id="66"/>
      <w:r>
        <w:lastRenderedPageBreak/>
        <w:t xml:space="preserve">Ford, Earl S, Umed A Ajani, Janet B Croft, Julia A Critchley, D Phil, Darwin R Labarthe, Thomas E Kottke, Wayne H Giles, and Simon Capewell. 2007. “Explaining the Decrease in u.s. Deaths from Coronary Disease, 1980–2000.” </w:t>
      </w:r>
      <w:r>
        <w:rPr>
          <w:i/>
          <w:iCs/>
        </w:rPr>
        <w:t>New England Journal of Medicine</w:t>
      </w:r>
      <w:r>
        <w:t xml:space="preserve"> 356 (June): 2388–98. </w:t>
      </w:r>
      <w:hyperlink r:id="rId11">
        <w:r>
          <w:rPr>
            <w:rStyle w:val="Hyperlink"/>
          </w:rPr>
          <w:t>https://doi.org/10.1056/NEJMSA053935</w:t>
        </w:r>
      </w:hyperlink>
      <w:r>
        <w:t>.</w:t>
      </w:r>
    </w:p>
    <w:p w14:paraId="1E11B11B" w14:textId="0A17F58E" w:rsidR="00711131" w:rsidRDefault="00000000">
      <w:pPr>
        <w:pStyle w:val="Bibliography"/>
      </w:pPr>
      <w:bookmarkStart w:id="68" w:name="ref-Fulcher2015"/>
      <w:bookmarkEnd w:id="67"/>
      <w:r>
        <w:t xml:space="preserve">Fulcher, Jordan, Rachel O’Connell, Merryn Voysey, Jonathan Emberson, Lisa Blackwell, Borislava Mihaylova, J. Simes, et al. 2015. “Efficacy and Safety of LDL-Lowering Therapy Among Men and Women: Meta-Analysis of Individual Data from 174 000 Participants in 27 Randomised Trials.” </w:t>
      </w:r>
      <w:r>
        <w:rPr>
          <w:i/>
          <w:iCs/>
        </w:rPr>
        <w:t>The Lancet</w:t>
      </w:r>
      <w:r>
        <w:t xml:space="preserve"> 385 (January): 1397–1405. </w:t>
      </w:r>
      <w:hyperlink r:id="rId12">
        <w:r>
          <w:rPr>
            <w:rStyle w:val="Hyperlink"/>
          </w:rPr>
          <w:t>https://doi.org/10.1016/S0140-6736(14)61368-4</w:t>
        </w:r>
      </w:hyperlink>
      <w:r>
        <w:t>.</w:t>
      </w:r>
    </w:p>
    <w:p w14:paraId="1E11B11C" w14:textId="69415495" w:rsidR="00711131" w:rsidRDefault="00000000">
      <w:pPr>
        <w:pStyle w:val="Bibliography"/>
      </w:pPr>
      <w:bookmarkStart w:id="69" w:name="ref-Garcia2026HEARTS4Countries"/>
      <w:bookmarkEnd w:id="68"/>
      <w:r>
        <w:t xml:space="preserve">Garcia, William, Obehioye Amiosior, Sohel Reza Choudhury, Emmanuel Sambo, Kufor Osi, Senait Alemayehu Beshah, Girma Dessie, et al. 2026. “Budget Impact and Investment Case for HEARTS Hypertension Control Programs in 4 Low- and Middle-Income Countries.” </w:t>
      </w:r>
      <w:r>
        <w:rPr>
          <w:i/>
          <w:iCs/>
        </w:rPr>
        <w:t>JACC: Advances</w:t>
      </w:r>
      <w:r>
        <w:t xml:space="preserve"> 5: 102412. https://doi.org/</w:t>
      </w:r>
      <w:hyperlink r:id="rId13">
        <w:r>
          <w:rPr>
            <w:rStyle w:val="Hyperlink"/>
          </w:rPr>
          <w:t>https://doi.org/10.1016/j.jacadv.2025.102412</w:t>
        </w:r>
      </w:hyperlink>
      <w:r>
        <w:t>.</w:t>
      </w:r>
    </w:p>
    <w:p w14:paraId="1E11B11D" w14:textId="3D438E41" w:rsidR="00711131" w:rsidRDefault="00000000">
      <w:pPr>
        <w:pStyle w:val="Bibliography"/>
      </w:pPr>
      <w:bookmarkStart w:id="70" w:name="ref-Husain2022HeartsCosting"/>
      <w:bookmarkEnd w:id="69"/>
      <w:r>
        <w:t xml:space="preserve">Husain, Muhammad Jami, Mohammad Sabbir Haider, Renesa Tarannum, Shamim Jubayer, Mahfuzur Rahman Bhuiyan, Deliana Kostova, Andrew E. Moran, and Sohel Reza Choudhury. 2022. “Cost of Primary Care Approaches for Hypertension Management and Risk-Based Cardiovascular Disease Prevention in Bangladesh: A HEARTS Costing Tool Application.” </w:t>
      </w:r>
      <w:r>
        <w:rPr>
          <w:i/>
          <w:iCs/>
        </w:rPr>
        <w:t>BMJ Open</w:t>
      </w:r>
      <w:r>
        <w:t xml:space="preserve"> 12 (June): e061467. </w:t>
      </w:r>
      <w:hyperlink r:id="rId14">
        <w:r>
          <w:rPr>
            <w:rStyle w:val="Hyperlink"/>
          </w:rPr>
          <w:t>https://doi.org/10.1136/BMJOPEN-2022-061467</w:t>
        </w:r>
      </w:hyperlink>
      <w:r>
        <w:t>.</w:t>
      </w:r>
    </w:p>
    <w:p w14:paraId="1E11B11E" w14:textId="386CAF03" w:rsidR="00711131" w:rsidRDefault="00000000">
      <w:pPr>
        <w:pStyle w:val="Bibliography"/>
      </w:pPr>
      <w:bookmarkStart w:id="71" w:name="ref-Kontis2019"/>
      <w:bookmarkEnd w:id="70"/>
      <w:r>
        <w:t xml:space="preserve">Kontis, Vasilis, Laura K Cobb, Colin D Mathers, Thomas R Frieden, Majid Ezzati, and Goodarz Danaei. 2019. “Three Public Health Interventions Could Save 94 Million Lives in 25 Years.” </w:t>
      </w:r>
      <w:r>
        <w:rPr>
          <w:i/>
          <w:iCs/>
        </w:rPr>
        <w:t>Circulation</w:t>
      </w:r>
      <w:r>
        <w:t xml:space="preserve"> 140 (August): 715–25. </w:t>
      </w:r>
      <w:hyperlink r:id="rId15">
        <w:r>
          <w:rPr>
            <w:rStyle w:val="Hyperlink"/>
          </w:rPr>
          <w:t>https://doi.org/10.1161/CIRCULATIONAHA.118.038160</w:t>
        </w:r>
      </w:hyperlink>
      <w:r>
        <w:t>.</w:t>
      </w:r>
    </w:p>
    <w:p w14:paraId="1E11B11F" w14:textId="02C46B6C" w:rsidR="00711131" w:rsidRDefault="00000000">
      <w:pPr>
        <w:pStyle w:val="Bibliography"/>
      </w:pPr>
      <w:bookmarkStart w:id="72" w:name="ref-Moran2024"/>
      <w:bookmarkEnd w:id="71"/>
      <w:r>
        <w:t xml:space="preserve">Moran, Andrew E., Obehi Aimiosior, Reena Gupta, Anupam Pathni, Swagata Kumar Sahoo, Girma Dessie, Kufor Osi, et al. 2024. “Integrated Antihypertensive and Statin Treatment Protocols for Cardiovascular Disease Prevention in Low- and Middle-Income Countries.” </w:t>
      </w:r>
      <w:r>
        <w:rPr>
          <w:i/>
          <w:iCs/>
        </w:rPr>
        <w:t>Global Heart</w:t>
      </w:r>
      <w:r>
        <w:t xml:space="preserve"> 19. </w:t>
      </w:r>
      <w:hyperlink r:id="rId16">
        <w:r>
          <w:rPr>
            <w:rStyle w:val="Hyperlink"/>
          </w:rPr>
          <w:t>https://doi.org/10.5334/GH.1376</w:t>
        </w:r>
      </w:hyperlink>
      <w:r>
        <w:t>.</w:t>
      </w:r>
    </w:p>
    <w:p w14:paraId="1E11B120" w14:textId="4385C7FD" w:rsidR="00711131" w:rsidRDefault="00000000">
      <w:pPr>
        <w:pStyle w:val="Bibliography"/>
      </w:pPr>
      <w:bookmarkStart w:id="73" w:name="ref-Pickersgill2022"/>
      <w:bookmarkEnd w:id="72"/>
      <w:r>
        <w:t xml:space="preserve">Pickersgill, Sarah J, William T Msemburi, Laura Cobb, Nicole Ide, Andrew E Moran, Yanfang Su, Xinpeng Xu, and David A Watkins. 2022. “Modeling Global 80-80-80 Blood Pressure Targets and Cardiovascular Outcomes.” </w:t>
      </w:r>
      <w:r>
        <w:rPr>
          <w:i/>
          <w:iCs/>
        </w:rPr>
        <w:t>Nature Medicine</w:t>
      </w:r>
      <w:r>
        <w:t xml:space="preserve"> 28: 1693–99. </w:t>
      </w:r>
      <w:hyperlink r:id="rId17">
        <w:r>
          <w:rPr>
            <w:rStyle w:val="Hyperlink"/>
          </w:rPr>
          <w:t>https://doi.org/10.1038/s41591-022-01890-4</w:t>
        </w:r>
      </w:hyperlink>
      <w:r>
        <w:t>.</w:t>
      </w:r>
    </w:p>
    <w:p w14:paraId="1E11B121" w14:textId="463BB087" w:rsidR="00711131" w:rsidRDefault="00000000">
      <w:pPr>
        <w:pStyle w:val="Bibliography"/>
      </w:pPr>
      <w:bookmarkStart w:id="74" w:name="ref-Vollset2024"/>
      <w:bookmarkEnd w:id="73"/>
      <w:r>
        <w:t xml:space="preserve">Vollset, Stein Emil, Hazim S. Ababneh, Yohannes Habtegiorgis Abate, Cristiana Abbafati, Rouzbeh Abbasgholizadeh, Mohammadreza Abbasian, Hedayat Abbastabar, et al. 2024. “Burden of Disease Scenarios for 204 Countries and Territories, 2022–2050: A Forecasting Analysis for the Global Burden of Disease Study 2021.” </w:t>
      </w:r>
      <w:r>
        <w:rPr>
          <w:i/>
          <w:iCs/>
        </w:rPr>
        <w:t>The Lancet</w:t>
      </w:r>
      <w:r>
        <w:t xml:space="preserve"> 403 (May): 2204–56. </w:t>
      </w:r>
      <w:hyperlink r:id="rId18">
        <w:r>
          <w:rPr>
            <w:rStyle w:val="Hyperlink"/>
          </w:rPr>
          <w:t>https://doi.org/10.1016/S0140-6736(24)00685-8/ATTACHMENT/92EF98AF-7EAF-4FFE-B0DE-C943208CF6F1/MMC3.PDF</w:t>
        </w:r>
      </w:hyperlink>
      <w:r>
        <w:t>.</w:t>
      </w:r>
    </w:p>
    <w:p w14:paraId="1E11B122" w14:textId="627FC039" w:rsidR="00711131" w:rsidRDefault="00000000">
      <w:pPr>
        <w:pStyle w:val="Bibliography"/>
      </w:pPr>
      <w:bookmarkStart w:id="75" w:name="ref-Watkins2022NCD2030"/>
      <w:bookmarkEnd w:id="74"/>
      <w:r>
        <w:lastRenderedPageBreak/>
        <w:t xml:space="preserve">Watkins, David A, William T Msemburi, Sarah J Pickersgill, Yoshito Kawakatsu, Adrian Gheorghe, Katie Dain, Kjell Arne Johansson, et al. 2022. “NCD Countdown 2030: Efficient Pathways and Strategic Investments to Accelerate Progress Towards the Sustainable Development Goal Target 3.4 in Low-Income and Middle-Income Countries.” </w:t>
      </w:r>
      <w:r>
        <w:rPr>
          <w:i/>
          <w:iCs/>
        </w:rPr>
        <w:t>The Lancet</w:t>
      </w:r>
      <w:r>
        <w:t xml:space="preserve"> 399 (March): 1266–78. </w:t>
      </w:r>
      <w:hyperlink r:id="rId19">
        <w:r>
          <w:rPr>
            <w:rStyle w:val="Hyperlink"/>
          </w:rPr>
          <w:t>https://doi.org/10.1016/S0140-6736(21)02347-3</w:t>
        </w:r>
      </w:hyperlink>
      <w:r>
        <w:t>.</w:t>
      </w:r>
    </w:p>
    <w:p w14:paraId="1E11B123" w14:textId="77777777" w:rsidR="00711131" w:rsidRDefault="00000000">
      <w:pPr>
        <w:pStyle w:val="Heading1"/>
      </w:pPr>
      <w:bookmarkStart w:id="76" w:name="tables"/>
      <w:bookmarkStart w:id="77" w:name="_Toc225970053"/>
      <w:bookmarkEnd w:id="58"/>
      <w:bookmarkEnd w:id="61"/>
      <w:bookmarkEnd w:id="75"/>
      <w:r>
        <w:rPr>
          <w:rStyle w:val="SectionNumber"/>
        </w:rPr>
        <w:t>8</w:t>
      </w:r>
      <w:r>
        <w:tab/>
        <w:t>Tables</w:t>
      </w:r>
      <w:bookmarkEnd w:id="77"/>
    </w:p>
    <w:p w14:paraId="1E11B124" w14:textId="77777777" w:rsidR="00711131" w:rsidRDefault="00000000">
      <w:pPr>
        <w:pStyle w:val="FirstParagraph"/>
      </w:pPr>
      <w:r>
        <w:rPr>
          <w:b/>
          <w:bCs/>
        </w:rPr>
        <w:t>Table 1.</w:t>
      </w:r>
      <w:r>
        <w:t xml:space="preserve"> Cumulative CVD deaths averted by intervention scenario, 2025–2050.</w:t>
      </w:r>
    </w:p>
    <w:tbl>
      <w:tblPr>
        <w:tblStyle w:val="Table"/>
        <w:tblW w:w="5000" w:type="pct"/>
        <w:tblLayout w:type="fixed"/>
        <w:tblLook w:val="0020" w:firstRow="1" w:lastRow="0" w:firstColumn="0" w:lastColumn="0" w:noHBand="0" w:noVBand="0"/>
      </w:tblPr>
      <w:tblGrid>
        <w:gridCol w:w="2342"/>
        <w:gridCol w:w="2649"/>
        <w:gridCol w:w="2955"/>
        <w:gridCol w:w="1630"/>
      </w:tblGrid>
      <w:tr w:rsidR="00711131" w14:paraId="1E11B129" w14:textId="77777777" w:rsidTr="00711131">
        <w:trPr>
          <w:cnfStyle w:val="100000000000" w:firstRow="1" w:lastRow="0" w:firstColumn="0" w:lastColumn="0" w:oddVBand="0" w:evenVBand="0" w:oddHBand="0" w:evenHBand="0" w:firstRowFirstColumn="0" w:firstRowLastColumn="0" w:lastRowFirstColumn="0" w:lastRowLastColumn="0"/>
          <w:tblHeader/>
        </w:trPr>
        <w:tc>
          <w:tcPr>
            <w:tcW w:w="1937" w:type="dxa"/>
          </w:tcPr>
          <w:p w14:paraId="1E11B125" w14:textId="77777777" w:rsidR="00711131" w:rsidRDefault="00000000">
            <w:pPr>
              <w:pStyle w:val="Compact"/>
            </w:pPr>
            <w:r>
              <w:t>Intervention</w:t>
            </w:r>
          </w:p>
        </w:tc>
        <w:tc>
          <w:tcPr>
            <w:tcW w:w="2190" w:type="dxa"/>
          </w:tcPr>
          <w:p w14:paraId="1E11B126" w14:textId="77777777" w:rsidR="00711131" w:rsidRDefault="00000000">
            <w:pPr>
              <w:pStyle w:val="Compact"/>
              <w:jc w:val="right"/>
            </w:pPr>
            <w:r>
              <w:t>Deaths averted (millions)</w:t>
            </w:r>
          </w:p>
        </w:tc>
        <w:tc>
          <w:tcPr>
            <w:tcW w:w="2443" w:type="dxa"/>
          </w:tcPr>
          <w:p w14:paraId="1E11B127" w14:textId="77777777" w:rsidR="00711131" w:rsidRDefault="00000000">
            <w:pPr>
              <w:pStyle w:val="Compact"/>
              <w:jc w:val="right"/>
            </w:pPr>
            <w:r>
              <w:t>Average per year (thousands)</w:t>
            </w:r>
          </w:p>
        </w:tc>
        <w:tc>
          <w:tcPr>
            <w:tcW w:w="1348" w:type="dxa"/>
          </w:tcPr>
          <w:p w14:paraId="1E11B128" w14:textId="77777777" w:rsidR="00711131" w:rsidRDefault="00000000">
            <w:pPr>
              <w:pStyle w:val="Compact"/>
              <w:jc w:val="right"/>
            </w:pPr>
            <w:r>
              <w:t>% of BAU deaths</w:t>
            </w:r>
          </w:p>
        </w:tc>
      </w:tr>
      <w:tr w:rsidR="00711131" w14:paraId="1E11B12E" w14:textId="77777777">
        <w:tc>
          <w:tcPr>
            <w:tcW w:w="1937" w:type="dxa"/>
          </w:tcPr>
          <w:p w14:paraId="1E11B12A" w14:textId="77777777" w:rsidR="00711131" w:rsidRDefault="00000000">
            <w:pPr>
              <w:pStyle w:val="Compact"/>
            </w:pPr>
            <w:r>
              <w:t>HTN Control (General)</w:t>
            </w:r>
          </w:p>
        </w:tc>
        <w:tc>
          <w:tcPr>
            <w:tcW w:w="2190" w:type="dxa"/>
          </w:tcPr>
          <w:p w14:paraId="1E11B12B" w14:textId="77777777" w:rsidR="00711131" w:rsidRDefault="00000000">
            <w:pPr>
              <w:pStyle w:val="Compact"/>
              <w:jc w:val="right"/>
            </w:pPr>
            <w:r>
              <w:t>29.4</w:t>
            </w:r>
          </w:p>
        </w:tc>
        <w:tc>
          <w:tcPr>
            <w:tcW w:w="2443" w:type="dxa"/>
          </w:tcPr>
          <w:p w14:paraId="1E11B12C" w14:textId="77777777" w:rsidR="00711131" w:rsidRDefault="00000000">
            <w:pPr>
              <w:pStyle w:val="Compact"/>
              <w:jc w:val="right"/>
            </w:pPr>
            <w:r>
              <w:t>1,175</w:t>
            </w:r>
          </w:p>
        </w:tc>
        <w:tc>
          <w:tcPr>
            <w:tcW w:w="1348" w:type="dxa"/>
          </w:tcPr>
          <w:p w14:paraId="1E11B12D" w14:textId="77777777" w:rsidR="00711131" w:rsidRDefault="00000000">
            <w:pPr>
              <w:pStyle w:val="Compact"/>
              <w:jc w:val="right"/>
            </w:pPr>
            <w:r>
              <w:t>4.2%</w:t>
            </w:r>
          </w:p>
        </w:tc>
      </w:tr>
      <w:tr w:rsidR="00711131" w14:paraId="1E11B133" w14:textId="77777777">
        <w:tc>
          <w:tcPr>
            <w:tcW w:w="1937" w:type="dxa"/>
          </w:tcPr>
          <w:p w14:paraId="1E11B12F" w14:textId="77777777" w:rsidR="00711131" w:rsidRDefault="00000000">
            <w:pPr>
              <w:pStyle w:val="Compact"/>
            </w:pPr>
            <w:r>
              <w:t>HTN Control (Diabetes)</w:t>
            </w:r>
          </w:p>
        </w:tc>
        <w:tc>
          <w:tcPr>
            <w:tcW w:w="2190" w:type="dxa"/>
          </w:tcPr>
          <w:p w14:paraId="1E11B130" w14:textId="77777777" w:rsidR="00711131" w:rsidRDefault="00000000">
            <w:pPr>
              <w:pStyle w:val="Compact"/>
              <w:jc w:val="right"/>
            </w:pPr>
            <w:r>
              <w:t>15.3</w:t>
            </w:r>
          </w:p>
        </w:tc>
        <w:tc>
          <w:tcPr>
            <w:tcW w:w="2443" w:type="dxa"/>
          </w:tcPr>
          <w:p w14:paraId="1E11B131" w14:textId="77777777" w:rsidR="00711131" w:rsidRDefault="00000000">
            <w:pPr>
              <w:pStyle w:val="Compact"/>
              <w:jc w:val="right"/>
            </w:pPr>
            <w:r>
              <w:t>610</w:t>
            </w:r>
          </w:p>
        </w:tc>
        <w:tc>
          <w:tcPr>
            <w:tcW w:w="1348" w:type="dxa"/>
          </w:tcPr>
          <w:p w14:paraId="1E11B132" w14:textId="77777777" w:rsidR="00711131" w:rsidRDefault="00000000">
            <w:pPr>
              <w:pStyle w:val="Compact"/>
              <w:jc w:val="right"/>
            </w:pPr>
            <w:r>
              <w:t>2.2%</w:t>
            </w:r>
          </w:p>
        </w:tc>
      </w:tr>
      <w:tr w:rsidR="00711131" w14:paraId="1E11B138" w14:textId="77777777">
        <w:tc>
          <w:tcPr>
            <w:tcW w:w="1937" w:type="dxa"/>
          </w:tcPr>
          <w:p w14:paraId="1E11B134" w14:textId="77777777" w:rsidR="00711131" w:rsidRDefault="00000000">
            <w:pPr>
              <w:pStyle w:val="Compact"/>
            </w:pPr>
            <w:r>
              <w:t>Improved Statin Uptake</w:t>
            </w:r>
          </w:p>
        </w:tc>
        <w:tc>
          <w:tcPr>
            <w:tcW w:w="2190" w:type="dxa"/>
          </w:tcPr>
          <w:p w14:paraId="1E11B135" w14:textId="77777777" w:rsidR="00711131" w:rsidRDefault="00000000">
            <w:pPr>
              <w:pStyle w:val="Compact"/>
              <w:jc w:val="right"/>
            </w:pPr>
            <w:r>
              <w:t>21.3</w:t>
            </w:r>
          </w:p>
        </w:tc>
        <w:tc>
          <w:tcPr>
            <w:tcW w:w="2443" w:type="dxa"/>
          </w:tcPr>
          <w:p w14:paraId="1E11B136" w14:textId="77777777" w:rsidR="00711131" w:rsidRDefault="00000000">
            <w:pPr>
              <w:pStyle w:val="Compact"/>
              <w:jc w:val="right"/>
            </w:pPr>
            <w:r>
              <w:t>851</w:t>
            </w:r>
          </w:p>
        </w:tc>
        <w:tc>
          <w:tcPr>
            <w:tcW w:w="1348" w:type="dxa"/>
          </w:tcPr>
          <w:p w14:paraId="1E11B137" w14:textId="77777777" w:rsidR="00711131" w:rsidRDefault="00000000">
            <w:pPr>
              <w:pStyle w:val="Compact"/>
              <w:jc w:val="right"/>
            </w:pPr>
            <w:r>
              <w:t>3.1%</w:t>
            </w:r>
          </w:p>
        </w:tc>
      </w:tr>
      <w:tr w:rsidR="00711131" w14:paraId="1E11B13D" w14:textId="77777777">
        <w:tc>
          <w:tcPr>
            <w:tcW w:w="1937" w:type="dxa"/>
          </w:tcPr>
          <w:p w14:paraId="1E11B139" w14:textId="77777777" w:rsidR="00711131" w:rsidRDefault="00000000">
            <w:pPr>
              <w:pStyle w:val="Compact"/>
            </w:pPr>
            <w:r>
              <w:t>All Interventions</w:t>
            </w:r>
          </w:p>
        </w:tc>
        <w:tc>
          <w:tcPr>
            <w:tcW w:w="2190" w:type="dxa"/>
          </w:tcPr>
          <w:p w14:paraId="1E11B13A" w14:textId="77777777" w:rsidR="00711131" w:rsidRDefault="00000000">
            <w:pPr>
              <w:pStyle w:val="Compact"/>
              <w:jc w:val="right"/>
            </w:pPr>
            <w:r>
              <w:t>64.7</w:t>
            </w:r>
          </w:p>
        </w:tc>
        <w:tc>
          <w:tcPr>
            <w:tcW w:w="2443" w:type="dxa"/>
          </w:tcPr>
          <w:p w14:paraId="1E11B13B" w14:textId="77777777" w:rsidR="00711131" w:rsidRDefault="00000000">
            <w:pPr>
              <w:pStyle w:val="Compact"/>
              <w:jc w:val="right"/>
            </w:pPr>
            <w:r>
              <w:t>2,588</w:t>
            </w:r>
          </w:p>
        </w:tc>
        <w:tc>
          <w:tcPr>
            <w:tcW w:w="1348" w:type="dxa"/>
          </w:tcPr>
          <w:p w14:paraId="1E11B13C" w14:textId="77777777" w:rsidR="00711131" w:rsidRDefault="00000000">
            <w:pPr>
              <w:pStyle w:val="Compact"/>
              <w:jc w:val="right"/>
            </w:pPr>
            <w:r>
              <w:t>9.3%</w:t>
            </w:r>
          </w:p>
        </w:tc>
      </w:tr>
    </w:tbl>
    <w:p w14:paraId="1E11B13E" w14:textId="77777777" w:rsidR="00711131" w:rsidRDefault="00000000">
      <w:pPr>
        <w:pStyle w:val="BodyText"/>
      </w:pPr>
      <w:r>
        <w:rPr>
          <w:i/>
          <w:iCs/>
        </w:rPr>
        <w:t>Note: Deaths averted = cumulative difference between business-as-usual and intervention scenario, 2026-2050. All four CVD causes combined: ischaemic heart disease, ischaemic stroke, intracerebral haemorrhage, hypertensive heart disease.</w:t>
      </w:r>
    </w:p>
    <w:p w14:paraId="1E11B13F" w14:textId="77777777" w:rsidR="00711131" w:rsidRDefault="00000000">
      <w:r>
        <w:br w:type="page"/>
      </w:r>
    </w:p>
    <w:p w14:paraId="1E11B140" w14:textId="77777777" w:rsidR="00711131" w:rsidRDefault="00000000">
      <w:pPr>
        <w:pStyle w:val="BodyText"/>
      </w:pPr>
      <w:r>
        <w:rPr>
          <w:b/>
          <w:bCs/>
        </w:rPr>
        <w:lastRenderedPageBreak/>
        <w:t>Table 2.</w:t>
      </w:r>
      <w:r>
        <w:t xml:space="preserve"> Cumulative CVD deaths averted by intervention scenario and cause of death (millions), 2025–2050.</w:t>
      </w:r>
    </w:p>
    <w:tbl>
      <w:tblPr>
        <w:tblStyle w:val="Table"/>
        <w:tblW w:w="5000" w:type="pct"/>
        <w:tblLayout w:type="fixed"/>
        <w:tblLook w:val="0020" w:firstRow="1" w:lastRow="0" w:firstColumn="0" w:lastColumn="0" w:noHBand="0" w:noVBand="0"/>
      </w:tblPr>
      <w:tblGrid>
        <w:gridCol w:w="2686"/>
        <w:gridCol w:w="2336"/>
        <w:gridCol w:w="1869"/>
        <w:gridCol w:w="700"/>
        <w:gridCol w:w="1985"/>
      </w:tblGrid>
      <w:tr w:rsidR="00711131" w14:paraId="1E11B146" w14:textId="77777777" w:rsidTr="00711131">
        <w:trPr>
          <w:cnfStyle w:val="100000000000" w:firstRow="1" w:lastRow="0" w:firstColumn="0" w:lastColumn="0" w:oddVBand="0" w:evenVBand="0" w:oddHBand="0" w:evenHBand="0" w:firstRowFirstColumn="0" w:firstRowLastColumn="0" w:lastRowFirstColumn="0" w:lastRowLastColumn="0"/>
          <w:tblHeader/>
        </w:trPr>
        <w:tc>
          <w:tcPr>
            <w:tcW w:w="2221" w:type="dxa"/>
          </w:tcPr>
          <w:p w14:paraId="1E11B141" w14:textId="77777777" w:rsidR="00711131" w:rsidRDefault="00000000">
            <w:pPr>
              <w:pStyle w:val="Compact"/>
            </w:pPr>
            <w:r>
              <w:t>Intervention</w:t>
            </w:r>
          </w:p>
        </w:tc>
        <w:tc>
          <w:tcPr>
            <w:tcW w:w="1931" w:type="dxa"/>
          </w:tcPr>
          <w:p w14:paraId="1E11B142" w14:textId="77777777" w:rsidR="00711131" w:rsidRDefault="00000000">
            <w:pPr>
              <w:pStyle w:val="Compact"/>
              <w:jc w:val="right"/>
            </w:pPr>
            <w:r>
              <w:t>Haemorrhagic stroke</w:t>
            </w:r>
          </w:p>
        </w:tc>
        <w:tc>
          <w:tcPr>
            <w:tcW w:w="1545" w:type="dxa"/>
          </w:tcPr>
          <w:p w14:paraId="1E11B143" w14:textId="77777777" w:rsidR="00711131" w:rsidRDefault="00000000">
            <w:pPr>
              <w:pStyle w:val="Compact"/>
              <w:jc w:val="right"/>
            </w:pPr>
            <w:r>
              <w:t>Hypertensive HD</w:t>
            </w:r>
          </w:p>
        </w:tc>
        <w:tc>
          <w:tcPr>
            <w:tcW w:w="579" w:type="dxa"/>
          </w:tcPr>
          <w:p w14:paraId="1E11B144" w14:textId="77777777" w:rsidR="00711131" w:rsidRDefault="00000000">
            <w:pPr>
              <w:pStyle w:val="Compact"/>
              <w:jc w:val="right"/>
            </w:pPr>
            <w:r>
              <w:t>IHD</w:t>
            </w:r>
          </w:p>
        </w:tc>
        <w:tc>
          <w:tcPr>
            <w:tcW w:w="1641" w:type="dxa"/>
          </w:tcPr>
          <w:p w14:paraId="1E11B145" w14:textId="77777777" w:rsidR="00711131" w:rsidRDefault="00000000">
            <w:pPr>
              <w:pStyle w:val="Compact"/>
              <w:jc w:val="right"/>
            </w:pPr>
            <w:r>
              <w:t>Ischaemic stroke</w:t>
            </w:r>
          </w:p>
        </w:tc>
      </w:tr>
      <w:tr w:rsidR="00711131" w14:paraId="1E11B14C" w14:textId="77777777">
        <w:tc>
          <w:tcPr>
            <w:tcW w:w="2221" w:type="dxa"/>
          </w:tcPr>
          <w:p w14:paraId="1E11B147" w14:textId="77777777" w:rsidR="00711131" w:rsidRDefault="00000000">
            <w:pPr>
              <w:pStyle w:val="Compact"/>
            </w:pPr>
            <w:r>
              <w:t>HTN Control (General)</w:t>
            </w:r>
          </w:p>
        </w:tc>
        <w:tc>
          <w:tcPr>
            <w:tcW w:w="1931" w:type="dxa"/>
          </w:tcPr>
          <w:p w14:paraId="1E11B148" w14:textId="77777777" w:rsidR="00711131" w:rsidRDefault="00000000">
            <w:pPr>
              <w:pStyle w:val="Compact"/>
              <w:jc w:val="right"/>
            </w:pPr>
            <w:r>
              <w:t>17.44</w:t>
            </w:r>
          </w:p>
        </w:tc>
        <w:tc>
          <w:tcPr>
            <w:tcW w:w="1545" w:type="dxa"/>
          </w:tcPr>
          <w:p w14:paraId="1E11B149" w14:textId="77777777" w:rsidR="00711131" w:rsidRDefault="00000000">
            <w:pPr>
              <w:pStyle w:val="Compact"/>
              <w:jc w:val="right"/>
            </w:pPr>
            <w:r>
              <w:t>1.77</w:t>
            </w:r>
          </w:p>
        </w:tc>
        <w:tc>
          <w:tcPr>
            <w:tcW w:w="579" w:type="dxa"/>
          </w:tcPr>
          <w:p w14:paraId="1E11B14A" w14:textId="77777777" w:rsidR="00711131" w:rsidRDefault="00000000">
            <w:pPr>
              <w:pStyle w:val="Compact"/>
              <w:jc w:val="right"/>
            </w:pPr>
            <w:r>
              <w:t>5.81</w:t>
            </w:r>
          </w:p>
        </w:tc>
        <w:tc>
          <w:tcPr>
            <w:tcW w:w="1641" w:type="dxa"/>
          </w:tcPr>
          <w:p w14:paraId="1E11B14B" w14:textId="77777777" w:rsidR="00711131" w:rsidRDefault="00000000">
            <w:pPr>
              <w:pStyle w:val="Compact"/>
              <w:jc w:val="right"/>
            </w:pPr>
            <w:r>
              <w:t>4.34</w:t>
            </w:r>
          </w:p>
        </w:tc>
      </w:tr>
      <w:tr w:rsidR="00711131" w14:paraId="1E11B152" w14:textId="77777777">
        <w:tc>
          <w:tcPr>
            <w:tcW w:w="2221" w:type="dxa"/>
          </w:tcPr>
          <w:p w14:paraId="1E11B14D" w14:textId="77777777" w:rsidR="00711131" w:rsidRDefault="00000000">
            <w:pPr>
              <w:pStyle w:val="Compact"/>
            </w:pPr>
            <w:r>
              <w:t>HTN Control (Diabetes)</w:t>
            </w:r>
          </w:p>
        </w:tc>
        <w:tc>
          <w:tcPr>
            <w:tcW w:w="1931" w:type="dxa"/>
          </w:tcPr>
          <w:p w14:paraId="1E11B14E" w14:textId="77777777" w:rsidR="00711131" w:rsidRDefault="00000000">
            <w:pPr>
              <w:pStyle w:val="Compact"/>
              <w:jc w:val="right"/>
            </w:pPr>
            <w:r>
              <w:t>5.38</w:t>
            </w:r>
          </w:p>
        </w:tc>
        <w:tc>
          <w:tcPr>
            <w:tcW w:w="1545" w:type="dxa"/>
          </w:tcPr>
          <w:p w14:paraId="1E11B14F" w14:textId="77777777" w:rsidR="00711131" w:rsidRDefault="00000000">
            <w:pPr>
              <w:pStyle w:val="Compact"/>
              <w:jc w:val="right"/>
            </w:pPr>
            <w:r>
              <w:t>1.77</w:t>
            </w:r>
          </w:p>
        </w:tc>
        <w:tc>
          <w:tcPr>
            <w:tcW w:w="579" w:type="dxa"/>
          </w:tcPr>
          <w:p w14:paraId="1E11B150" w14:textId="77777777" w:rsidR="00711131" w:rsidRDefault="00000000">
            <w:pPr>
              <w:pStyle w:val="Compact"/>
              <w:jc w:val="right"/>
            </w:pPr>
            <w:r>
              <w:t>4.19</w:t>
            </w:r>
          </w:p>
        </w:tc>
        <w:tc>
          <w:tcPr>
            <w:tcW w:w="1641" w:type="dxa"/>
          </w:tcPr>
          <w:p w14:paraId="1E11B151" w14:textId="77777777" w:rsidR="00711131" w:rsidRDefault="00000000">
            <w:pPr>
              <w:pStyle w:val="Compact"/>
              <w:jc w:val="right"/>
            </w:pPr>
            <w:r>
              <w:t>3.92</w:t>
            </w:r>
          </w:p>
        </w:tc>
      </w:tr>
      <w:tr w:rsidR="00711131" w14:paraId="1E11B158" w14:textId="77777777">
        <w:tc>
          <w:tcPr>
            <w:tcW w:w="2221" w:type="dxa"/>
          </w:tcPr>
          <w:p w14:paraId="1E11B153" w14:textId="77777777" w:rsidR="00711131" w:rsidRDefault="00000000">
            <w:pPr>
              <w:pStyle w:val="Compact"/>
            </w:pPr>
            <w:r>
              <w:t>Improved Statin Uptake</w:t>
            </w:r>
          </w:p>
        </w:tc>
        <w:tc>
          <w:tcPr>
            <w:tcW w:w="1931" w:type="dxa"/>
          </w:tcPr>
          <w:p w14:paraId="1E11B154" w14:textId="77777777" w:rsidR="00711131" w:rsidRDefault="00000000">
            <w:pPr>
              <w:pStyle w:val="Compact"/>
              <w:jc w:val="right"/>
            </w:pPr>
            <w:r>
              <w:t>–</w:t>
            </w:r>
          </w:p>
        </w:tc>
        <w:tc>
          <w:tcPr>
            <w:tcW w:w="1545" w:type="dxa"/>
          </w:tcPr>
          <w:p w14:paraId="1E11B155" w14:textId="77777777" w:rsidR="00711131" w:rsidRDefault="00000000">
            <w:pPr>
              <w:pStyle w:val="Compact"/>
              <w:jc w:val="right"/>
            </w:pPr>
            <w:r>
              <w:t>–</w:t>
            </w:r>
          </w:p>
        </w:tc>
        <w:tc>
          <w:tcPr>
            <w:tcW w:w="579" w:type="dxa"/>
          </w:tcPr>
          <w:p w14:paraId="1E11B156" w14:textId="77777777" w:rsidR="00711131" w:rsidRDefault="00000000">
            <w:pPr>
              <w:pStyle w:val="Compact"/>
              <w:jc w:val="right"/>
            </w:pPr>
            <w:r>
              <w:t>20.85</w:t>
            </w:r>
          </w:p>
        </w:tc>
        <w:tc>
          <w:tcPr>
            <w:tcW w:w="1641" w:type="dxa"/>
          </w:tcPr>
          <w:p w14:paraId="1E11B157" w14:textId="77777777" w:rsidR="00711131" w:rsidRDefault="00000000">
            <w:pPr>
              <w:pStyle w:val="Compact"/>
              <w:jc w:val="right"/>
            </w:pPr>
            <w:r>
              <w:t>1.46</w:t>
            </w:r>
          </w:p>
        </w:tc>
      </w:tr>
      <w:tr w:rsidR="00711131" w14:paraId="1E11B15E" w14:textId="77777777">
        <w:tc>
          <w:tcPr>
            <w:tcW w:w="2221" w:type="dxa"/>
          </w:tcPr>
          <w:p w14:paraId="1E11B159" w14:textId="77777777" w:rsidR="00711131" w:rsidRDefault="00000000">
            <w:pPr>
              <w:pStyle w:val="Compact"/>
            </w:pPr>
            <w:r>
              <w:t>All Interventions</w:t>
            </w:r>
          </w:p>
        </w:tc>
        <w:tc>
          <w:tcPr>
            <w:tcW w:w="1931" w:type="dxa"/>
          </w:tcPr>
          <w:p w14:paraId="1E11B15A" w14:textId="77777777" w:rsidR="00711131" w:rsidRDefault="00000000">
            <w:pPr>
              <w:pStyle w:val="Compact"/>
              <w:jc w:val="right"/>
            </w:pPr>
            <w:r>
              <w:t>21.53</w:t>
            </w:r>
          </w:p>
        </w:tc>
        <w:tc>
          <w:tcPr>
            <w:tcW w:w="1545" w:type="dxa"/>
          </w:tcPr>
          <w:p w14:paraId="1E11B15B" w14:textId="77777777" w:rsidR="00711131" w:rsidRDefault="00000000">
            <w:pPr>
              <w:pStyle w:val="Compact"/>
              <w:jc w:val="right"/>
            </w:pPr>
            <w:r>
              <w:t>3.15</w:t>
            </w:r>
          </w:p>
        </w:tc>
        <w:tc>
          <w:tcPr>
            <w:tcW w:w="579" w:type="dxa"/>
          </w:tcPr>
          <w:p w14:paraId="1E11B15C" w14:textId="77777777" w:rsidR="00711131" w:rsidRDefault="00000000">
            <w:pPr>
              <w:pStyle w:val="Compact"/>
              <w:jc w:val="right"/>
            </w:pPr>
            <w:r>
              <w:t>30.39</w:t>
            </w:r>
          </w:p>
        </w:tc>
        <w:tc>
          <w:tcPr>
            <w:tcW w:w="1641" w:type="dxa"/>
          </w:tcPr>
          <w:p w14:paraId="1E11B15D" w14:textId="77777777" w:rsidR="00711131" w:rsidRDefault="00000000">
            <w:pPr>
              <w:pStyle w:val="Compact"/>
              <w:jc w:val="right"/>
            </w:pPr>
            <w:r>
              <w:t>9.63</w:t>
            </w:r>
          </w:p>
        </w:tc>
      </w:tr>
    </w:tbl>
    <w:p w14:paraId="1E11B15F" w14:textId="77777777" w:rsidR="00711131" w:rsidRDefault="00000000">
      <w:pPr>
        <w:pStyle w:val="BodyText"/>
      </w:pPr>
      <w:r>
        <w:rPr>
          <w:i/>
          <w:iCs/>
        </w:rPr>
        <w:t>Note: Values in millions. 013 = intervention does not affect this cause. Statin effects restricted to IHD and ischaemic stroke.</w:t>
      </w:r>
    </w:p>
    <w:p w14:paraId="1E11B160" w14:textId="77777777" w:rsidR="00711131" w:rsidRDefault="00000000">
      <w:r>
        <w:br w:type="page"/>
      </w:r>
    </w:p>
    <w:p w14:paraId="1E11B161" w14:textId="77777777" w:rsidR="00711131" w:rsidRDefault="00000000">
      <w:pPr>
        <w:pStyle w:val="BodyText"/>
      </w:pPr>
      <w:r>
        <w:rPr>
          <w:b/>
          <w:bCs/>
        </w:rPr>
        <w:lastRenderedPageBreak/>
        <w:t>Table 3.</w:t>
      </w:r>
      <w:r>
        <w:t xml:space="preserve"> Cumulative burden of disease averted by intervention scenario (millions), 2025–2050.</w:t>
      </w:r>
    </w:p>
    <w:tbl>
      <w:tblPr>
        <w:tblStyle w:val="Table"/>
        <w:tblW w:w="0" w:type="auto"/>
        <w:tblLook w:val="0020" w:firstRow="1" w:lastRow="0" w:firstColumn="0" w:lastColumn="0" w:noHBand="0" w:noVBand="0"/>
      </w:tblPr>
      <w:tblGrid>
        <w:gridCol w:w="2653"/>
        <w:gridCol w:w="962"/>
        <w:gridCol w:w="798"/>
        <w:gridCol w:w="747"/>
        <w:gridCol w:w="889"/>
      </w:tblGrid>
      <w:tr w:rsidR="00711131" w14:paraId="1E11B167" w14:textId="77777777" w:rsidTr="00711131">
        <w:trPr>
          <w:cnfStyle w:val="100000000000" w:firstRow="1" w:lastRow="0" w:firstColumn="0" w:lastColumn="0" w:oddVBand="0" w:evenVBand="0" w:oddHBand="0" w:evenHBand="0" w:firstRowFirstColumn="0" w:firstRowLastColumn="0" w:lastRowFirstColumn="0" w:lastRowLastColumn="0"/>
          <w:tblHeader/>
        </w:trPr>
        <w:tc>
          <w:tcPr>
            <w:tcW w:w="0" w:type="auto"/>
          </w:tcPr>
          <w:p w14:paraId="1E11B162" w14:textId="77777777" w:rsidR="00711131" w:rsidRDefault="00000000">
            <w:pPr>
              <w:pStyle w:val="Compact"/>
            </w:pPr>
            <w:r>
              <w:t>Intervention</w:t>
            </w:r>
          </w:p>
        </w:tc>
        <w:tc>
          <w:tcPr>
            <w:tcW w:w="0" w:type="auto"/>
          </w:tcPr>
          <w:p w14:paraId="1E11B163" w14:textId="77777777" w:rsidR="00711131" w:rsidRDefault="00000000">
            <w:pPr>
              <w:pStyle w:val="Compact"/>
              <w:jc w:val="right"/>
            </w:pPr>
            <w:r>
              <w:t>Deaths</w:t>
            </w:r>
          </w:p>
        </w:tc>
        <w:tc>
          <w:tcPr>
            <w:tcW w:w="0" w:type="auto"/>
          </w:tcPr>
          <w:p w14:paraId="1E11B164" w14:textId="77777777" w:rsidR="00711131" w:rsidRDefault="00000000">
            <w:pPr>
              <w:pStyle w:val="Compact"/>
              <w:jc w:val="right"/>
            </w:pPr>
            <w:r>
              <w:t>YLLs</w:t>
            </w:r>
          </w:p>
        </w:tc>
        <w:tc>
          <w:tcPr>
            <w:tcW w:w="0" w:type="auto"/>
          </w:tcPr>
          <w:p w14:paraId="1E11B165" w14:textId="77777777" w:rsidR="00711131" w:rsidRDefault="00000000">
            <w:pPr>
              <w:pStyle w:val="Compact"/>
              <w:jc w:val="right"/>
            </w:pPr>
            <w:r>
              <w:t>YLDs</w:t>
            </w:r>
          </w:p>
        </w:tc>
        <w:tc>
          <w:tcPr>
            <w:tcW w:w="0" w:type="auto"/>
          </w:tcPr>
          <w:p w14:paraId="1E11B166" w14:textId="77777777" w:rsidR="00711131" w:rsidRDefault="00000000">
            <w:pPr>
              <w:pStyle w:val="Compact"/>
              <w:jc w:val="right"/>
            </w:pPr>
            <w:r>
              <w:t>DALYs</w:t>
            </w:r>
          </w:p>
        </w:tc>
      </w:tr>
      <w:tr w:rsidR="00711131" w14:paraId="1E11B16D" w14:textId="77777777">
        <w:tc>
          <w:tcPr>
            <w:tcW w:w="0" w:type="auto"/>
          </w:tcPr>
          <w:p w14:paraId="1E11B168" w14:textId="77777777" w:rsidR="00711131" w:rsidRDefault="00000000">
            <w:pPr>
              <w:pStyle w:val="Compact"/>
            </w:pPr>
            <w:r>
              <w:t>HTN Control (General)</w:t>
            </w:r>
          </w:p>
        </w:tc>
        <w:tc>
          <w:tcPr>
            <w:tcW w:w="0" w:type="auto"/>
          </w:tcPr>
          <w:p w14:paraId="1E11B169" w14:textId="77777777" w:rsidR="00711131" w:rsidRDefault="00000000">
            <w:pPr>
              <w:pStyle w:val="Compact"/>
              <w:jc w:val="right"/>
            </w:pPr>
            <w:r>
              <w:t>29.4</w:t>
            </w:r>
          </w:p>
        </w:tc>
        <w:tc>
          <w:tcPr>
            <w:tcW w:w="0" w:type="auto"/>
          </w:tcPr>
          <w:p w14:paraId="1E11B16A" w14:textId="77777777" w:rsidR="00711131" w:rsidRDefault="00000000">
            <w:pPr>
              <w:pStyle w:val="Compact"/>
              <w:jc w:val="right"/>
            </w:pPr>
            <w:r>
              <w:t>376.2</w:t>
            </w:r>
          </w:p>
        </w:tc>
        <w:tc>
          <w:tcPr>
            <w:tcW w:w="0" w:type="auto"/>
          </w:tcPr>
          <w:p w14:paraId="1E11B16B" w14:textId="77777777" w:rsidR="00711131" w:rsidRDefault="00000000">
            <w:pPr>
              <w:pStyle w:val="Compact"/>
              <w:jc w:val="right"/>
            </w:pPr>
            <w:r>
              <w:t>14.0</w:t>
            </w:r>
          </w:p>
        </w:tc>
        <w:tc>
          <w:tcPr>
            <w:tcW w:w="0" w:type="auto"/>
          </w:tcPr>
          <w:p w14:paraId="1E11B16C" w14:textId="77777777" w:rsidR="00711131" w:rsidRDefault="00000000">
            <w:pPr>
              <w:pStyle w:val="Compact"/>
              <w:jc w:val="right"/>
            </w:pPr>
            <w:r>
              <w:t>390.2</w:t>
            </w:r>
          </w:p>
        </w:tc>
      </w:tr>
      <w:tr w:rsidR="00711131" w14:paraId="1E11B173" w14:textId="77777777">
        <w:tc>
          <w:tcPr>
            <w:tcW w:w="0" w:type="auto"/>
          </w:tcPr>
          <w:p w14:paraId="1E11B16E" w14:textId="77777777" w:rsidR="00711131" w:rsidRDefault="00000000">
            <w:pPr>
              <w:pStyle w:val="Compact"/>
            </w:pPr>
            <w:r>
              <w:t>HTN Control (Diabetes)</w:t>
            </w:r>
          </w:p>
        </w:tc>
        <w:tc>
          <w:tcPr>
            <w:tcW w:w="0" w:type="auto"/>
          </w:tcPr>
          <w:p w14:paraId="1E11B16F" w14:textId="77777777" w:rsidR="00711131" w:rsidRDefault="00000000">
            <w:pPr>
              <w:pStyle w:val="Compact"/>
              <w:jc w:val="right"/>
            </w:pPr>
            <w:r>
              <w:t>15.3</w:t>
            </w:r>
          </w:p>
        </w:tc>
        <w:tc>
          <w:tcPr>
            <w:tcW w:w="0" w:type="auto"/>
          </w:tcPr>
          <w:p w14:paraId="1E11B170" w14:textId="77777777" w:rsidR="00711131" w:rsidRDefault="00000000">
            <w:pPr>
              <w:pStyle w:val="Compact"/>
              <w:jc w:val="right"/>
            </w:pPr>
            <w:r>
              <w:t>136.3</w:t>
            </w:r>
          </w:p>
        </w:tc>
        <w:tc>
          <w:tcPr>
            <w:tcW w:w="0" w:type="auto"/>
          </w:tcPr>
          <w:p w14:paraId="1E11B171" w14:textId="77777777" w:rsidR="00711131" w:rsidRDefault="00000000">
            <w:pPr>
              <w:pStyle w:val="Compact"/>
              <w:jc w:val="right"/>
            </w:pPr>
            <w:r>
              <w:t>4.4</w:t>
            </w:r>
          </w:p>
        </w:tc>
        <w:tc>
          <w:tcPr>
            <w:tcW w:w="0" w:type="auto"/>
          </w:tcPr>
          <w:p w14:paraId="1E11B172" w14:textId="77777777" w:rsidR="00711131" w:rsidRDefault="00000000">
            <w:pPr>
              <w:pStyle w:val="Compact"/>
              <w:jc w:val="right"/>
            </w:pPr>
            <w:r>
              <w:t>140.7</w:t>
            </w:r>
          </w:p>
        </w:tc>
      </w:tr>
      <w:tr w:rsidR="00711131" w14:paraId="1E11B179" w14:textId="77777777">
        <w:tc>
          <w:tcPr>
            <w:tcW w:w="0" w:type="auto"/>
          </w:tcPr>
          <w:p w14:paraId="1E11B174" w14:textId="77777777" w:rsidR="00711131" w:rsidRDefault="00000000">
            <w:pPr>
              <w:pStyle w:val="Compact"/>
            </w:pPr>
            <w:r>
              <w:t>Improved Statin Uptake</w:t>
            </w:r>
          </w:p>
        </w:tc>
        <w:tc>
          <w:tcPr>
            <w:tcW w:w="0" w:type="auto"/>
          </w:tcPr>
          <w:p w14:paraId="1E11B175" w14:textId="77777777" w:rsidR="00711131" w:rsidRDefault="00000000">
            <w:pPr>
              <w:pStyle w:val="Compact"/>
              <w:jc w:val="right"/>
            </w:pPr>
            <w:r>
              <w:t>21.3</w:t>
            </w:r>
          </w:p>
        </w:tc>
        <w:tc>
          <w:tcPr>
            <w:tcW w:w="0" w:type="auto"/>
          </w:tcPr>
          <w:p w14:paraId="1E11B176" w14:textId="77777777" w:rsidR="00711131" w:rsidRDefault="00000000">
            <w:pPr>
              <w:pStyle w:val="Compact"/>
              <w:jc w:val="right"/>
            </w:pPr>
            <w:r>
              <w:t>264.8</w:t>
            </w:r>
          </w:p>
        </w:tc>
        <w:tc>
          <w:tcPr>
            <w:tcW w:w="0" w:type="auto"/>
          </w:tcPr>
          <w:p w14:paraId="1E11B177" w14:textId="77777777" w:rsidR="00711131" w:rsidRDefault="00000000">
            <w:pPr>
              <w:pStyle w:val="Compact"/>
              <w:jc w:val="right"/>
            </w:pPr>
            <w:r>
              <w:t>-1.7</w:t>
            </w:r>
          </w:p>
        </w:tc>
        <w:tc>
          <w:tcPr>
            <w:tcW w:w="0" w:type="auto"/>
          </w:tcPr>
          <w:p w14:paraId="1E11B178" w14:textId="77777777" w:rsidR="00711131" w:rsidRDefault="00000000">
            <w:pPr>
              <w:pStyle w:val="Compact"/>
              <w:jc w:val="right"/>
            </w:pPr>
            <w:r>
              <w:t>263.1</w:t>
            </w:r>
          </w:p>
        </w:tc>
      </w:tr>
      <w:tr w:rsidR="00711131" w14:paraId="1E11B17F" w14:textId="77777777">
        <w:tc>
          <w:tcPr>
            <w:tcW w:w="0" w:type="auto"/>
          </w:tcPr>
          <w:p w14:paraId="1E11B17A" w14:textId="77777777" w:rsidR="00711131" w:rsidRDefault="00000000">
            <w:pPr>
              <w:pStyle w:val="Compact"/>
            </w:pPr>
            <w:r>
              <w:t>All Interventions</w:t>
            </w:r>
          </w:p>
        </w:tc>
        <w:tc>
          <w:tcPr>
            <w:tcW w:w="0" w:type="auto"/>
          </w:tcPr>
          <w:p w14:paraId="1E11B17B" w14:textId="77777777" w:rsidR="00711131" w:rsidRDefault="00000000">
            <w:pPr>
              <w:pStyle w:val="Compact"/>
              <w:jc w:val="right"/>
            </w:pPr>
            <w:r>
              <w:t>64.7</w:t>
            </w:r>
          </w:p>
        </w:tc>
        <w:tc>
          <w:tcPr>
            <w:tcW w:w="0" w:type="auto"/>
          </w:tcPr>
          <w:p w14:paraId="1E11B17C" w14:textId="77777777" w:rsidR="00711131" w:rsidRDefault="00000000">
            <w:pPr>
              <w:pStyle w:val="Compact"/>
              <w:jc w:val="right"/>
            </w:pPr>
            <w:r>
              <w:t>761.8</w:t>
            </w:r>
          </w:p>
        </w:tc>
        <w:tc>
          <w:tcPr>
            <w:tcW w:w="0" w:type="auto"/>
          </w:tcPr>
          <w:p w14:paraId="1E11B17D" w14:textId="77777777" w:rsidR="00711131" w:rsidRDefault="00000000">
            <w:pPr>
              <w:pStyle w:val="Compact"/>
              <w:jc w:val="right"/>
            </w:pPr>
            <w:r>
              <w:t>16.7</w:t>
            </w:r>
          </w:p>
        </w:tc>
        <w:tc>
          <w:tcPr>
            <w:tcW w:w="0" w:type="auto"/>
          </w:tcPr>
          <w:p w14:paraId="1E11B17E" w14:textId="77777777" w:rsidR="00711131" w:rsidRDefault="00000000">
            <w:pPr>
              <w:pStyle w:val="Compact"/>
              <w:jc w:val="right"/>
            </w:pPr>
            <w:r>
              <w:t>778.5</w:t>
            </w:r>
          </w:p>
        </w:tc>
      </w:tr>
    </w:tbl>
    <w:p w14:paraId="1E11B180" w14:textId="77777777" w:rsidR="00711131" w:rsidRDefault="00000000">
      <w:pPr>
        <w:pStyle w:val="BodyText"/>
      </w:pPr>
      <w:r>
        <w:rPr>
          <w:i/>
          <w:iCs/>
        </w:rPr>
        <w:t>Note: Values in millions. Averted = business-as-usual minus intervention scenario, cumulated 2026-2050. YLLs = years of life lost; YLDs = years lived with disability; DALYs = disability-adjusted life years.</w:t>
      </w:r>
    </w:p>
    <w:p w14:paraId="1E11B181" w14:textId="77777777" w:rsidR="00711131" w:rsidRDefault="00000000">
      <w:r>
        <w:br w:type="page"/>
      </w:r>
    </w:p>
    <w:p w14:paraId="1E11B182" w14:textId="77777777" w:rsidR="00711131" w:rsidRDefault="00000000">
      <w:pPr>
        <w:pStyle w:val="BodyText"/>
      </w:pPr>
      <w:r>
        <w:rPr>
          <w:b/>
          <w:bCs/>
        </w:rPr>
        <w:lastRenderedPageBreak/>
        <w:t>Table 4.</w:t>
      </w:r>
      <w:r>
        <w:t xml:space="preserve"> Cumulative CVD deaths averted by WHO region under the combined intervention scenario, 2025–2050.</w:t>
      </w:r>
    </w:p>
    <w:tbl>
      <w:tblPr>
        <w:tblStyle w:val="Table"/>
        <w:tblW w:w="5000" w:type="pct"/>
        <w:tblLayout w:type="fixed"/>
        <w:tblLook w:val="0020" w:firstRow="1" w:lastRow="0" w:firstColumn="0" w:lastColumn="0" w:noHBand="0" w:noVBand="0"/>
      </w:tblPr>
      <w:tblGrid>
        <w:gridCol w:w="1932"/>
        <w:gridCol w:w="1933"/>
        <w:gridCol w:w="2285"/>
        <w:gridCol w:w="2548"/>
        <w:gridCol w:w="878"/>
      </w:tblGrid>
      <w:tr w:rsidR="00711131" w14:paraId="1E11B188" w14:textId="77777777" w:rsidTr="00711131">
        <w:trPr>
          <w:cnfStyle w:val="100000000000" w:firstRow="1" w:lastRow="0" w:firstColumn="0" w:lastColumn="0" w:oddVBand="0" w:evenVBand="0" w:oddHBand="0" w:evenHBand="0" w:firstRowFirstColumn="0" w:firstRowLastColumn="0" w:lastRowFirstColumn="0" w:lastRowLastColumn="0"/>
          <w:tblHeader/>
        </w:trPr>
        <w:tc>
          <w:tcPr>
            <w:tcW w:w="1598" w:type="dxa"/>
          </w:tcPr>
          <w:p w14:paraId="1E11B183" w14:textId="77777777" w:rsidR="00711131" w:rsidRDefault="00000000">
            <w:pPr>
              <w:pStyle w:val="Compact"/>
            </w:pPr>
            <w:r>
              <w:t>Region</w:t>
            </w:r>
          </w:p>
        </w:tc>
        <w:tc>
          <w:tcPr>
            <w:tcW w:w="1598" w:type="dxa"/>
          </w:tcPr>
          <w:p w14:paraId="1E11B184" w14:textId="77777777" w:rsidR="00711131" w:rsidRDefault="00000000">
            <w:pPr>
              <w:pStyle w:val="Compact"/>
              <w:jc w:val="right"/>
            </w:pPr>
            <w:r>
              <w:t>BAU deaths (millions)</w:t>
            </w:r>
          </w:p>
        </w:tc>
        <w:tc>
          <w:tcPr>
            <w:tcW w:w="1889" w:type="dxa"/>
          </w:tcPr>
          <w:p w14:paraId="1E11B185" w14:textId="77777777" w:rsidR="00711131" w:rsidRDefault="00000000">
            <w:pPr>
              <w:pStyle w:val="Compact"/>
              <w:jc w:val="right"/>
            </w:pPr>
            <w:r>
              <w:t>Deaths averted (millions)</w:t>
            </w:r>
          </w:p>
        </w:tc>
        <w:tc>
          <w:tcPr>
            <w:tcW w:w="2107" w:type="dxa"/>
          </w:tcPr>
          <w:p w14:paraId="1E11B186" w14:textId="77777777" w:rsidR="00711131" w:rsidRDefault="00000000">
            <w:pPr>
              <w:pStyle w:val="Compact"/>
              <w:jc w:val="right"/>
            </w:pPr>
            <w:r>
              <w:t>Average per year (thousands)</w:t>
            </w:r>
          </w:p>
        </w:tc>
        <w:tc>
          <w:tcPr>
            <w:tcW w:w="726" w:type="dxa"/>
          </w:tcPr>
          <w:p w14:paraId="1E11B187" w14:textId="77777777" w:rsidR="00711131" w:rsidRDefault="00000000">
            <w:pPr>
              <w:pStyle w:val="Compact"/>
              <w:jc w:val="right"/>
            </w:pPr>
            <w:r>
              <w:t>% averted</w:t>
            </w:r>
          </w:p>
        </w:tc>
      </w:tr>
      <w:tr w:rsidR="00711131" w14:paraId="1E11B18E" w14:textId="77777777">
        <w:tc>
          <w:tcPr>
            <w:tcW w:w="1598" w:type="dxa"/>
          </w:tcPr>
          <w:p w14:paraId="1E11B189" w14:textId="77777777" w:rsidR="00711131" w:rsidRDefault="00000000">
            <w:pPr>
              <w:pStyle w:val="Compact"/>
            </w:pPr>
            <w:r>
              <w:t>Western Pacific</w:t>
            </w:r>
          </w:p>
        </w:tc>
        <w:tc>
          <w:tcPr>
            <w:tcW w:w="1598" w:type="dxa"/>
          </w:tcPr>
          <w:p w14:paraId="1E11B18A" w14:textId="77777777" w:rsidR="00711131" w:rsidRDefault="00000000">
            <w:pPr>
              <w:pStyle w:val="Compact"/>
              <w:jc w:val="right"/>
            </w:pPr>
            <w:r>
              <w:t>227.3</w:t>
            </w:r>
          </w:p>
        </w:tc>
        <w:tc>
          <w:tcPr>
            <w:tcW w:w="1889" w:type="dxa"/>
          </w:tcPr>
          <w:p w14:paraId="1E11B18B" w14:textId="77777777" w:rsidR="00711131" w:rsidRDefault="00000000">
            <w:pPr>
              <w:pStyle w:val="Compact"/>
              <w:jc w:val="right"/>
            </w:pPr>
            <w:r>
              <w:t>21.5</w:t>
            </w:r>
          </w:p>
        </w:tc>
        <w:tc>
          <w:tcPr>
            <w:tcW w:w="2107" w:type="dxa"/>
          </w:tcPr>
          <w:p w14:paraId="1E11B18C" w14:textId="77777777" w:rsidR="00711131" w:rsidRDefault="00000000">
            <w:pPr>
              <w:pStyle w:val="Compact"/>
              <w:jc w:val="right"/>
            </w:pPr>
            <w:r>
              <w:t>859</w:t>
            </w:r>
          </w:p>
        </w:tc>
        <w:tc>
          <w:tcPr>
            <w:tcW w:w="726" w:type="dxa"/>
          </w:tcPr>
          <w:p w14:paraId="1E11B18D" w14:textId="77777777" w:rsidR="00711131" w:rsidRDefault="00000000">
            <w:pPr>
              <w:pStyle w:val="Compact"/>
              <w:jc w:val="right"/>
            </w:pPr>
            <w:r>
              <w:t>9.4%</w:t>
            </w:r>
          </w:p>
        </w:tc>
      </w:tr>
      <w:tr w:rsidR="00711131" w14:paraId="1E11B194" w14:textId="77777777">
        <w:tc>
          <w:tcPr>
            <w:tcW w:w="1598" w:type="dxa"/>
          </w:tcPr>
          <w:p w14:paraId="1E11B18F" w14:textId="77777777" w:rsidR="00711131" w:rsidRDefault="00000000">
            <w:pPr>
              <w:pStyle w:val="Compact"/>
            </w:pPr>
            <w:r>
              <w:t>South-East Asia</w:t>
            </w:r>
          </w:p>
        </w:tc>
        <w:tc>
          <w:tcPr>
            <w:tcW w:w="1598" w:type="dxa"/>
          </w:tcPr>
          <w:p w14:paraId="1E11B190" w14:textId="77777777" w:rsidR="00711131" w:rsidRDefault="00000000">
            <w:pPr>
              <w:pStyle w:val="Compact"/>
              <w:jc w:val="right"/>
            </w:pPr>
            <w:r>
              <w:t>175.8</w:t>
            </w:r>
          </w:p>
        </w:tc>
        <w:tc>
          <w:tcPr>
            <w:tcW w:w="1889" w:type="dxa"/>
          </w:tcPr>
          <w:p w14:paraId="1E11B191" w14:textId="77777777" w:rsidR="00711131" w:rsidRDefault="00000000">
            <w:pPr>
              <w:pStyle w:val="Compact"/>
              <w:jc w:val="right"/>
            </w:pPr>
            <w:r>
              <w:t>17.0</w:t>
            </w:r>
          </w:p>
        </w:tc>
        <w:tc>
          <w:tcPr>
            <w:tcW w:w="2107" w:type="dxa"/>
          </w:tcPr>
          <w:p w14:paraId="1E11B192" w14:textId="77777777" w:rsidR="00711131" w:rsidRDefault="00000000">
            <w:pPr>
              <w:pStyle w:val="Compact"/>
              <w:jc w:val="right"/>
            </w:pPr>
            <w:r>
              <w:t>678</w:t>
            </w:r>
          </w:p>
        </w:tc>
        <w:tc>
          <w:tcPr>
            <w:tcW w:w="726" w:type="dxa"/>
          </w:tcPr>
          <w:p w14:paraId="1E11B193" w14:textId="77777777" w:rsidR="00711131" w:rsidRDefault="00000000">
            <w:pPr>
              <w:pStyle w:val="Compact"/>
              <w:jc w:val="right"/>
            </w:pPr>
            <w:r>
              <w:t>9.6%</w:t>
            </w:r>
          </w:p>
        </w:tc>
      </w:tr>
      <w:tr w:rsidR="00711131" w14:paraId="1E11B19A" w14:textId="77777777">
        <w:tc>
          <w:tcPr>
            <w:tcW w:w="1598" w:type="dxa"/>
          </w:tcPr>
          <w:p w14:paraId="1E11B195" w14:textId="77777777" w:rsidR="00711131" w:rsidRDefault="00000000">
            <w:pPr>
              <w:pStyle w:val="Compact"/>
            </w:pPr>
            <w:r>
              <w:t>Europe</w:t>
            </w:r>
          </w:p>
        </w:tc>
        <w:tc>
          <w:tcPr>
            <w:tcW w:w="1598" w:type="dxa"/>
          </w:tcPr>
          <w:p w14:paraId="1E11B196" w14:textId="77777777" w:rsidR="00711131" w:rsidRDefault="00000000">
            <w:pPr>
              <w:pStyle w:val="Compact"/>
              <w:jc w:val="right"/>
            </w:pPr>
            <w:r>
              <w:t>117.2</w:t>
            </w:r>
          </w:p>
        </w:tc>
        <w:tc>
          <w:tcPr>
            <w:tcW w:w="1889" w:type="dxa"/>
          </w:tcPr>
          <w:p w14:paraId="1E11B197" w14:textId="77777777" w:rsidR="00711131" w:rsidRDefault="00000000">
            <w:pPr>
              <w:pStyle w:val="Compact"/>
              <w:jc w:val="right"/>
            </w:pPr>
            <w:r>
              <w:t>9.6</w:t>
            </w:r>
          </w:p>
        </w:tc>
        <w:tc>
          <w:tcPr>
            <w:tcW w:w="2107" w:type="dxa"/>
          </w:tcPr>
          <w:p w14:paraId="1E11B198" w14:textId="77777777" w:rsidR="00711131" w:rsidRDefault="00000000">
            <w:pPr>
              <w:pStyle w:val="Compact"/>
              <w:jc w:val="right"/>
            </w:pPr>
            <w:r>
              <w:t>385</w:t>
            </w:r>
          </w:p>
        </w:tc>
        <w:tc>
          <w:tcPr>
            <w:tcW w:w="726" w:type="dxa"/>
          </w:tcPr>
          <w:p w14:paraId="1E11B199" w14:textId="77777777" w:rsidR="00711131" w:rsidRDefault="00000000">
            <w:pPr>
              <w:pStyle w:val="Compact"/>
              <w:jc w:val="right"/>
            </w:pPr>
            <w:r>
              <w:t>8.2%</w:t>
            </w:r>
          </w:p>
        </w:tc>
      </w:tr>
      <w:tr w:rsidR="00711131" w14:paraId="1E11B1A0" w14:textId="77777777">
        <w:tc>
          <w:tcPr>
            <w:tcW w:w="1598" w:type="dxa"/>
          </w:tcPr>
          <w:p w14:paraId="1E11B19B" w14:textId="77777777" w:rsidR="00711131" w:rsidRDefault="00000000">
            <w:pPr>
              <w:pStyle w:val="Compact"/>
            </w:pPr>
            <w:r>
              <w:t>Africa</w:t>
            </w:r>
          </w:p>
        </w:tc>
        <w:tc>
          <w:tcPr>
            <w:tcW w:w="1598" w:type="dxa"/>
          </w:tcPr>
          <w:p w14:paraId="1E11B19C" w14:textId="77777777" w:rsidR="00711131" w:rsidRDefault="00000000">
            <w:pPr>
              <w:pStyle w:val="Compact"/>
              <w:jc w:val="right"/>
            </w:pPr>
            <w:r>
              <w:t>48.7</w:t>
            </w:r>
          </w:p>
        </w:tc>
        <w:tc>
          <w:tcPr>
            <w:tcW w:w="1889" w:type="dxa"/>
          </w:tcPr>
          <w:p w14:paraId="1E11B19D" w14:textId="77777777" w:rsidR="00711131" w:rsidRDefault="00000000">
            <w:pPr>
              <w:pStyle w:val="Compact"/>
              <w:jc w:val="right"/>
            </w:pPr>
            <w:r>
              <w:t>5.8</w:t>
            </w:r>
          </w:p>
        </w:tc>
        <w:tc>
          <w:tcPr>
            <w:tcW w:w="2107" w:type="dxa"/>
          </w:tcPr>
          <w:p w14:paraId="1E11B19E" w14:textId="77777777" w:rsidR="00711131" w:rsidRDefault="00000000">
            <w:pPr>
              <w:pStyle w:val="Compact"/>
              <w:jc w:val="right"/>
            </w:pPr>
            <w:r>
              <w:t>233</w:t>
            </w:r>
          </w:p>
        </w:tc>
        <w:tc>
          <w:tcPr>
            <w:tcW w:w="726" w:type="dxa"/>
          </w:tcPr>
          <w:p w14:paraId="1E11B19F" w14:textId="77777777" w:rsidR="00711131" w:rsidRDefault="00000000">
            <w:pPr>
              <w:pStyle w:val="Compact"/>
              <w:jc w:val="right"/>
            </w:pPr>
            <w:r>
              <w:t>12%</w:t>
            </w:r>
          </w:p>
        </w:tc>
      </w:tr>
      <w:tr w:rsidR="00711131" w14:paraId="1E11B1A6" w14:textId="77777777">
        <w:tc>
          <w:tcPr>
            <w:tcW w:w="1598" w:type="dxa"/>
          </w:tcPr>
          <w:p w14:paraId="1E11B1A1" w14:textId="77777777" w:rsidR="00711131" w:rsidRDefault="00000000">
            <w:pPr>
              <w:pStyle w:val="Compact"/>
            </w:pPr>
            <w:r>
              <w:t>Eastern Mediterranean</w:t>
            </w:r>
          </w:p>
        </w:tc>
        <w:tc>
          <w:tcPr>
            <w:tcW w:w="1598" w:type="dxa"/>
          </w:tcPr>
          <w:p w14:paraId="1E11B1A2" w14:textId="77777777" w:rsidR="00711131" w:rsidRDefault="00000000">
            <w:pPr>
              <w:pStyle w:val="Compact"/>
              <w:jc w:val="right"/>
            </w:pPr>
            <w:r>
              <w:t>64.3</w:t>
            </w:r>
          </w:p>
        </w:tc>
        <w:tc>
          <w:tcPr>
            <w:tcW w:w="1889" w:type="dxa"/>
          </w:tcPr>
          <w:p w14:paraId="1E11B1A3" w14:textId="77777777" w:rsidR="00711131" w:rsidRDefault="00000000">
            <w:pPr>
              <w:pStyle w:val="Compact"/>
              <w:jc w:val="right"/>
            </w:pPr>
            <w:r>
              <w:t>5.7</w:t>
            </w:r>
          </w:p>
        </w:tc>
        <w:tc>
          <w:tcPr>
            <w:tcW w:w="2107" w:type="dxa"/>
          </w:tcPr>
          <w:p w14:paraId="1E11B1A4" w14:textId="77777777" w:rsidR="00711131" w:rsidRDefault="00000000">
            <w:pPr>
              <w:pStyle w:val="Compact"/>
              <w:jc w:val="right"/>
            </w:pPr>
            <w:r>
              <w:t>229</w:t>
            </w:r>
          </w:p>
        </w:tc>
        <w:tc>
          <w:tcPr>
            <w:tcW w:w="726" w:type="dxa"/>
          </w:tcPr>
          <w:p w14:paraId="1E11B1A5" w14:textId="77777777" w:rsidR="00711131" w:rsidRDefault="00000000">
            <w:pPr>
              <w:pStyle w:val="Compact"/>
              <w:jc w:val="right"/>
            </w:pPr>
            <w:r>
              <w:t>8.9%</w:t>
            </w:r>
          </w:p>
        </w:tc>
      </w:tr>
      <w:tr w:rsidR="00711131" w14:paraId="1E11B1AC" w14:textId="77777777">
        <w:tc>
          <w:tcPr>
            <w:tcW w:w="1598" w:type="dxa"/>
          </w:tcPr>
          <w:p w14:paraId="1E11B1A7" w14:textId="77777777" w:rsidR="00711131" w:rsidRDefault="00000000">
            <w:pPr>
              <w:pStyle w:val="Compact"/>
            </w:pPr>
            <w:r>
              <w:t>Americas</w:t>
            </w:r>
          </w:p>
        </w:tc>
        <w:tc>
          <w:tcPr>
            <w:tcW w:w="1598" w:type="dxa"/>
          </w:tcPr>
          <w:p w14:paraId="1E11B1A8" w14:textId="77777777" w:rsidR="00711131" w:rsidRDefault="00000000">
            <w:pPr>
              <w:pStyle w:val="Compact"/>
              <w:jc w:val="right"/>
            </w:pPr>
            <w:r>
              <w:t>62.8</w:t>
            </w:r>
          </w:p>
        </w:tc>
        <w:tc>
          <w:tcPr>
            <w:tcW w:w="1889" w:type="dxa"/>
          </w:tcPr>
          <w:p w14:paraId="1E11B1A9" w14:textId="77777777" w:rsidR="00711131" w:rsidRDefault="00000000">
            <w:pPr>
              <w:pStyle w:val="Compact"/>
              <w:jc w:val="right"/>
            </w:pPr>
            <w:r>
              <w:t>5.1</w:t>
            </w:r>
          </w:p>
        </w:tc>
        <w:tc>
          <w:tcPr>
            <w:tcW w:w="2107" w:type="dxa"/>
          </w:tcPr>
          <w:p w14:paraId="1E11B1AA" w14:textId="77777777" w:rsidR="00711131" w:rsidRDefault="00000000">
            <w:pPr>
              <w:pStyle w:val="Compact"/>
              <w:jc w:val="right"/>
            </w:pPr>
            <w:r>
              <w:t>204</w:t>
            </w:r>
          </w:p>
        </w:tc>
        <w:tc>
          <w:tcPr>
            <w:tcW w:w="726" w:type="dxa"/>
          </w:tcPr>
          <w:p w14:paraId="1E11B1AB" w14:textId="77777777" w:rsidR="00711131" w:rsidRDefault="00000000">
            <w:pPr>
              <w:pStyle w:val="Compact"/>
              <w:jc w:val="right"/>
            </w:pPr>
            <w:r>
              <w:t>8.1%</w:t>
            </w:r>
          </w:p>
        </w:tc>
      </w:tr>
    </w:tbl>
    <w:p w14:paraId="1E11B1AD" w14:textId="77777777" w:rsidR="00711131" w:rsidRDefault="00000000">
      <w:pPr>
        <w:pStyle w:val="BodyText"/>
      </w:pPr>
      <w:r>
        <w:rPr>
          <w:i/>
          <w:iCs/>
        </w:rPr>
        <w:t>Note: All Interventions scenario. BAU = business-as-usual.</w:t>
      </w:r>
    </w:p>
    <w:p w14:paraId="1E11B1AE" w14:textId="77777777" w:rsidR="00711131" w:rsidRDefault="00000000">
      <w:r>
        <w:br w:type="page"/>
      </w:r>
    </w:p>
    <w:p w14:paraId="1E11B1AF" w14:textId="77777777" w:rsidR="00711131" w:rsidRDefault="00000000">
      <w:pPr>
        <w:pStyle w:val="BodyText"/>
      </w:pPr>
      <w:r>
        <w:rPr>
          <w:b/>
          <w:bCs/>
        </w:rPr>
        <w:lastRenderedPageBreak/>
        <w:t>Table 5.</w:t>
      </w:r>
      <w:r>
        <w:t xml:space="preserve"> Cumulative burden of disease averted by World Bank income group under the combined intervention scenario (millions), 2025–2050.</w:t>
      </w:r>
    </w:p>
    <w:tbl>
      <w:tblPr>
        <w:tblStyle w:val="Table"/>
        <w:tblW w:w="0" w:type="auto"/>
        <w:tblLook w:val="0020" w:firstRow="1" w:lastRow="0" w:firstColumn="0" w:lastColumn="0" w:noHBand="0" w:noVBand="0"/>
      </w:tblPr>
      <w:tblGrid>
        <w:gridCol w:w="2486"/>
        <w:gridCol w:w="962"/>
        <w:gridCol w:w="798"/>
        <w:gridCol w:w="747"/>
        <w:gridCol w:w="889"/>
      </w:tblGrid>
      <w:tr w:rsidR="00711131" w14:paraId="1E11B1B5" w14:textId="77777777" w:rsidTr="00711131">
        <w:trPr>
          <w:cnfStyle w:val="100000000000" w:firstRow="1" w:lastRow="0" w:firstColumn="0" w:lastColumn="0" w:oddVBand="0" w:evenVBand="0" w:oddHBand="0" w:evenHBand="0" w:firstRowFirstColumn="0" w:firstRowLastColumn="0" w:lastRowFirstColumn="0" w:lastRowLastColumn="0"/>
          <w:tblHeader/>
        </w:trPr>
        <w:tc>
          <w:tcPr>
            <w:tcW w:w="0" w:type="auto"/>
          </w:tcPr>
          <w:p w14:paraId="1E11B1B0" w14:textId="77777777" w:rsidR="00711131" w:rsidRDefault="00000000">
            <w:pPr>
              <w:pStyle w:val="Compact"/>
            </w:pPr>
            <w:r>
              <w:t>Income group</w:t>
            </w:r>
          </w:p>
        </w:tc>
        <w:tc>
          <w:tcPr>
            <w:tcW w:w="0" w:type="auto"/>
          </w:tcPr>
          <w:p w14:paraId="1E11B1B1" w14:textId="77777777" w:rsidR="00711131" w:rsidRDefault="00000000">
            <w:pPr>
              <w:pStyle w:val="Compact"/>
              <w:jc w:val="right"/>
            </w:pPr>
            <w:r>
              <w:t>Deaths</w:t>
            </w:r>
          </w:p>
        </w:tc>
        <w:tc>
          <w:tcPr>
            <w:tcW w:w="0" w:type="auto"/>
          </w:tcPr>
          <w:p w14:paraId="1E11B1B2" w14:textId="77777777" w:rsidR="00711131" w:rsidRDefault="00000000">
            <w:pPr>
              <w:pStyle w:val="Compact"/>
              <w:jc w:val="right"/>
            </w:pPr>
            <w:r>
              <w:t>YLLs</w:t>
            </w:r>
          </w:p>
        </w:tc>
        <w:tc>
          <w:tcPr>
            <w:tcW w:w="0" w:type="auto"/>
          </w:tcPr>
          <w:p w14:paraId="1E11B1B3" w14:textId="77777777" w:rsidR="00711131" w:rsidRDefault="00000000">
            <w:pPr>
              <w:pStyle w:val="Compact"/>
              <w:jc w:val="right"/>
            </w:pPr>
            <w:r>
              <w:t>YLDs</w:t>
            </w:r>
          </w:p>
        </w:tc>
        <w:tc>
          <w:tcPr>
            <w:tcW w:w="0" w:type="auto"/>
          </w:tcPr>
          <w:p w14:paraId="1E11B1B4" w14:textId="77777777" w:rsidR="00711131" w:rsidRDefault="00000000">
            <w:pPr>
              <w:pStyle w:val="Compact"/>
              <w:jc w:val="right"/>
            </w:pPr>
            <w:r>
              <w:t>DALYs</w:t>
            </w:r>
          </w:p>
        </w:tc>
      </w:tr>
      <w:tr w:rsidR="00711131" w14:paraId="1E11B1BB" w14:textId="77777777">
        <w:tc>
          <w:tcPr>
            <w:tcW w:w="0" w:type="auto"/>
          </w:tcPr>
          <w:p w14:paraId="1E11B1B6" w14:textId="77777777" w:rsidR="00711131" w:rsidRDefault="00000000">
            <w:pPr>
              <w:pStyle w:val="Compact"/>
            </w:pPr>
            <w:r>
              <w:t>NA</w:t>
            </w:r>
          </w:p>
        </w:tc>
        <w:tc>
          <w:tcPr>
            <w:tcW w:w="0" w:type="auto"/>
          </w:tcPr>
          <w:p w14:paraId="1E11B1B7" w14:textId="77777777" w:rsidR="00711131" w:rsidRDefault="00000000">
            <w:pPr>
              <w:pStyle w:val="Compact"/>
              <w:jc w:val="right"/>
            </w:pPr>
            <w:r>
              <w:t>0.1</w:t>
            </w:r>
          </w:p>
        </w:tc>
        <w:tc>
          <w:tcPr>
            <w:tcW w:w="0" w:type="auto"/>
          </w:tcPr>
          <w:p w14:paraId="1E11B1B8" w14:textId="77777777" w:rsidR="00711131" w:rsidRDefault="00000000">
            <w:pPr>
              <w:pStyle w:val="Compact"/>
              <w:jc w:val="right"/>
            </w:pPr>
            <w:r>
              <w:t>0.9</w:t>
            </w:r>
          </w:p>
        </w:tc>
        <w:tc>
          <w:tcPr>
            <w:tcW w:w="0" w:type="auto"/>
          </w:tcPr>
          <w:p w14:paraId="1E11B1B9" w14:textId="77777777" w:rsidR="00711131" w:rsidRDefault="00000000">
            <w:pPr>
              <w:pStyle w:val="Compact"/>
              <w:jc w:val="right"/>
            </w:pPr>
            <w:r>
              <w:t>0.0</w:t>
            </w:r>
          </w:p>
        </w:tc>
        <w:tc>
          <w:tcPr>
            <w:tcW w:w="0" w:type="auto"/>
          </w:tcPr>
          <w:p w14:paraId="1E11B1BA" w14:textId="77777777" w:rsidR="00711131" w:rsidRDefault="00000000">
            <w:pPr>
              <w:pStyle w:val="Compact"/>
              <w:jc w:val="right"/>
            </w:pPr>
            <w:r>
              <w:t>0.9</w:t>
            </w:r>
          </w:p>
        </w:tc>
      </w:tr>
      <w:tr w:rsidR="00711131" w14:paraId="1E11B1C1" w14:textId="77777777">
        <w:tc>
          <w:tcPr>
            <w:tcW w:w="0" w:type="auto"/>
          </w:tcPr>
          <w:p w14:paraId="1E11B1BC" w14:textId="77777777" w:rsidR="00711131" w:rsidRDefault="00000000">
            <w:pPr>
              <w:pStyle w:val="Compact"/>
            </w:pPr>
            <w:r>
              <w:t>Low income</w:t>
            </w:r>
          </w:p>
        </w:tc>
        <w:tc>
          <w:tcPr>
            <w:tcW w:w="0" w:type="auto"/>
          </w:tcPr>
          <w:p w14:paraId="1E11B1BD" w14:textId="77777777" w:rsidR="00711131" w:rsidRDefault="00000000">
            <w:pPr>
              <w:pStyle w:val="Compact"/>
              <w:jc w:val="right"/>
            </w:pPr>
            <w:r>
              <w:t>4.0</w:t>
            </w:r>
          </w:p>
        </w:tc>
        <w:tc>
          <w:tcPr>
            <w:tcW w:w="0" w:type="auto"/>
          </w:tcPr>
          <w:p w14:paraId="1E11B1BE" w14:textId="77777777" w:rsidR="00711131" w:rsidRDefault="00000000">
            <w:pPr>
              <w:pStyle w:val="Compact"/>
              <w:jc w:val="right"/>
            </w:pPr>
            <w:r>
              <w:t>49.9</w:t>
            </w:r>
          </w:p>
        </w:tc>
        <w:tc>
          <w:tcPr>
            <w:tcW w:w="0" w:type="auto"/>
          </w:tcPr>
          <w:p w14:paraId="1E11B1BF" w14:textId="77777777" w:rsidR="00711131" w:rsidRDefault="00000000">
            <w:pPr>
              <w:pStyle w:val="Compact"/>
              <w:jc w:val="right"/>
            </w:pPr>
            <w:r>
              <w:t>1.2</w:t>
            </w:r>
          </w:p>
        </w:tc>
        <w:tc>
          <w:tcPr>
            <w:tcW w:w="0" w:type="auto"/>
          </w:tcPr>
          <w:p w14:paraId="1E11B1C0" w14:textId="77777777" w:rsidR="00711131" w:rsidRDefault="00000000">
            <w:pPr>
              <w:pStyle w:val="Compact"/>
              <w:jc w:val="right"/>
            </w:pPr>
            <w:r>
              <w:t>51.0</w:t>
            </w:r>
          </w:p>
        </w:tc>
      </w:tr>
      <w:tr w:rsidR="00711131" w14:paraId="1E11B1C7" w14:textId="77777777">
        <w:tc>
          <w:tcPr>
            <w:tcW w:w="0" w:type="auto"/>
          </w:tcPr>
          <w:p w14:paraId="1E11B1C2" w14:textId="77777777" w:rsidR="00711131" w:rsidRDefault="00000000">
            <w:pPr>
              <w:pStyle w:val="Compact"/>
            </w:pPr>
            <w:r>
              <w:t>Lower-middle income</w:t>
            </w:r>
          </w:p>
        </w:tc>
        <w:tc>
          <w:tcPr>
            <w:tcW w:w="0" w:type="auto"/>
          </w:tcPr>
          <w:p w14:paraId="1E11B1C3" w14:textId="77777777" w:rsidR="00711131" w:rsidRDefault="00000000">
            <w:pPr>
              <w:pStyle w:val="Compact"/>
              <w:jc w:val="right"/>
            </w:pPr>
            <w:r>
              <w:t>21.6</w:t>
            </w:r>
          </w:p>
        </w:tc>
        <w:tc>
          <w:tcPr>
            <w:tcW w:w="0" w:type="auto"/>
          </w:tcPr>
          <w:p w14:paraId="1E11B1C4" w14:textId="77777777" w:rsidR="00711131" w:rsidRDefault="00000000">
            <w:pPr>
              <w:pStyle w:val="Compact"/>
              <w:jc w:val="right"/>
            </w:pPr>
            <w:r>
              <w:t>287.9</w:t>
            </w:r>
          </w:p>
        </w:tc>
        <w:tc>
          <w:tcPr>
            <w:tcW w:w="0" w:type="auto"/>
          </w:tcPr>
          <w:p w14:paraId="1E11B1C5" w14:textId="77777777" w:rsidR="00711131" w:rsidRDefault="00000000">
            <w:pPr>
              <w:pStyle w:val="Compact"/>
              <w:jc w:val="right"/>
            </w:pPr>
            <w:r>
              <w:t>4.5</w:t>
            </w:r>
          </w:p>
        </w:tc>
        <w:tc>
          <w:tcPr>
            <w:tcW w:w="0" w:type="auto"/>
          </w:tcPr>
          <w:p w14:paraId="1E11B1C6" w14:textId="77777777" w:rsidR="00711131" w:rsidRDefault="00000000">
            <w:pPr>
              <w:pStyle w:val="Compact"/>
              <w:jc w:val="right"/>
            </w:pPr>
            <w:r>
              <w:t>292.4</w:t>
            </w:r>
          </w:p>
        </w:tc>
      </w:tr>
      <w:tr w:rsidR="00711131" w14:paraId="1E11B1CD" w14:textId="77777777">
        <w:tc>
          <w:tcPr>
            <w:tcW w:w="0" w:type="auto"/>
          </w:tcPr>
          <w:p w14:paraId="1E11B1C8" w14:textId="77777777" w:rsidR="00711131" w:rsidRDefault="00000000">
            <w:pPr>
              <w:pStyle w:val="Compact"/>
            </w:pPr>
            <w:r>
              <w:t>Upper-middle income</w:t>
            </w:r>
          </w:p>
        </w:tc>
        <w:tc>
          <w:tcPr>
            <w:tcW w:w="0" w:type="auto"/>
          </w:tcPr>
          <w:p w14:paraId="1E11B1C9" w14:textId="77777777" w:rsidR="00711131" w:rsidRDefault="00000000">
            <w:pPr>
              <w:pStyle w:val="Compact"/>
              <w:jc w:val="right"/>
            </w:pPr>
            <w:r>
              <w:t>29.5</w:t>
            </w:r>
          </w:p>
        </w:tc>
        <w:tc>
          <w:tcPr>
            <w:tcW w:w="0" w:type="auto"/>
          </w:tcPr>
          <w:p w14:paraId="1E11B1CA" w14:textId="77777777" w:rsidR="00711131" w:rsidRDefault="00000000">
            <w:pPr>
              <w:pStyle w:val="Compact"/>
              <w:jc w:val="right"/>
            </w:pPr>
            <w:r>
              <w:t>327.6</w:t>
            </w:r>
          </w:p>
        </w:tc>
        <w:tc>
          <w:tcPr>
            <w:tcW w:w="0" w:type="auto"/>
          </w:tcPr>
          <w:p w14:paraId="1E11B1CB" w14:textId="77777777" w:rsidR="00711131" w:rsidRDefault="00000000">
            <w:pPr>
              <w:pStyle w:val="Compact"/>
              <w:jc w:val="right"/>
            </w:pPr>
            <w:r>
              <w:t>8.1</w:t>
            </w:r>
          </w:p>
        </w:tc>
        <w:tc>
          <w:tcPr>
            <w:tcW w:w="0" w:type="auto"/>
          </w:tcPr>
          <w:p w14:paraId="1E11B1CC" w14:textId="77777777" w:rsidR="00711131" w:rsidRDefault="00000000">
            <w:pPr>
              <w:pStyle w:val="Compact"/>
              <w:jc w:val="right"/>
            </w:pPr>
            <w:r>
              <w:t>335.8</w:t>
            </w:r>
          </w:p>
        </w:tc>
      </w:tr>
      <w:tr w:rsidR="00711131" w14:paraId="1E11B1D3" w14:textId="77777777">
        <w:tc>
          <w:tcPr>
            <w:tcW w:w="0" w:type="auto"/>
          </w:tcPr>
          <w:p w14:paraId="1E11B1CE" w14:textId="77777777" w:rsidR="00711131" w:rsidRDefault="00000000">
            <w:pPr>
              <w:pStyle w:val="Compact"/>
            </w:pPr>
            <w:r>
              <w:t>High income</w:t>
            </w:r>
          </w:p>
        </w:tc>
        <w:tc>
          <w:tcPr>
            <w:tcW w:w="0" w:type="auto"/>
          </w:tcPr>
          <w:p w14:paraId="1E11B1CF" w14:textId="77777777" w:rsidR="00711131" w:rsidRDefault="00000000">
            <w:pPr>
              <w:pStyle w:val="Compact"/>
              <w:jc w:val="right"/>
            </w:pPr>
            <w:r>
              <w:t>9.5</w:t>
            </w:r>
          </w:p>
        </w:tc>
        <w:tc>
          <w:tcPr>
            <w:tcW w:w="0" w:type="auto"/>
          </w:tcPr>
          <w:p w14:paraId="1E11B1D0" w14:textId="77777777" w:rsidR="00711131" w:rsidRDefault="00000000">
            <w:pPr>
              <w:pStyle w:val="Compact"/>
              <w:jc w:val="right"/>
            </w:pPr>
            <w:r>
              <w:t>95.5</w:t>
            </w:r>
          </w:p>
        </w:tc>
        <w:tc>
          <w:tcPr>
            <w:tcW w:w="0" w:type="auto"/>
          </w:tcPr>
          <w:p w14:paraId="1E11B1D1" w14:textId="77777777" w:rsidR="00711131" w:rsidRDefault="00000000">
            <w:pPr>
              <w:pStyle w:val="Compact"/>
              <w:jc w:val="right"/>
            </w:pPr>
            <w:r>
              <w:t>2.9</w:t>
            </w:r>
          </w:p>
        </w:tc>
        <w:tc>
          <w:tcPr>
            <w:tcW w:w="0" w:type="auto"/>
          </w:tcPr>
          <w:p w14:paraId="1E11B1D2" w14:textId="77777777" w:rsidR="00711131" w:rsidRDefault="00000000">
            <w:pPr>
              <w:pStyle w:val="Compact"/>
              <w:jc w:val="right"/>
            </w:pPr>
            <w:r>
              <w:t>98.4</w:t>
            </w:r>
          </w:p>
        </w:tc>
      </w:tr>
    </w:tbl>
    <w:p w14:paraId="1E11B1D4" w14:textId="77777777" w:rsidR="00711131" w:rsidRDefault="00000000">
      <w:pPr>
        <w:pStyle w:val="BodyText"/>
      </w:pPr>
      <w:r>
        <w:rPr>
          <w:i/>
          <w:iCs/>
        </w:rPr>
        <w:t>Note: Values in millions. All Interventions scenario. Income groups based on World Bank 2026 classification.</w:t>
      </w:r>
    </w:p>
    <w:p w14:paraId="1E11B1D5" w14:textId="77777777" w:rsidR="00711131" w:rsidRDefault="00000000">
      <w:pPr>
        <w:pStyle w:val="Heading1"/>
      </w:pPr>
      <w:bookmarkStart w:id="78" w:name="figures"/>
      <w:bookmarkStart w:id="79" w:name="_Toc225970054"/>
      <w:bookmarkEnd w:id="76"/>
      <w:r>
        <w:rPr>
          <w:rStyle w:val="SectionNumber"/>
        </w:rPr>
        <w:t>9</w:t>
      </w:r>
      <w:r>
        <w:tab/>
        <w:t>Figures</w:t>
      </w:r>
      <w:bookmarkEnd w:id="79"/>
    </w:p>
    <w:p w14:paraId="1E11B1D6" w14:textId="77777777" w:rsidR="00711131" w:rsidRDefault="00000000">
      <w:pPr>
        <w:pStyle w:val="FirstParagraph"/>
      </w:pPr>
      <w:r>
        <w:rPr>
          <w:b/>
          <w:bCs/>
        </w:rPr>
        <w:t>Figure 1.</w:t>
      </w:r>
      <w:r>
        <w:t xml:space="preserve"> Projected cumulative CVD deaths under the business-as-usual scenario, 2026–2050, across 190 countries. Four causes are modelled jointly: ischaemic heart disease, ischaemic stroke, intracerebral haemorrhage, and hypertensive heart disease. Population denominators from UNWPP 2024; epidemiological inputs from GBD 2023.</w:t>
      </w:r>
    </w:p>
    <w:p w14:paraId="1E11B1D7" w14:textId="77777777" w:rsidR="00711131" w:rsidRDefault="00000000">
      <w:pPr>
        <w:pStyle w:val="CaptionedFigure"/>
      </w:pPr>
      <w:r>
        <w:rPr>
          <w:noProof/>
        </w:rPr>
        <w:drawing>
          <wp:inline distT="0" distB="0" distL="0" distR="0" wp14:anchorId="1E11B219" wp14:editId="1E11B21A">
            <wp:extent cx="5334000" cy="2424545"/>
            <wp:effectExtent l="0" t="0" r="0" b="0"/>
            <wp:docPr id="83" name="Picture" descr="Projected cumulative CVD burden under the business-as-usual scenario, 2026-2050."/>
            <wp:cNvGraphicFramePr/>
            <a:graphic xmlns:a="http://schemas.openxmlformats.org/drawingml/2006/main">
              <a:graphicData uri="http://schemas.openxmlformats.org/drawingml/2006/picture">
                <pic:pic xmlns:pic="http://schemas.openxmlformats.org/drawingml/2006/picture">
                  <pic:nvPicPr>
                    <pic:cNvPr id="84" name="Picture" descr="../output/aim1_disease_trend.png"/>
                    <pic:cNvPicPr>
                      <a:picLocks noChangeAspect="1" noChangeArrowheads="1"/>
                    </pic:cNvPicPr>
                  </pic:nvPicPr>
                  <pic:blipFill>
                    <a:blip r:embed="rId20"/>
                    <a:stretch>
                      <a:fillRect/>
                    </a:stretch>
                  </pic:blipFill>
                  <pic:spPr bwMode="auto">
                    <a:xfrm>
                      <a:off x="0" y="0"/>
                      <a:ext cx="5334000" cy="2424545"/>
                    </a:xfrm>
                    <a:prstGeom prst="rect">
                      <a:avLst/>
                    </a:prstGeom>
                    <a:noFill/>
                    <a:ln w="9525">
                      <a:noFill/>
                      <a:headEnd/>
                      <a:tailEnd/>
                    </a:ln>
                  </pic:spPr>
                </pic:pic>
              </a:graphicData>
            </a:graphic>
          </wp:inline>
        </w:drawing>
      </w:r>
    </w:p>
    <w:p w14:paraId="1E11B1D8" w14:textId="77777777" w:rsidR="00711131" w:rsidRDefault="00000000">
      <w:pPr>
        <w:pStyle w:val="ImageCaption"/>
      </w:pPr>
      <w:r>
        <w:t>Projected cumulative CVD burden under the business-as-usual scenario, 2026-2050.</w:t>
      </w:r>
    </w:p>
    <w:p w14:paraId="1E11B1D9" w14:textId="77777777" w:rsidR="00711131" w:rsidRDefault="00000000">
      <w:r>
        <w:br w:type="page"/>
      </w:r>
    </w:p>
    <w:p w14:paraId="1E11B1DA" w14:textId="77777777" w:rsidR="00711131" w:rsidRDefault="00000000">
      <w:pPr>
        <w:pStyle w:val="BodyText"/>
      </w:pPr>
      <w:r>
        <w:rPr>
          <w:b/>
          <w:bCs/>
        </w:rPr>
        <w:lastRenderedPageBreak/>
        <w:t>Figure 2.</w:t>
      </w:r>
      <w:r>
        <w:t xml:space="preserve"> Cumulative CVD deaths averted by intervention scenario, 2025–2050. Each bar represents the total number of deaths averted relative to business-as-usual over the full projection period. All four CVD causes combined.</w:t>
      </w:r>
    </w:p>
    <w:p w14:paraId="1E11B1DB" w14:textId="77777777" w:rsidR="00711131" w:rsidRDefault="00000000">
      <w:pPr>
        <w:pStyle w:val="CaptionedFigure"/>
      </w:pPr>
      <w:r>
        <w:rPr>
          <w:noProof/>
        </w:rPr>
        <w:drawing>
          <wp:inline distT="0" distB="0" distL="0" distR="0" wp14:anchorId="1E11B21B" wp14:editId="1E11B21C">
            <wp:extent cx="5334000" cy="2963333"/>
            <wp:effectExtent l="0" t="0" r="0" b="0"/>
            <wp:docPr id="86" name="Picture" descr="Cumulative deaths averted by intervention scenario."/>
            <wp:cNvGraphicFramePr/>
            <a:graphic xmlns:a="http://schemas.openxmlformats.org/drawingml/2006/main">
              <a:graphicData uri="http://schemas.openxmlformats.org/drawingml/2006/picture">
                <pic:pic xmlns:pic="http://schemas.openxmlformats.org/drawingml/2006/picture">
                  <pic:nvPicPr>
                    <pic:cNvPr id="87" name="Picture" descr="../output/aim1_fig1_deaths_intervention.png"/>
                    <pic:cNvPicPr>
                      <a:picLocks noChangeAspect="1" noChangeArrowheads="1"/>
                    </pic:cNvPicPr>
                  </pic:nvPicPr>
                  <pic:blipFill>
                    <a:blip r:embed="rId21"/>
                    <a:stretch>
                      <a:fillRect/>
                    </a:stretch>
                  </pic:blipFill>
                  <pic:spPr bwMode="auto">
                    <a:xfrm>
                      <a:off x="0" y="0"/>
                      <a:ext cx="5334000" cy="2963333"/>
                    </a:xfrm>
                    <a:prstGeom prst="rect">
                      <a:avLst/>
                    </a:prstGeom>
                    <a:noFill/>
                    <a:ln w="9525">
                      <a:noFill/>
                      <a:headEnd/>
                      <a:tailEnd/>
                    </a:ln>
                  </pic:spPr>
                </pic:pic>
              </a:graphicData>
            </a:graphic>
          </wp:inline>
        </w:drawing>
      </w:r>
    </w:p>
    <w:p w14:paraId="1E11B1DC" w14:textId="77777777" w:rsidR="00711131" w:rsidRDefault="00000000">
      <w:pPr>
        <w:pStyle w:val="ImageCaption"/>
      </w:pPr>
      <w:r>
        <w:t>Cumulative deaths averted by intervention scenario.</w:t>
      </w:r>
    </w:p>
    <w:p w14:paraId="1E11B1DD" w14:textId="77777777" w:rsidR="00711131" w:rsidRDefault="00000000">
      <w:r>
        <w:br w:type="page"/>
      </w:r>
    </w:p>
    <w:p w14:paraId="1E11B1DE" w14:textId="77777777" w:rsidR="00711131" w:rsidRDefault="00000000">
      <w:pPr>
        <w:pStyle w:val="BodyText"/>
      </w:pPr>
      <w:r>
        <w:rPr>
          <w:b/>
          <w:bCs/>
        </w:rPr>
        <w:lastRenderedPageBreak/>
        <w:t>Figure 3.</w:t>
      </w:r>
      <w:r>
        <w:t xml:space="preserve"> Annual and cumulative CVD deaths averted by intervention over time, 2025–2050. The stacked area chart (top) shows annual deaths averted by each intervention relative to business-as-usual. Gains accelerate after 2030 as sustained coverage compounds cumulative risk reduction.</w:t>
      </w:r>
    </w:p>
    <w:p w14:paraId="1E11B1DF" w14:textId="77777777" w:rsidR="00711131" w:rsidRDefault="00000000">
      <w:pPr>
        <w:pStyle w:val="CaptionedFigure"/>
      </w:pPr>
      <w:r>
        <w:rPr>
          <w:noProof/>
        </w:rPr>
        <w:drawing>
          <wp:inline distT="0" distB="0" distL="0" distR="0" wp14:anchorId="1E11B21D" wp14:editId="1E11B21E">
            <wp:extent cx="5334000" cy="2424545"/>
            <wp:effectExtent l="0" t="0" r="0" b="0"/>
            <wp:docPr id="89" name="Picture" descr="Annual deaths averted by intervention over time."/>
            <wp:cNvGraphicFramePr/>
            <a:graphic xmlns:a="http://schemas.openxmlformats.org/drawingml/2006/main">
              <a:graphicData uri="http://schemas.openxmlformats.org/drawingml/2006/picture">
                <pic:pic xmlns:pic="http://schemas.openxmlformats.org/drawingml/2006/picture">
                  <pic:nvPicPr>
                    <pic:cNvPr id="90" name="Picture" descr="../output/aim1_fig3_annual_averted.png"/>
                    <pic:cNvPicPr>
                      <a:picLocks noChangeAspect="1" noChangeArrowheads="1"/>
                    </pic:cNvPicPr>
                  </pic:nvPicPr>
                  <pic:blipFill>
                    <a:blip r:embed="rId22"/>
                    <a:stretch>
                      <a:fillRect/>
                    </a:stretch>
                  </pic:blipFill>
                  <pic:spPr bwMode="auto">
                    <a:xfrm>
                      <a:off x="0" y="0"/>
                      <a:ext cx="5334000" cy="2424545"/>
                    </a:xfrm>
                    <a:prstGeom prst="rect">
                      <a:avLst/>
                    </a:prstGeom>
                    <a:noFill/>
                    <a:ln w="9525">
                      <a:noFill/>
                      <a:headEnd/>
                      <a:tailEnd/>
                    </a:ln>
                  </pic:spPr>
                </pic:pic>
              </a:graphicData>
            </a:graphic>
          </wp:inline>
        </w:drawing>
      </w:r>
    </w:p>
    <w:p w14:paraId="1E11B1E0" w14:textId="77777777" w:rsidR="00711131" w:rsidRDefault="00000000">
      <w:pPr>
        <w:pStyle w:val="ImageCaption"/>
      </w:pPr>
      <w:r>
        <w:t>Annual deaths averted by intervention over time.</w:t>
      </w:r>
    </w:p>
    <w:p w14:paraId="1E11B1E1" w14:textId="77777777" w:rsidR="00711131" w:rsidRDefault="00000000">
      <w:r>
        <w:br w:type="page"/>
      </w:r>
    </w:p>
    <w:p w14:paraId="1E11B1E2" w14:textId="77777777" w:rsidR="00711131" w:rsidRDefault="00000000">
      <w:pPr>
        <w:pStyle w:val="BodyText"/>
      </w:pPr>
      <w:r>
        <w:rPr>
          <w:b/>
          <w:bCs/>
        </w:rPr>
        <w:lastRenderedPageBreak/>
        <w:t>Figure 4.</w:t>
      </w:r>
      <w:r>
        <w:t xml:space="preserve"> Cumulative CVD deaths averted over time by intervention scenario, 2025–2050. Lines represent the running total of deaths averted for each individual intervention relative to business-as-usual.</w:t>
      </w:r>
    </w:p>
    <w:p w14:paraId="1E11B1E3" w14:textId="77777777" w:rsidR="00711131" w:rsidRDefault="00000000">
      <w:pPr>
        <w:pStyle w:val="CaptionedFigure"/>
      </w:pPr>
      <w:r>
        <w:rPr>
          <w:noProof/>
        </w:rPr>
        <w:drawing>
          <wp:inline distT="0" distB="0" distL="0" distR="0" wp14:anchorId="1E11B21F" wp14:editId="1E11B220">
            <wp:extent cx="5334000" cy="2424545"/>
            <wp:effectExtent l="0" t="0" r="0" b="0"/>
            <wp:docPr id="92" name="Picture" descr="Cumulative deaths averted over time by intervention."/>
            <wp:cNvGraphicFramePr/>
            <a:graphic xmlns:a="http://schemas.openxmlformats.org/drawingml/2006/main">
              <a:graphicData uri="http://schemas.openxmlformats.org/drawingml/2006/picture">
                <pic:pic xmlns:pic="http://schemas.openxmlformats.org/drawingml/2006/picture">
                  <pic:nvPicPr>
                    <pic:cNvPr id="93" name="Picture" descr="../output/aim1_fig4_cum_averted.png"/>
                    <pic:cNvPicPr>
                      <a:picLocks noChangeAspect="1" noChangeArrowheads="1"/>
                    </pic:cNvPicPr>
                  </pic:nvPicPr>
                  <pic:blipFill>
                    <a:blip r:embed="rId23"/>
                    <a:stretch>
                      <a:fillRect/>
                    </a:stretch>
                  </pic:blipFill>
                  <pic:spPr bwMode="auto">
                    <a:xfrm>
                      <a:off x="0" y="0"/>
                      <a:ext cx="5334000" cy="2424545"/>
                    </a:xfrm>
                    <a:prstGeom prst="rect">
                      <a:avLst/>
                    </a:prstGeom>
                    <a:noFill/>
                    <a:ln w="9525">
                      <a:noFill/>
                      <a:headEnd/>
                      <a:tailEnd/>
                    </a:ln>
                  </pic:spPr>
                </pic:pic>
              </a:graphicData>
            </a:graphic>
          </wp:inline>
        </w:drawing>
      </w:r>
    </w:p>
    <w:p w14:paraId="1E11B1E4" w14:textId="77777777" w:rsidR="00711131" w:rsidRDefault="00000000">
      <w:pPr>
        <w:pStyle w:val="ImageCaption"/>
      </w:pPr>
      <w:r>
        <w:t>Cumulative deaths averted over time by intervention.</w:t>
      </w:r>
    </w:p>
    <w:p w14:paraId="1E11B1E5" w14:textId="77777777" w:rsidR="00711131" w:rsidRDefault="00000000">
      <w:r>
        <w:br w:type="page"/>
      </w:r>
    </w:p>
    <w:p w14:paraId="1E11B1E6" w14:textId="77777777" w:rsidR="00711131" w:rsidRDefault="00000000">
      <w:pPr>
        <w:pStyle w:val="BodyText"/>
      </w:pPr>
      <w:r>
        <w:rPr>
          <w:b/>
          <w:bCs/>
        </w:rPr>
        <w:lastRenderedPageBreak/>
        <w:t>Figure 5.</w:t>
      </w:r>
      <w:r>
        <w:t xml:space="preserve"> Top 20 countries by projected CVD deaths averted under the combined intervention scenario, 2025–2050, coloured by WHO region. Countries with the largest populations and highest baseline CVD burden contribute the most to global totals.</w:t>
      </w:r>
    </w:p>
    <w:p w14:paraId="1E11B1E7" w14:textId="77777777" w:rsidR="00711131" w:rsidRDefault="00000000">
      <w:pPr>
        <w:pStyle w:val="CaptionedFigure"/>
      </w:pPr>
      <w:r>
        <w:rPr>
          <w:noProof/>
        </w:rPr>
        <w:drawing>
          <wp:inline distT="0" distB="0" distL="0" distR="0" wp14:anchorId="1E11B221" wp14:editId="1E11B222">
            <wp:extent cx="5334000" cy="3733799"/>
            <wp:effectExtent l="0" t="0" r="0" b="0"/>
            <wp:docPr id="95" name="Picture" descr="Top 20 countries by projected deaths averted."/>
            <wp:cNvGraphicFramePr/>
            <a:graphic xmlns:a="http://schemas.openxmlformats.org/drawingml/2006/main">
              <a:graphicData uri="http://schemas.openxmlformats.org/drawingml/2006/picture">
                <pic:pic xmlns:pic="http://schemas.openxmlformats.org/drawingml/2006/picture">
                  <pic:nvPicPr>
                    <pic:cNvPr id="96" name="Picture" descr="../output/aim1_fig5_top20_countries.png"/>
                    <pic:cNvPicPr>
                      <a:picLocks noChangeAspect="1" noChangeArrowheads="1"/>
                    </pic:cNvPicPr>
                  </pic:nvPicPr>
                  <pic:blipFill>
                    <a:blip r:embed="rId24"/>
                    <a:stretch>
                      <a:fillRect/>
                    </a:stretch>
                  </pic:blipFill>
                  <pic:spPr bwMode="auto">
                    <a:xfrm>
                      <a:off x="0" y="0"/>
                      <a:ext cx="5334000" cy="3733799"/>
                    </a:xfrm>
                    <a:prstGeom prst="rect">
                      <a:avLst/>
                    </a:prstGeom>
                    <a:noFill/>
                    <a:ln w="9525">
                      <a:noFill/>
                      <a:headEnd/>
                      <a:tailEnd/>
                    </a:ln>
                  </pic:spPr>
                </pic:pic>
              </a:graphicData>
            </a:graphic>
          </wp:inline>
        </w:drawing>
      </w:r>
    </w:p>
    <w:p w14:paraId="1E11B1E8" w14:textId="77777777" w:rsidR="00711131" w:rsidRDefault="00000000">
      <w:pPr>
        <w:pStyle w:val="ImageCaption"/>
      </w:pPr>
      <w:r>
        <w:t>Top 20 countries by projected deaths averted.</w:t>
      </w:r>
    </w:p>
    <w:p w14:paraId="1E11B1E9" w14:textId="77777777" w:rsidR="00711131" w:rsidRDefault="00000000">
      <w:r>
        <w:br w:type="page"/>
      </w:r>
    </w:p>
    <w:p w14:paraId="1E11B1EA" w14:textId="77777777" w:rsidR="00711131" w:rsidRDefault="00000000">
      <w:pPr>
        <w:pStyle w:val="BodyText"/>
      </w:pPr>
      <w:r>
        <w:rPr>
          <w:b/>
          <w:bCs/>
        </w:rPr>
        <w:lastRenderedPageBreak/>
        <w:t>Figure 6.</w:t>
      </w:r>
      <w:r>
        <w:t xml:space="preserve"> Distribution of projected CVD deaths averted by age group, sex, and intervention scenario, 2025–2050. Adults aged 70 years and older account for the majority of averted deaths across all interventions, consistent with the age-dependent increase in baseline CVD mortality.</w:t>
      </w:r>
    </w:p>
    <w:p w14:paraId="1E11B1EB" w14:textId="77777777" w:rsidR="00711131" w:rsidRDefault="00000000">
      <w:pPr>
        <w:pStyle w:val="CaptionedFigure"/>
      </w:pPr>
      <w:r>
        <w:rPr>
          <w:noProof/>
        </w:rPr>
        <w:drawing>
          <wp:inline distT="0" distB="0" distL="0" distR="0" wp14:anchorId="1E11B223" wp14:editId="1E11B224">
            <wp:extent cx="5334000" cy="2667000"/>
            <wp:effectExtent l="0" t="0" r="0" b="0"/>
            <wp:docPr id="98" name="Picture" descr="Distribution of projected benefits by age and sex."/>
            <wp:cNvGraphicFramePr/>
            <a:graphic xmlns:a="http://schemas.openxmlformats.org/drawingml/2006/main">
              <a:graphicData uri="http://schemas.openxmlformats.org/drawingml/2006/picture">
                <pic:pic xmlns:pic="http://schemas.openxmlformats.org/drawingml/2006/picture">
                  <pic:nvPicPr>
                    <pic:cNvPr id="99" name="Picture" descr="../output/aim1_fig5_demo_age.png"/>
                    <pic:cNvPicPr>
                      <a:picLocks noChangeAspect="1" noChangeArrowheads="1"/>
                    </pic:cNvPicPr>
                  </pic:nvPicPr>
                  <pic:blipFill>
                    <a:blip r:embed="rId25"/>
                    <a:stretch>
                      <a:fillRect/>
                    </a:stretch>
                  </pic:blipFill>
                  <pic:spPr bwMode="auto">
                    <a:xfrm>
                      <a:off x="0" y="0"/>
                      <a:ext cx="5334000" cy="2667000"/>
                    </a:xfrm>
                    <a:prstGeom prst="rect">
                      <a:avLst/>
                    </a:prstGeom>
                    <a:noFill/>
                    <a:ln w="9525">
                      <a:noFill/>
                      <a:headEnd/>
                      <a:tailEnd/>
                    </a:ln>
                  </pic:spPr>
                </pic:pic>
              </a:graphicData>
            </a:graphic>
          </wp:inline>
        </w:drawing>
      </w:r>
    </w:p>
    <w:p w14:paraId="1E11B1EC" w14:textId="77777777" w:rsidR="00711131" w:rsidRDefault="00000000">
      <w:pPr>
        <w:pStyle w:val="ImageCaption"/>
      </w:pPr>
      <w:r>
        <w:t>Distribution of projected benefits by age and sex.</w:t>
      </w:r>
    </w:p>
    <w:p w14:paraId="1E11B1ED" w14:textId="77777777" w:rsidR="00711131" w:rsidRDefault="00000000">
      <w:r>
        <w:br w:type="page"/>
      </w:r>
    </w:p>
    <w:p w14:paraId="1E11B1EE" w14:textId="77777777" w:rsidR="00711131" w:rsidRDefault="00000000">
      <w:pPr>
        <w:pStyle w:val="BodyText"/>
      </w:pPr>
      <w:r>
        <w:rPr>
          <w:b/>
          <w:bCs/>
        </w:rPr>
        <w:lastRenderedPageBreak/>
        <w:t>Figure 7.</w:t>
      </w:r>
      <w:r>
        <w:t xml:space="preserve"> Age-standardised CVD mortality rate (ASMR) by intervention scenario, 2019–2050. Solid lines represent the calibration period; dashed lines represent the projection period. ASMR computed using the WHO World Standard Population, rescaled to ages 20–95+.</w:t>
      </w:r>
    </w:p>
    <w:p w14:paraId="1E11B1EF" w14:textId="77777777" w:rsidR="00711131" w:rsidRDefault="00000000">
      <w:pPr>
        <w:pStyle w:val="CaptionedFigure"/>
      </w:pPr>
      <w:r>
        <w:rPr>
          <w:noProof/>
        </w:rPr>
        <w:drawing>
          <wp:inline distT="0" distB="0" distL="0" distR="0" wp14:anchorId="1E11B225" wp14:editId="1E11B226">
            <wp:extent cx="5334000" cy="2667000"/>
            <wp:effectExtent l="0" t="0" r="0" b="0"/>
            <wp:docPr id="101" name="Picture" descr="Age-standardised CVD mortality rate by intervention scenario."/>
            <wp:cNvGraphicFramePr/>
            <a:graphic xmlns:a="http://schemas.openxmlformats.org/drawingml/2006/main">
              <a:graphicData uri="http://schemas.openxmlformats.org/drawingml/2006/picture">
                <pic:pic xmlns:pic="http://schemas.openxmlformats.org/drawingml/2006/picture">
                  <pic:nvPicPr>
                    <pic:cNvPr id="102" name="Picture" descr="../output/aim1_asmr_interventions.png"/>
                    <pic:cNvPicPr>
                      <a:picLocks noChangeAspect="1" noChangeArrowheads="1"/>
                    </pic:cNvPicPr>
                  </pic:nvPicPr>
                  <pic:blipFill>
                    <a:blip r:embed="rId26"/>
                    <a:stretch>
                      <a:fillRect/>
                    </a:stretch>
                  </pic:blipFill>
                  <pic:spPr bwMode="auto">
                    <a:xfrm>
                      <a:off x="0" y="0"/>
                      <a:ext cx="5334000" cy="2667000"/>
                    </a:xfrm>
                    <a:prstGeom prst="rect">
                      <a:avLst/>
                    </a:prstGeom>
                    <a:noFill/>
                    <a:ln w="9525">
                      <a:noFill/>
                      <a:headEnd/>
                      <a:tailEnd/>
                    </a:ln>
                  </pic:spPr>
                </pic:pic>
              </a:graphicData>
            </a:graphic>
          </wp:inline>
        </w:drawing>
      </w:r>
    </w:p>
    <w:p w14:paraId="1E11B1F0" w14:textId="77777777" w:rsidR="00711131" w:rsidRDefault="00000000">
      <w:pPr>
        <w:pStyle w:val="ImageCaption"/>
      </w:pPr>
      <w:r>
        <w:t>Age-standardised CVD mortality rate by intervention scenario.</w:t>
      </w:r>
    </w:p>
    <w:p w14:paraId="1E11B1F1" w14:textId="77777777" w:rsidR="00711131" w:rsidRDefault="00000000">
      <w:r>
        <w:br w:type="page"/>
      </w:r>
    </w:p>
    <w:p w14:paraId="1E11B1F2" w14:textId="77777777" w:rsidR="00711131" w:rsidRDefault="00000000">
      <w:pPr>
        <w:pStyle w:val="BodyText"/>
      </w:pPr>
      <w:r>
        <w:rPr>
          <w:b/>
          <w:bCs/>
        </w:rPr>
        <w:lastRenderedPageBreak/>
        <w:t>Figure 8.</w:t>
      </w:r>
      <w:r>
        <w:t xml:space="preserve"> Deaths averted by cause of death and intervention scenario, 2025–2050. Ischaemic heart disease accounts for the largest share of averted deaths across all interventions. Statin effects are restricted to ischaemic heart disease and ischaemic stroke.</w:t>
      </w:r>
    </w:p>
    <w:p w14:paraId="1E11B1F3" w14:textId="77777777" w:rsidR="00711131" w:rsidRDefault="00000000">
      <w:pPr>
        <w:pStyle w:val="CaptionedFigure"/>
      </w:pPr>
      <w:r>
        <w:rPr>
          <w:noProof/>
        </w:rPr>
        <w:drawing>
          <wp:inline distT="0" distB="0" distL="0" distR="0" wp14:anchorId="1E11B227" wp14:editId="1E11B228">
            <wp:extent cx="5334000" cy="2963333"/>
            <wp:effectExtent l="0" t="0" r="0" b="0"/>
            <wp:docPr id="104" name="Picture" descr="Deaths averted by cause of death and intervention scenario."/>
            <wp:cNvGraphicFramePr/>
            <a:graphic xmlns:a="http://schemas.openxmlformats.org/drawingml/2006/main">
              <a:graphicData uri="http://schemas.openxmlformats.org/drawingml/2006/picture">
                <pic:pic xmlns:pic="http://schemas.openxmlformats.org/drawingml/2006/picture">
                  <pic:nvPicPr>
                    <pic:cNvPr id="105" name="Picture" descr="../output/aim1_fig2_deaths_cause.png"/>
                    <pic:cNvPicPr>
                      <a:picLocks noChangeAspect="1" noChangeArrowheads="1"/>
                    </pic:cNvPicPr>
                  </pic:nvPicPr>
                  <pic:blipFill>
                    <a:blip r:embed="rId27"/>
                    <a:stretch>
                      <a:fillRect/>
                    </a:stretch>
                  </pic:blipFill>
                  <pic:spPr bwMode="auto">
                    <a:xfrm>
                      <a:off x="0" y="0"/>
                      <a:ext cx="5334000" cy="2963333"/>
                    </a:xfrm>
                    <a:prstGeom prst="rect">
                      <a:avLst/>
                    </a:prstGeom>
                    <a:noFill/>
                    <a:ln w="9525">
                      <a:noFill/>
                      <a:headEnd/>
                      <a:tailEnd/>
                    </a:ln>
                  </pic:spPr>
                </pic:pic>
              </a:graphicData>
            </a:graphic>
          </wp:inline>
        </w:drawing>
      </w:r>
    </w:p>
    <w:p w14:paraId="1E11B1F4" w14:textId="77777777" w:rsidR="00711131" w:rsidRDefault="00000000">
      <w:pPr>
        <w:pStyle w:val="ImageCaption"/>
      </w:pPr>
      <w:r>
        <w:t>Deaths averted by cause of death and intervention scenario.</w:t>
      </w:r>
    </w:p>
    <w:p w14:paraId="1E11B1F5" w14:textId="77777777" w:rsidR="00711131" w:rsidRDefault="00000000">
      <w:r>
        <w:br w:type="page"/>
      </w:r>
    </w:p>
    <w:p w14:paraId="1E11B1F6" w14:textId="77777777" w:rsidR="00711131" w:rsidRDefault="00000000">
      <w:pPr>
        <w:pStyle w:val="BodyText"/>
      </w:pPr>
      <w:r>
        <w:rPr>
          <w:b/>
          <w:bCs/>
        </w:rPr>
        <w:lastRenderedPageBreak/>
        <w:t>Figure 9.</w:t>
      </w:r>
      <w:r>
        <w:t xml:space="preserve"> Cumulative DALYs averted by intervention scenario over time, 2025–2050.</w:t>
      </w:r>
    </w:p>
    <w:p w14:paraId="1E11B1F7" w14:textId="77777777" w:rsidR="00711131" w:rsidRDefault="00000000">
      <w:pPr>
        <w:pStyle w:val="CaptionedFigure"/>
      </w:pPr>
      <w:r>
        <w:rPr>
          <w:noProof/>
        </w:rPr>
        <w:drawing>
          <wp:inline distT="0" distB="0" distL="0" distR="0" wp14:anchorId="1E11B229" wp14:editId="1E11B22A">
            <wp:extent cx="5334000" cy="2667000"/>
            <wp:effectExtent l="0" t="0" r="0" b="0"/>
            <wp:docPr id="107" name="Picture" descr="Cumulative DALYs averted by intervention scenario over time."/>
            <wp:cNvGraphicFramePr/>
            <a:graphic xmlns:a="http://schemas.openxmlformats.org/drawingml/2006/main">
              <a:graphicData uri="http://schemas.openxmlformats.org/drawingml/2006/picture">
                <pic:pic xmlns:pic="http://schemas.openxmlformats.org/drawingml/2006/picture">
                  <pic:nvPicPr>
                    <pic:cNvPr id="108" name="Picture" descr="../output/aim1_bod_fig1_dalys_ts.png"/>
                    <pic:cNvPicPr>
                      <a:picLocks noChangeAspect="1" noChangeArrowheads="1"/>
                    </pic:cNvPicPr>
                  </pic:nvPicPr>
                  <pic:blipFill>
                    <a:blip r:embed="rId28"/>
                    <a:stretch>
                      <a:fillRect/>
                    </a:stretch>
                  </pic:blipFill>
                  <pic:spPr bwMode="auto">
                    <a:xfrm>
                      <a:off x="0" y="0"/>
                      <a:ext cx="5334000" cy="2667000"/>
                    </a:xfrm>
                    <a:prstGeom prst="rect">
                      <a:avLst/>
                    </a:prstGeom>
                    <a:noFill/>
                    <a:ln w="9525">
                      <a:noFill/>
                      <a:headEnd/>
                      <a:tailEnd/>
                    </a:ln>
                  </pic:spPr>
                </pic:pic>
              </a:graphicData>
            </a:graphic>
          </wp:inline>
        </w:drawing>
      </w:r>
    </w:p>
    <w:p w14:paraId="1E11B1F8" w14:textId="77777777" w:rsidR="00711131" w:rsidRDefault="00000000">
      <w:pPr>
        <w:pStyle w:val="ImageCaption"/>
      </w:pPr>
      <w:r>
        <w:t>Cumulative DALYs averted by intervention scenario over time.</w:t>
      </w:r>
    </w:p>
    <w:p w14:paraId="1E11B1F9" w14:textId="77777777" w:rsidR="00711131" w:rsidRDefault="00000000">
      <w:r>
        <w:br w:type="page"/>
      </w:r>
    </w:p>
    <w:p w14:paraId="1E11B1FA" w14:textId="77777777" w:rsidR="00711131" w:rsidRDefault="00000000">
      <w:pPr>
        <w:pStyle w:val="BodyText"/>
      </w:pPr>
      <w:r>
        <w:rPr>
          <w:b/>
          <w:bCs/>
        </w:rPr>
        <w:lastRenderedPageBreak/>
        <w:t>Figure 10.</w:t>
      </w:r>
      <w:r>
        <w:t xml:space="preserve"> Deaths averted per 100,000 population under the combined intervention scenario, 2025–2050. Choropleth map showing geographic variation in per-capita health gains, with darker shading indicating larger per-capita benefit.</w:t>
      </w:r>
    </w:p>
    <w:p w14:paraId="1E11B1FB" w14:textId="77777777" w:rsidR="00711131" w:rsidRDefault="00000000">
      <w:pPr>
        <w:pStyle w:val="CaptionedFigure"/>
      </w:pPr>
      <w:r>
        <w:rPr>
          <w:noProof/>
        </w:rPr>
        <w:drawing>
          <wp:inline distT="0" distB="0" distL="0" distR="0" wp14:anchorId="1E11B22B" wp14:editId="1E11B22C">
            <wp:extent cx="5334000" cy="2424545"/>
            <wp:effectExtent l="0" t="0" r="0" b="0"/>
            <wp:docPr id="110" name="Picture" descr="Deaths averted per 100,000 population (world map)."/>
            <wp:cNvGraphicFramePr/>
            <a:graphic xmlns:a="http://schemas.openxmlformats.org/drawingml/2006/main">
              <a:graphicData uri="http://schemas.openxmlformats.org/drawingml/2006/picture">
                <pic:pic xmlns:pic="http://schemas.openxmlformats.org/drawingml/2006/picture">
                  <pic:nvPicPr>
                    <pic:cNvPr id="111" name="Picture" descr="../output/aim1_fig6_map.png"/>
                    <pic:cNvPicPr>
                      <a:picLocks noChangeAspect="1" noChangeArrowheads="1"/>
                    </pic:cNvPicPr>
                  </pic:nvPicPr>
                  <pic:blipFill>
                    <a:blip r:embed="rId29"/>
                    <a:stretch>
                      <a:fillRect/>
                    </a:stretch>
                  </pic:blipFill>
                  <pic:spPr bwMode="auto">
                    <a:xfrm>
                      <a:off x="0" y="0"/>
                      <a:ext cx="5334000" cy="2424545"/>
                    </a:xfrm>
                    <a:prstGeom prst="rect">
                      <a:avLst/>
                    </a:prstGeom>
                    <a:noFill/>
                    <a:ln w="9525">
                      <a:noFill/>
                      <a:headEnd/>
                      <a:tailEnd/>
                    </a:ln>
                  </pic:spPr>
                </pic:pic>
              </a:graphicData>
            </a:graphic>
          </wp:inline>
        </w:drawing>
      </w:r>
    </w:p>
    <w:p w14:paraId="1E11B1FC" w14:textId="77777777" w:rsidR="00711131" w:rsidRDefault="00000000">
      <w:pPr>
        <w:pStyle w:val="ImageCaption"/>
      </w:pPr>
      <w:r>
        <w:t>Deaths averted per 100,000 population (world map).</w:t>
      </w:r>
    </w:p>
    <w:p w14:paraId="1E11B1FD" w14:textId="77777777" w:rsidR="00711131" w:rsidRDefault="00000000">
      <w:pPr>
        <w:pStyle w:val="Heading1"/>
      </w:pPr>
      <w:bookmarkStart w:id="80" w:name="supplemental-material"/>
      <w:bookmarkStart w:id="81" w:name="_Toc225970055"/>
      <w:bookmarkEnd w:id="78"/>
      <w:r>
        <w:rPr>
          <w:rStyle w:val="SectionNumber"/>
        </w:rPr>
        <w:t>10</w:t>
      </w:r>
      <w:r>
        <w:tab/>
        <w:t>Supplemental Material</w:t>
      </w:r>
      <w:bookmarkEnd w:id="81"/>
    </w:p>
    <w:p w14:paraId="1E11B1FE" w14:textId="77777777" w:rsidR="00711131" w:rsidRDefault="00000000">
      <w:pPr>
        <w:pStyle w:val="Heading2"/>
      </w:pPr>
      <w:bookmarkStart w:id="82" w:name="additional-results"/>
      <w:bookmarkStart w:id="83" w:name="_Toc225970056"/>
      <w:r>
        <w:rPr>
          <w:rStyle w:val="SectionNumber"/>
        </w:rPr>
        <w:t>10.1</w:t>
      </w:r>
      <w:r>
        <w:tab/>
        <w:t>Additional results</w:t>
      </w:r>
      <w:bookmarkEnd w:id="83"/>
    </w:p>
    <w:p w14:paraId="1E11B1FF" w14:textId="77777777" w:rsidR="00711131" w:rsidRDefault="00000000">
      <w:pPr>
        <w:pStyle w:val="Heading3"/>
      </w:pPr>
      <w:bookmarkStart w:id="84" w:name="X582a0f7917acfdb9174f291c51ebfeedd8599d4"/>
      <w:bookmarkStart w:id="85" w:name="_Toc225970057"/>
      <w:r>
        <w:rPr>
          <w:rStyle w:val="SectionNumber"/>
        </w:rPr>
        <w:t>10.1.1</w:t>
      </w:r>
      <w:r>
        <w:tab/>
        <w:t>Figure: conceptual framework of the modelling approach</w:t>
      </w:r>
      <w:bookmarkEnd w:id="85"/>
    </w:p>
    <w:p w14:paraId="1E11B200" w14:textId="77777777" w:rsidR="00711131" w:rsidRDefault="00000000">
      <w:pPr>
        <w:pStyle w:val="FirstParagraph"/>
      </w:pPr>
      <w:r>
        <w:t>The pathway from target achievement to risk-factor change to cause-specific outcomes and economic consequences.</w:t>
      </w:r>
    </w:p>
    <w:p w14:paraId="1E11B201" w14:textId="77777777" w:rsidR="00711131" w:rsidRDefault="00000000">
      <w:pPr>
        <w:pStyle w:val="Heading3"/>
      </w:pPr>
      <w:bookmarkStart w:id="86" w:name="Xa8a3e5ba64697878e9badd6a5b52d8a9cbc9cf7"/>
      <w:bookmarkStart w:id="87" w:name="_Toc225970058"/>
      <w:bookmarkEnd w:id="84"/>
      <w:r>
        <w:rPr>
          <w:rStyle w:val="SectionNumber"/>
        </w:rPr>
        <w:t>10.1.2</w:t>
      </w:r>
      <w:r>
        <w:tab/>
        <w:t>Figure: projected cumulative deaths under reference and target-achievement scenarios, 2026-2050</w:t>
      </w:r>
      <w:bookmarkEnd w:id="87"/>
    </w:p>
    <w:p w14:paraId="1E11B202" w14:textId="77777777" w:rsidR="00711131" w:rsidRDefault="00000000">
      <w:pPr>
        <w:pStyle w:val="FirstParagraph"/>
      </w:pPr>
      <w:r>
        <w:t>See Figures 3–4 in the main text and the supplementary data tables for country-level detail.</w:t>
      </w:r>
    </w:p>
    <w:p w14:paraId="1E11B203" w14:textId="77777777" w:rsidR="00711131" w:rsidRDefault="00000000">
      <w:pPr>
        <w:pStyle w:val="Heading3"/>
      </w:pPr>
      <w:bookmarkStart w:id="88" w:name="X4a8ff4b16f05f4c2eb11c5de52e21c0e0ce0d57"/>
      <w:bookmarkStart w:id="89" w:name="_Toc225970059"/>
      <w:bookmarkEnd w:id="86"/>
      <w:r>
        <w:rPr>
          <w:rStyle w:val="SectionNumber"/>
        </w:rPr>
        <w:t>10.1.3</w:t>
      </w:r>
      <w:r>
        <w:tab/>
        <w:t>Table: global projected health outcomes by scenario</w:t>
      </w:r>
      <w:bookmarkEnd w:id="89"/>
    </w:p>
    <w:p w14:paraId="1E11B204" w14:textId="77777777" w:rsidR="00711131" w:rsidRDefault="00000000">
      <w:pPr>
        <w:pStyle w:val="FirstParagraph"/>
      </w:pPr>
      <w:r>
        <w:t>See Table 3 (burden of disease summary) and the supplementary Excel workbook exported from aim1_report.Rmd for the full country-level dataset.</w:t>
      </w:r>
    </w:p>
    <w:p w14:paraId="1E11B205" w14:textId="77777777" w:rsidR="00711131" w:rsidRDefault="00000000">
      <w:pPr>
        <w:pStyle w:val="Heading3"/>
      </w:pPr>
      <w:bookmarkStart w:id="90" w:name="table-regional-and-income-group-results"/>
      <w:bookmarkStart w:id="91" w:name="_Toc225970060"/>
      <w:bookmarkEnd w:id="88"/>
      <w:r>
        <w:rPr>
          <w:rStyle w:val="SectionNumber"/>
        </w:rPr>
        <w:t>10.1.4</w:t>
      </w:r>
      <w:r>
        <w:tab/>
        <w:t>Table: regional and income-group results</w:t>
      </w:r>
      <w:bookmarkEnd w:id="91"/>
    </w:p>
    <w:p w14:paraId="1E11B206" w14:textId="77777777" w:rsidR="00711131" w:rsidRDefault="00000000">
      <w:pPr>
        <w:pStyle w:val="FirstParagraph"/>
      </w:pPr>
      <w:r>
        <w:t>See Tables 4–5 for WHO region and World Bank income group breakdowns.</w:t>
      </w:r>
    </w:p>
    <w:p w14:paraId="1E11B207" w14:textId="77777777" w:rsidR="00711131" w:rsidRDefault="00000000">
      <w:pPr>
        <w:pStyle w:val="Heading2"/>
      </w:pPr>
      <w:bookmarkStart w:id="92" w:name="methodology-and-mathematical-details"/>
      <w:bookmarkStart w:id="93" w:name="_Toc225970061"/>
      <w:bookmarkEnd w:id="82"/>
      <w:bookmarkEnd w:id="90"/>
      <w:r>
        <w:rPr>
          <w:rStyle w:val="SectionNumber"/>
        </w:rPr>
        <w:lastRenderedPageBreak/>
        <w:t>10.2</w:t>
      </w:r>
      <w:r>
        <w:tab/>
        <w:t>Methodology and mathematical details</w:t>
      </w:r>
      <w:bookmarkEnd w:id="93"/>
    </w:p>
    <w:p w14:paraId="1E11B208" w14:textId="77777777" w:rsidR="00711131" w:rsidRDefault="00000000">
      <w:pPr>
        <w:pStyle w:val="FirstParagraph"/>
      </w:pPr>
      <w:r>
        <w:t xml:space="preserve">The multi-state transition model operates in discrete annual time steps. At each step, for each country </w:t>
      </w:r>
      <m:oMath>
        <m:r>
          <m:rPr>
            <m:scr m:val="script"/>
            <m:sty m:val="p"/>
          </m:rPr>
          <w:rPr>
            <w:rFonts w:ascii="Cambria Math" w:hAnsi="Cambria Math"/>
          </w:rPr>
          <m:t>l</m:t>
        </m:r>
      </m:oMath>
      <w:r>
        <w:t xml:space="preserve">, single year of age </w:t>
      </w:r>
      <m:oMath>
        <m:r>
          <w:rPr>
            <w:rFonts w:ascii="Cambria Math" w:hAnsi="Cambria Math"/>
          </w:rPr>
          <m:t>a</m:t>
        </m:r>
      </m:oMath>
      <w:r>
        <w:t xml:space="preserve">, sex </w:t>
      </w:r>
      <m:oMath>
        <m:r>
          <w:rPr>
            <w:rFonts w:ascii="Cambria Math" w:hAnsi="Cambria Math"/>
          </w:rPr>
          <m:t>s</m:t>
        </m:r>
      </m:oMath>
      <w:r>
        <w:t xml:space="preserve">, and cause </w:t>
      </w:r>
      <m:oMath>
        <m:r>
          <w:rPr>
            <w:rFonts w:ascii="Cambria Math" w:hAnsi="Cambria Math"/>
          </w:rPr>
          <m:t>c</m:t>
        </m:r>
      </m:oMath>
      <w:r>
        <w:t>:</w:t>
      </w:r>
    </w:p>
    <w:p w14:paraId="1E11B209" w14:textId="77777777" w:rsidR="00711131" w:rsidRDefault="00000000">
      <w:pPr>
        <w:pStyle w:val="BodyText"/>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IR</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r>
            <w:rPr>
              <w:rFonts w:ascii="Cambria Math" w:hAnsi="Cambria Math"/>
            </w:rPr>
            <m:t>BG</m:t>
          </m:r>
          <m:r>
            <m:rPr>
              <m:sty m:val="p"/>
            </m:rPr>
            <w:rPr>
              <w:rFonts w:ascii="Cambria Math" w:hAnsi="Cambria Math"/>
            </w:rPr>
            <m:t>.</m:t>
          </m:r>
          <m:r>
            <w:rPr>
              <w:rFonts w:ascii="Cambria Math" w:hAnsi="Cambria Math"/>
            </w:rPr>
            <m:t>mx</m:t>
          </m:r>
        </m:oMath>
      </m:oMathPara>
    </w:p>
    <w:p w14:paraId="1E11B20A" w14:textId="77777777" w:rsidR="00711131" w:rsidRDefault="00000000">
      <w:pPr>
        <w:pStyle w:val="FirstParagraph"/>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IR</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m:t>
              </m:r>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F</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CF</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m:t>
              </m:r>
            </m:sub>
          </m:sSub>
          <m:r>
            <m:rPr>
              <m:sty m:val="p"/>
            </m:rPr>
            <w:rPr>
              <w:rFonts w:ascii="Cambria Math" w:hAnsi="Cambria Math"/>
            </w:rPr>
            <m:t>⋅</m:t>
          </m:r>
          <m:r>
            <w:rPr>
              <w:rFonts w:ascii="Cambria Math" w:hAnsi="Cambria Math"/>
            </w:rPr>
            <m:t>BG</m:t>
          </m:r>
          <m:r>
            <m:rPr>
              <m:sty m:val="p"/>
            </m:rPr>
            <w:rPr>
              <w:rFonts w:ascii="Cambria Math" w:hAnsi="Cambria Math"/>
            </w:rPr>
            <m:t>.</m:t>
          </m:r>
          <m:r>
            <w:rPr>
              <w:rFonts w:ascii="Cambria Math" w:hAnsi="Cambria Math"/>
            </w:rPr>
            <m:t>mx</m:t>
          </m:r>
          <m:r>
            <m:rPr>
              <m:sty m:val="p"/>
            </m:rPr>
            <w:rPr>
              <w:rFonts w:ascii="Cambria Math" w:hAnsi="Cambria Math"/>
            </w:rPr>
            <m:t>.</m:t>
          </m:r>
          <m:r>
            <w:rPr>
              <w:rFonts w:ascii="Cambria Math" w:hAnsi="Cambria Math"/>
            </w:rPr>
            <m:t>all</m:t>
          </m:r>
        </m:oMath>
      </m:oMathPara>
    </w:p>
    <w:p w14:paraId="1E11B20B" w14:textId="77777777" w:rsidR="00711131"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m:t>
              </m:r>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F</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CF</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r>
            <w:rPr>
              <w:rFonts w:ascii="Cambria Math" w:hAnsi="Cambria Math"/>
            </w:rPr>
            <m:t>BG</m:t>
          </m:r>
          <m:r>
            <m:rPr>
              <m:sty m:val="p"/>
            </m:rPr>
            <w:rPr>
              <w:rFonts w:ascii="Cambria Math" w:hAnsi="Cambria Math"/>
            </w:rPr>
            <m:t>.</m:t>
          </m:r>
          <m:r>
            <w:rPr>
              <w:rFonts w:ascii="Cambria Math" w:hAnsi="Cambria Math"/>
            </w:rPr>
            <m:t>mx</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m:t>
              </m:r>
            </m:sub>
          </m:sSub>
          <m:r>
            <m:rPr>
              <m:sty m:val="p"/>
            </m:rPr>
            <w:rPr>
              <w:rFonts w:ascii="Cambria Math" w:hAnsi="Cambria Math"/>
            </w:rPr>
            <m:t>⋅</m:t>
          </m:r>
          <m:r>
            <w:rPr>
              <w:rFonts w:ascii="Cambria Math" w:hAnsi="Cambria Math"/>
            </w:rPr>
            <m:t>BG</m:t>
          </m:r>
          <m:r>
            <m:rPr>
              <m:sty m:val="p"/>
            </m:rPr>
            <w:rPr>
              <w:rFonts w:ascii="Cambria Math" w:hAnsi="Cambria Math"/>
            </w:rPr>
            <m:t>.</m:t>
          </m:r>
          <m:r>
            <w:rPr>
              <w:rFonts w:ascii="Cambria Math" w:hAnsi="Cambria Math"/>
            </w:rPr>
            <m:t>mx</m:t>
          </m:r>
          <m:r>
            <m:rPr>
              <m:sty m:val="p"/>
            </m:rPr>
            <w:rPr>
              <w:rFonts w:ascii="Cambria Math" w:hAnsi="Cambria Math"/>
            </w:rPr>
            <m:t>.</m:t>
          </m:r>
          <m:r>
            <w:rPr>
              <w:rFonts w:ascii="Cambria Math" w:hAnsi="Cambria Math"/>
            </w:rPr>
            <m:t>all</m:t>
          </m:r>
        </m:oMath>
      </m:oMathPara>
    </w:p>
    <w:p w14:paraId="1E11B20C" w14:textId="77777777" w:rsidR="00711131" w:rsidRDefault="00000000">
      <w:pPr>
        <w:pStyle w:val="FirstParagraph"/>
      </w:pPr>
      <w:r>
        <w:t xml:space="preserve">where </w:t>
      </w:r>
      <m:oMath>
        <m:sSub>
          <m:sSubPr>
            <m:ctrlPr>
              <w:rPr>
                <w:rFonts w:ascii="Cambria Math" w:hAnsi="Cambria Math"/>
              </w:rPr>
            </m:ctrlPr>
          </m:sSubPr>
          <m:e>
            <m:r>
              <w:rPr>
                <w:rFonts w:ascii="Cambria Math" w:hAnsi="Cambria Math"/>
              </w:rPr>
              <m:t>ε</m:t>
            </m:r>
          </m:e>
          <m:sub>
            <m:r>
              <w:rPr>
                <w:rFonts w:ascii="Cambria Math" w:hAnsi="Cambria Math"/>
              </w:rPr>
              <m:t>IR</m:t>
            </m:r>
          </m:sub>
        </m:sSub>
      </m:oMath>
      <w:r>
        <w:t xml:space="preserve"> and </w:t>
      </w:r>
      <m:oMath>
        <m:sSub>
          <m:sSubPr>
            <m:ctrlPr>
              <w:rPr>
                <w:rFonts w:ascii="Cambria Math" w:hAnsi="Cambria Math"/>
              </w:rPr>
            </m:ctrlPr>
          </m:sSubPr>
          <m:e>
            <m:r>
              <w:rPr>
                <w:rFonts w:ascii="Cambria Math" w:hAnsi="Cambria Math"/>
              </w:rPr>
              <m:t>ε</m:t>
            </m:r>
          </m:e>
          <m:sub>
            <m:r>
              <w:rPr>
                <w:rFonts w:ascii="Cambria Math" w:hAnsi="Cambria Math"/>
              </w:rPr>
              <m:t>CF</m:t>
            </m:r>
          </m:sub>
        </m:sSub>
      </m:oMath>
      <w:r>
        <w:t xml:space="preserve"> are the multiplicative effect ratios from the intervention module (equal to 1 under BAU), </w:t>
      </w:r>
      <m:oMath>
        <m:r>
          <w:rPr>
            <w:rFonts w:ascii="Cambria Math" w:hAnsi="Cambria Math"/>
          </w:rPr>
          <m:t>BG</m:t>
        </m:r>
        <m:r>
          <m:rPr>
            <m:sty m:val="p"/>
          </m:rPr>
          <w:rPr>
            <w:rFonts w:ascii="Cambria Math" w:hAnsi="Cambria Math"/>
          </w:rPr>
          <m:t>.</m:t>
        </m:r>
        <m:r>
          <w:rPr>
            <w:rFonts w:ascii="Cambria Math" w:hAnsi="Cambria Math"/>
          </w:rPr>
          <m:t>mx</m:t>
        </m:r>
      </m:oMath>
      <w:r>
        <w:t xml:space="preserve"> is cause-specific background mortality, and </w:t>
      </w:r>
      <m:oMath>
        <m:r>
          <w:rPr>
            <w:rFonts w:ascii="Cambria Math" w:hAnsi="Cambria Math"/>
          </w:rPr>
          <m:t>BG</m:t>
        </m:r>
        <m:r>
          <m:rPr>
            <m:sty m:val="p"/>
          </m:rPr>
          <w:rPr>
            <w:rFonts w:ascii="Cambria Math" w:hAnsi="Cambria Math"/>
          </w:rPr>
          <m:t>.</m:t>
        </m:r>
        <m:r>
          <w:rPr>
            <w:rFonts w:ascii="Cambria Math" w:hAnsi="Cambria Math"/>
          </w:rPr>
          <m:t>mx</m:t>
        </m:r>
        <m:r>
          <m:rPr>
            <m:sty m:val="p"/>
          </m:rPr>
          <w:rPr>
            <w:rFonts w:ascii="Cambria Math" w:hAnsi="Cambria Math"/>
          </w:rPr>
          <m:t>.</m:t>
        </m:r>
        <m:r>
          <w:rPr>
            <w:rFonts w:ascii="Cambria Math" w:hAnsi="Cambria Math"/>
          </w:rPr>
          <m:t>all</m:t>
        </m:r>
      </m:oMath>
      <w:r>
        <w:t xml:space="preserve"> is all-cause background mortality applied to the Sick compartment.</w:t>
      </w:r>
    </w:p>
    <w:p w14:paraId="1E11B20D" w14:textId="77777777" w:rsidR="00711131" w:rsidRDefault="00000000">
      <w:pPr>
        <w:pStyle w:val="BodyText"/>
      </w:pPr>
      <w:r>
        <w:t>For the hypertension control module, the effect ratio for incidence is computed via a nine-step pipeline:</w:t>
      </w:r>
    </w:p>
    <w:p w14:paraId="1E11B20E" w14:textId="77777777" w:rsidR="00711131" w:rsidRDefault="00000000">
      <w:pPr>
        <w:pStyle w:val="Compact"/>
        <w:numPr>
          <w:ilvl w:val="0"/>
          <w:numId w:val="3"/>
        </w:numPr>
      </w:pPr>
      <w:r>
        <w:t xml:space="preserve">Derive baseline blood pressure distribution </w:t>
      </w:r>
      <m:oMath>
        <m:r>
          <w:rPr>
            <w:rFonts w:ascii="Cambria Math" w:hAnsi="Cambria Math"/>
          </w:rPr>
          <m:t>P</m:t>
        </m:r>
        <m:d>
          <m:dPr>
            <m:ctrlPr>
              <w:rPr>
                <w:rFonts w:ascii="Cambria Math" w:hAnsi="Cambria Math"/>
              </w:rPr>
            </m:ctrlPr>
          </m:dPr>
          <m:e>
            <m:sSub>
              <m:sSubPr>
                <m:ctrlPr>
                  <w:rPr>
                    <w:rFonts w:ascii="Cambria Math" w:hAnsi="Cambria Math"/>
                  </w:rPr>
                </m:ctrlPr>
              </m:sSubPr>
              <m:e>
                <m:r>
                  <m:rPr>
                    <m:nor/>
                  </m:rPr>
                  <m:t>BP</m:t>
                </m:r>
              </m:e>
              <m:sub>
                <m:r>
                  <m:rPr>
                    <m:nor/>
                  </m:rPr>
                  <m:t>cat</m:t>
                </m:r>
              </m:sub>
            </m:sSub>
          </m:e>
        </m:d>
      </m:oMath>
      <w:r>
        <w:t xml:space="preserve"> without treatment</w:t>
      </w:r>
    </w:p>
    <w:p w14:paraId="1E11B20F" w14:textId="77777777" w:rsidR="00711131" w:rsidRDefault="00000000">
      <w:pPr>
        <w:pStyle w:val="Compact"/>
        <w:numPr>
          <w:ilvl w:val="0"/>
          <w:numId w:val="3"/>
        </w:numPr>
      </w:pPr>
      <w:r>
        <w:t xml:space="preserve">Apply GBD relative risks per 10 mmHg SBP to obtain bin-specific incidence </w:t>
      </w:r>
      <m:oMath>
        <m:r>
          <w:rPr>
            <w:rFonts w:ascii="Cambria Math" w:hAnsi="Cambria Math"/>
          </w:rPr>
          <m:t>I</m:t>
        </m:r>
        <m:sSub>
          <m:sSubPr>
            <m:ctrlPr>
              <w:rPr>
                <w:rFonts w:ascii="Cambria Math" w:hAnsi="Cambria Math"/>
              </w:rPr>
            </m:ctrlPr>
          </m:sSubPr>
          <m:e>
            <m:r>
              <w:rPr>
                <w:rFonts w:ascii="Cambria Math" w:hAnsi="Cambria Math"/>
              </w:rPr>
              <m:t>R</m:t>
            </m:r>
          </m:e>
          <m:sub>
            <m:r>
              <m:rPr>
                <m:nor/>
              </m:rPr>
              <m:t>bin</m:t>
            </m:r>
          </m:sub>
        </m:sSub>
      </m:oMath>
    </w:p>
    <w:p w14:paraId="1E11B210" w14:textId="77777777" w:rsidR="00711131" w:rsidRDefault="00000000">
      <w:pPr>
        <w:pStyle w:val="Compact"/>
        <w:numPr>
          <w:ilvl w:val="0"/>
          <w:numId w:val="3"/>
        </w:numPr>
      </w:pPr>
      <w:r>
        <w:t xml:space="preserve">Compute diabetes-weighted Ettehad trial effect sizes </w:t>
      </w:r>
      <m:oMath>
        <m:sSub>
          <m:sSubPr>
            <m:ctrlPr>
              <w:rPr>
                <w:rFonts w:ascii="Cambria Math" w:hAnsi="Cambria Math"/>
              </w:rPr>
            </m:ctrlPr>
          </m:sSubPr>
          <m:e>
            <m:r>
              <w:rPr>
                <w:rFonts w:ascii="Cambria Math" w:hAnsi="Cambria Math"/>
              </w:rPr>
              <m:t>E</m:t>
            </m:r>
          </m:e>
          <m:sub>
            <m:r>
              <m:rPr>
                <m:nor/>
              </m:rPr>
              <m:t>trial</m:t>
            </m:r>
          </m:sub>
        </m:sSub>
      </m:oMath>
      <w:r>
        <w:t xml:space="preserve"> per BP bin and cause</w:t>
      </w:r>
    </w:p>
    <w:p w14:paraId="1E11B211" w14:textId="77777777" w:rsidR="00711131" w:rsidRDefault="00000000">
      <w:pPr>
        <w:pStyle w:val="Compact"/>
        <w:numPr>
          <w:ilvl w:val="0"/>
          <w:numId w:val="3"/>
        </w:numPr>
      </w:pPr>
      <w:r>
        <w:t xml:space="preserve">Linear coverage scale-up from </w:t>
      </w:r>
      <m:oMath>
        <m:sSub>
          <m:sSubPr>
            <m:ctrlPr>
              <w:rPr>
                <w:rFonts w:ascii="Cambria Math" w:hAnsi="Cambria Math"/>
              </w:rPr>
            </m:ctrlPr>
          </m:sSubPr>
          <m:e>
            <m:r>
              <w:rPr>
                <w:rFonts w:ascii="Cambria Math" w:hAnsi="Cambria Math"/>
              </w:rPr>
              <m:t>C</m:t>
            </m:r>
          </m:e>
          <m:sub>
            <m:r>
              <w:rPr>
                <w:rFonts w:ascii="Cambria Math" w:hAnsi="Cambria Math"/>
              </w:rPr>
              <m:t>0</m:t>
            </m:r>
          </m:sub>
        </m:sSub>
      </m:oMath>
      <w:r>
        <w:t xml:space="preserve"> to </w:t>
      </w:r>
      <m:oMath>
        <m:sSub>
          <m:sSubPr>
            <m:ctrlPr>
              <w:rPr>
                <w:rFonts w:ascii="Cambria Math" w:hAnsi="Cambria Math"/>
              </w:rPr>
            </m:ctrlPr>
          </m:sSubPr>
          <m:e>
            <m:r>
              <w:rPr>
                <w:rFonts w:ascii="Cambria Math" w:hAnsi="Cambria Math"/>
              </w:rPr>
              <m:t>C</m:t>
            </m:r>
          </m:e>
          <m:sub>
            <m:r>
              <m:rPr>
                <m:nor/>
              </m:rPr>
              <m:t>target</m:t>
            </m:r>
          </m:sub>
        </m:sSub>
      </m:oMath>
      <w:r>
        <w:t>, beginning 2026</w:t>
      </w:r>
    </w:p>
    <w:p w14:paraId="1E11B212" w14:textId="77777777" w:rsidR="00711131" w:rsidRDefault="00000000">
      <w:pPr>
        <w:pStyle w:val="Compact"/>
        <w:numPr>
          <w:ilvl w:val="0"/>
          <w:numId w:val="3"/>
        </w:numPr>
      </w:pPr>
      <w:r>
        <w:t xml:space="preserve">Coverage adjustment: </w:t>
      </w:r>
      <m:oMath>
        <m:sSub>
          <m:sSubPr>
            <m:ctrlPr>
              <w:rPr>
                <w:rFonts w:ascii="Cambria Math" w:hAnsi="Cambria Math"/>
              </w:rPr>
            </m:ctrlPr>
          </m:sSubPr>
          <m:e>
            <m:r>
              <w:rPr>
                <w:rFonts w:ascii="Cambria Math" w:hAnsi="Cambria Math"/>
              </w:rPr>
              <m:t>E</m:t>
            </m:r>
          </m:e>
          <m:sub>
            <m:r>
              <m:rPr>
                <m:nor/>
              </m:rPr>
              <m:t>adj</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nor/>
              </m:rPr>
              <m:t>trial</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m:rPr>
                    <m:nor/>
                  </m:rPr>
                  <m:t>trial</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e>
        </m:d>
      </m:oMath>
    </w:p>
    <w:p w14:paraId="1E11B213" w14:textId="77777777" w:rsidR="00711131" w:rsidRDefault="00000000">
      <w:pPr>
        <w:pStyle w:val="Compact"/>
        <w:numPr>
          <w:ilvl w:val="0"/>
          <w:numId w:val="3"/>
        </w:numPr>
      </w:pPr>
      <w:r>
        <w:t xml:space="preserve">New bin incidence: </w:t>
      </w:r>
      <m:oMath>
        <m:r>
          <w:rPr>
            <w:rFonts w:ascii="Cambria Math" w:hAnsi="Cambria Math"/>
          </w:rPr>
          <m:t>I</m:t>
        </m:r>
        <m:sSub>
          <m:sSubPr>
            <m:ctrlPr>
              <w:rPr>
                <w:rFonts w:ascii="Cambria Math" w:hAnsi="Cambria Math"/>
              </w:rPr>
            </m:ctrlPr>
          </m:sSubPr>
          <m:e>
            <m:r>
              <w:rPr>
                <w:rFonts w:ascii="Cambria Math" w:hAnsi="Cambria Math"/>
              </w:rPr>
              <m:t>R</m:t>
            </m:r>
          </m:e>
          <m:sub>
            <m:r>
              <m:rPr>
                <m:nor/>
              </m:rPr>
              <m:t>bin,new</m:t>
            </m:r>
          </m:sub>
        </m:sSub>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R</m:t>
            </m:r>
          </m:e>
          <m:sub>
            <m:r>
              <m:rPr>
                <m:nor/>
              </m:rPr>
              <m:t>bin</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m:rPr>
                    <m:nor/>
                  </m:rPr>
                  <m:t>adj</m:t>
                </m:r>
              </m:sub>
            </m:sSub>
          </m:e>
        </m:d>
      </m:oMath>
    </w:p>
    <w:p w14:paraId="1E11B214" w14:textId="77777777" w:rsidR="00711131" w:rsidRDefault="00000000">
      <w:pPr>
        <w:pStyle w:val="Compact"/>
        <w:numPr>
          <w:ilvl w:val="0"/>
          <w:numId w:val="3"/>
        </w:numPr>
      </w:pPr>
      <w:r>
        <w:t xml:space="preserve">Aggregate: </w:t>
      </w:r>
      <m:oMath>
        <m:r>
          <w:rPr>
            <w:rFonts w:ascii="Cambria Math" w:hAnsi="Cambria Math"/>
          </w:rPr>
          <m:t>I</m:t>
        </m:r>
        <m:sSub>
          <m:sSubPr>
            <m:ctrlPr>
              <w:rPr>
                <w:rFonts w:ascii="Cambria Math" w:hAnsi="Cambria Math"/>
              </w:rPr>
            </m:ctrlPr>
          </m:sSubPr>
          <m:e>
            <m:r>
              <w:rPr>
                <w:rFonts w:ascii="Cambria Math" w:hAnsi="Cambria Math"/>
              </w:rPr>
              <m:t>R</m:t>
            </m:r>
          </m:e>
          <m:sub>
            <m:r>
              <m:rPr>
                <m:nor/>
              </m:rPr>
              <m:t>new</m:t>
            </m:r>
          </m:sub>
        </m:sSub>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R</m:t>
            </m:r>
          </m:e>
          <m:sub>
            <m:r>
              <m:rPr>
                <m:nor/>
              </m:rPr>
              <m:t>bin,new</m:t>
            </m:r>
          </m:sub>
        </m:sSub>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m:rPr>
                    <m:nor/>
                  </m:rPr>
                  <m:t>BP</m:t>
                </m:r>
              </m:e>
              <m:sub>
                <m:r>
                  <m:rPr>
                    <m:nor/>
                  </m:rPr>
                  <m:t>cat</m:t>
                </m:r>
              </m:sub>
            </m:sSub>
          </m:e>
        </m:d>
      </m:oMath>
    </w:p>
    <w:p w14:paraId="1E11B215" w14:textId="77777777" w:rsidR="00711131" w:rsidRDefault="00000000">
      <w:pPr>
        <w:pStyle w:val="Compact"/>
        <w:numPr>
          <w:ilvl w:val="0"/>
          <w:numId w:val="3"/>
        </w:numPr>
      </w:pPr>
      <w:r>
        <w:t xml:space="preserve">Incidence effect ratio: </w:t>
      </w:r>
      <m:oMath>
        <m:sSub>
          <m:sSubPr>
            <m:ctrlPr>
              <w:rPr>
                <w:rFonts w:ascii="Cambria Math" w:hAnsi="Cambria Math"/>
              </w:rPr>
            </m:ctrlPr>
          </m:sSubPr>
          <m:e>
            <m:r>
              <w:rPr>
                <w:rFonts w:ascii="Cambria Math" w:hAnsi="Cambria Math"/>
              </w:rPr>
              <m:t>ε</m:t>
            </m:r>
          </m:e>
          <m:sub>
            <m:r>
              <w:rPr>
                <w:rFonts w:ascii="Cambria Math" w:hAnsi="Cambria Math"/>
              </w:rPr>
              <m:t>IR</m:t>
            </m:r>
          </m:sub>
        </m:sSub>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R</m:t>
            </m:r>
          </m:e>
          <m:sub>
            <m:r>
              <m:rPr>
                <m:nor/>
              </m:rPr>
              <m:t>new</m:t>
            </m:r>
          </m:sub>
        </m:sSub>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R</m:t>
            </m:r>
          </m:e>
          <m:sub>
            <m:r>
              <m:rPr>
                <m:nor/>
              </m:rPr>
              <m:t>original</m:t>
            </m:r>
          </m:sub>
        </m:sSub>
      </m:oMath>
    </w:p>
    <w:p w14:paraId="1E11B216" w14:textId="77777777" w:rsidR="00711131" w:rsidRDefault="00000000">
      <w:pPr>
        <w:pStyle w:val="Compact"/>
        <w:numPr>
          <w:ilvl w:val="0"/>
          <w:numId w:val="3"/>
        </w:numPr>
      </w:pPr>
      <w:r>
        <w:t xml:space="preserve">Case-fatality effect ratio: </w:t>
      </w:r>
      <m:oMath>
        <m:sSub>
          <m:sSubPr>
            <m:ctrlPr>
              <w:rPr>
                <w:rFonts w:ascii="Cambria Math" w:hAnsi="Cambria Math"/>
              </w:rPr>
            </m:ctrlPr>
          </m:sSubPr>
          <m:e>
            <m:r>
              <w:rPr>
                <w:rFonts w:ascii="Cambria Math" w:hAnsi="Cambria Math"/>
              </w:rPr>
              <m:t>ε</m:t>
            </m:r>
          </m:e>
          <m:sub>
            <m:r>
              <w:rPr>
                <w:rFonts w:ascii="Cambria Math" w:hAnsi="Cambria Math"/>
              </w:rPr>
              <m:t>CF</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CF</m:t>
            </m:r>
          </m:sub>
        </m:sSub>
        <m:r>
          <m:rPr>
            <m:sty m:val="p"/>
          </m:rPr>
          <w:rPr>
            <w:rFonts w:ascii="Cambria Math" w:hAnsi="Cambria Math"/>
          </w:rPr>
          <m:t>×</m:t>
        </m:r>
        <m:sSubSup>
          <m:sSubSupPr>
            <m:ctrlPr>
              <w:rPr>
                <w:rFonts w:ascii="Cambria Math" w:hAnsi="Cambria Math"/>
              </w:rPr>
            </m:ctrlPr>
          </m:sSubSupPr>
          <m:e>
            <m:r>
              <w:rPr>
                <w:rFonts w:ascii="Cambria Math" w:hAnsi="Cambria Math"/>
              </w:rPr>
              <m:t>C</m:t>
            </m:r>
          </m:e>
          <m:sub>
            <m:r>
              <m:rPr>
                <m:nor/>
              </m:rPr>
              <m:t>agg</m:t>
            </m:r>
          </m:sub>
          <m:sup>
            <m:r>
              <w:rPr>
                <w:rFonts w:ascii="Cambria Math" w:hAnsi="Cambria Math"/>
              </w:rPr>
              <m:t>Δ</m:t>
            </m:r>
          </m:sup>
        </m:sSubSup>
      </m:oMath>
    </w:p>
    <w:p w14:paraId="1E11B217" w14:textId="77777777" w:rsidR="00711131" w:rsidRDefault="00000000">
      <w:pPr>
        <w:pStyle w:val="FirstParagraph"/>
      </w:pPr>
      <w:r>
        <w:t xml:space="preserve">For statins, the incremental effect size is: </w:t>
      </w:r>
      <m:oMath>
        <m:sSubSup>
          <m:sSubSupPr>
            <m:ctrlPr>
              <w:rPr>
                <w:rFonts w:ascii="Cambria Math" w:hAnsi="Cambria Math"/>
              </w:rPr>
            </m:ctrlPr>
          </m:sSubSupPr>
          <m:e>
            <m:r>
              <w:rPr>
                <w:rFonts w:ascii="Cambria Math" w:hAnsi="Cambria Math"/>
              </w:rPr>
              <m:t>E</m:t>
            </m:r>
          </m:e>
          <m:sub>
            <m:r>
              <w:rPr>
                <w:rFonts w:ascii="Cambria Math" w:hAnsi="Cambria Math"/>
              </w:rPr>
              <m:t>c</m:t>
            </m:r>
            <m:r>
              <m:rPr>
                <m:scr m:val="script"/>
                <m:sty m:val="p"/>
              </m:rPr>
              <w:rPr>
                <w:rFonts w:ascii="Cambria Math" w:hAnsi="Cambria Math"/>
              </w:rPr>
              <m:t>,l</m:t>
            </m:r>
          </m:sub>
          <m:sup>
            <m:r>
              <w:rPr>
                <w:rFonts w:ascii="Cambria Math" w:hAnsi="Cambria Math"/>
              </w:rPr>
              <m:t>IR</m:t>
            </m:r>
          </m:sup>
        </m:sSubSup>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ΔU</m:t>
        </m:r>
        <m:d>
          <m:dPr>
            <m:ctrlPr>
              <w:rPr>
                <w:rFonts w:ascii="Cambria Math" w:hAnsi="Cambria Math"/>
              </w:rPr>
            </m:ctrlPr>
          </m:dPr>
          <m:e>
            <m:r>
              <w:rPr>
                <w:rFonts w:ascii="Cambria Math" w:hAnsi="Cambria Math"/>
              </w:rPr>
              <m:t>t</m:t>
            </m:r>
            <m:r>
              <m:rPr>
                <m:scr m:val="script"/>
                <m:sty m:val="p"/>
              </m:rPr>
              <w:rPr>
                <w:rFonts w:ascii="Cambria Math" w:hAnsi="Cambria Math"/>
              </w:rPr>
              <m:t>,l</m:t>
            </m:r>
          </m:e>
        </m:d>
        <m:r>
          <m:rPr>
            <m:sty m:val="p"/>
          </m:rP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c</m:t>
            </m:r>
            <m:r>
              <m:rPr>
                <m:scr m:val="script"/>
                <m:sty m:val="p"/>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δ</m:t>
            </m:r>
          </m:e>
          <m:sub>
            <m:r>
              <w:rPr>
                <w:rFonts w:ascii="Cambria Math" w:hAnsi="Cambria Math"/>
              </w:rPr>
              <m:t>c</m:t>
            </m:r>
          </m:sub>
          <m:sup>
            <m:r>
              <w:rPr>
                <w:rFonts w:ascii="Cambria Math" w:hAnsi="Cambria Math"/>
              </w:rPr>
              <m:t>IR</m:t>
            </m:r>
          </m:sup>
        </m:sSubSup>
      </m:oMath>
      <w:r>
        <w:t xml:space="preserve">, where </w:t>
      </w:r>
      <m:oMath>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c</m:t>
            </m:r>
            <m:r>
              <m:rPr>
                <m:scr m:val="script"/>
                <m:sty m:val="p"/>
              </m:rPr>
              <w:rPr>
                <w:rFonts w:ascii="Cambria Math" w:hAnsi="Cambria Math"/>
              </w:rPr>
              <m:t>,l</m:t>
            </m:r>
          </m:sub>
        </m:sSub>
      </m:oMath>
      <w:r>
        <w:t xml:space="preserve"> is the cause- and location-specific attributable fraction and </w:t>
      </w:r>
      <m:oMath>
        <m:sSubSup>
          <m:sSubSupPr>
            <m:ctrlPr>
              <w:rPr>
                <w:rFonts w:ascii="Cambria Math" w:hAnsi="Cambria Math"/>
              </w:rPr>
            </m:ctrlPr>
          </m:sSubSupPr>
          <m:e>
            <m:r>
              <w:rPr>
                <w:rFonts w:ascii="Cambria Math" w:hAnsi="Cambria Math"/>
              </w:rPr>
              <m:t>δ</m:t>
            </m:r>
          </m:e>
          <m:sub>
            <m:r>
              <w:rPr>
                <w:rFonts w:ascii="Cambria Math" w:hAnsi="Cambria Math"/>
              </w:rPr>
              <m:t>c</m:t>
            </m:r>
          </m:sub>
          <m:sup>
            <m:r>
              <w:rPr>
                <w:rFonts w:ascii="Cambria Math" w:hAnsi="Cambria Math"/>
              </w:rPr>
              <m:t>IR</m:t>
            </m:r>
          </m:sup>
        </m:sSub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sSubSup>
          <m:sSubSupPr>
            <m:ctrlPr>
              <w:rPr>
                <w:rFonts w:ascii="Cambria Math" w:hAnsi="Cambria Math"/>
              </w:rPr>
            </m:ctrlPr>
          </m:sSubSupPr>
          <m:e>
            <m:r>
              <w:rPr>
                <w:rFonts w:ascii="Cambria Math" w:hAnsi="Cambria Math"/>
              </w:rPr>
              <m:t>R</m:t>
            </m:r>
          </m:e>
          <m:sub>
            <m:r>
              <w:rPr>
                <w:rFonts w:ascii="Cambria Math" w:hAnsi="Cambria Math"/>
              </w:rPr>
              <m:t>c</m:t>
            </m:r>
          </m:sub>
          <m:sup>
            <m:r>
              <w:rPr>
                <w:rFonts w:ascii="Cambria Math" w:hAnsi="Cambria Math"/>
              </w:rPr>
              <m:t>IR</m:t>
            </m:r>
          </m:sup>
        </m:sSubSup>
      </m:oMath>
      <w:r>
        <w:t xml:space="preserve"> is the trial-based risk reduction.</w:t>
      </w:r>
    </w:p>
    <w:p w14:paraId="1E11B218" w14:textId="77777777" w:rsidR="00711131" w:rsidRDefault="00000000">
      <w:pPr>
        <w:pStyle w:val="BodyText"/>
      </w:pPr>
      <w:r>
        <w:t xml:space="preserve">Under the combined scenario, effects combine multiplicatively: </w:t>
      </w:r>
      <m:oMath>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total</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BP</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statin</m:t>
            </m:r>
          </m:sub>
        </m:sSub>
      </m:oMath>
      <w:r>
        <w:t>.</w:t>
      </w:r>
      <w:bookmarkEnd w:id="80"/>
      <w:bookmarkEnd w:id="92"/>
    </w:p>
    <w:sectPr w:rsidR="0071113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77E914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CE12013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30692273">
    <w:abstractNumId w:val="0"/>
  </w:num>
  <w:num w:numId="2" w16cid:durableId="16317884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878759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711131"/>
    <w:rsid w:val="0040223E"/>
    <w:rsid w:val="005D129F"/>
    <w:rsid w:val="007111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11B0B8"/>
  <w15:docId w15:val="{DDD1E880-492A-4FDD-A4B7-96EF9F822C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rsid w:val="0040223E"/>
    <w:pPr>
      <w:spacing w:after="100"/>
    </w:pPr>
  </w:style>
  <w:style w:type="paragraph" w:styleId="TOC2">
    <w:name w:val="toc 2"/>
    <w:basedOn w:val="Normal"/>
    <w:next w:val="Normal"/>
    <w:autoRedefine/>
    <w:uiPriority w:val="39"/>
    <w:rsid w:val="0040223E"/>
    <w:pPr>
      <w:spacing w:after="100"/>
      <w:ind w:left="240"/>
    </w:pPr>
  </w:style>
  <w:style w:type="paragraph" w:styleId="TOC3">
    <w:name w:val="toc 3"/>
    <w:basedOn w:val="Normal"/>
    <w:next w:val="Normal"/>
    <w:autoRedefine/>
    <w:uiPriority w:val="39"/>
    <w:rsid w:val="0040223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93/EURJPC/ZWAE281" TargetMode="External"/><Relationship Id="rId13" Type="http://schemas.openxmlformats.org/officeDocument/2006/relationships/hyperlink" Target="https://doi.org/10.1016/j.jacadv.2025.102412" TargetMode="External"/><Relationship Id="rId18" Type="http://schemas.openxmlformats.org/officeDocument/2006/relationships/hyperlink" Target="https://doi.org/10.1016/S0140-6736(24)00685-8/ATTACHMENT/92EF98AF-7EAF-4FFE-B0DE-C943208CF6F1/MMC3.PDF" TargetMode="External"/><Relationship Id="rId26"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2.png"/><Relationship Id="rId7" Type="http://schemas.openxmlformats.org/officeDocument/2006/relationships/hyperlink" Target="https://doi.org/10.1016/S0140-6736(20)31761-X" TargetMode="External"/><Relationship Id="rId12" Type="http://schemas.openxmlformats.org/officeDocument/2006/relationships/hyperlink" Target="https://doi.org/10.1016/S0140-6736(14)61368-4" TargetMode="External"/><Relationship Id="rId17" Type="http://schemas.openxmlformats.org/officeDocument/2006/relationships/hyperlink" Target="https://doi.org/10.1038/s41591-022-01890-4" TargetMode="External"/><Relationship Id="rId25" Type="http://schemas.openxmlformats.org/officeDocument/2006/relationships/image" Target="media/image6.png"/><Relationship Id="rId2" Type="http://schemas.openxmlformats.org/officeDocument/2006/relationships/styles" Target="styles.xml"/><Relationship Id="rId16" Type="http://schemas.openxmlformats.org/officeDocument/2006/relationships/hyperlink" Target="https://doi.org/10.5334/GH.1376" TargetMode="External"/><Relationship Id="rId20" Type="http://schemas.openxmlformats.org/officeDocument/2006/relationships/image" Target="media/image1.png"/><Relationship Id="rId29"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doi.org/10.1093/EURJPC/ZWAF769" TargetMode="External"/><Relationship Id="rId11" Type="http://schemas.openxmlformats.org/officeDocument/2006/relationships/hyperlink" Target="https://doi.org/10.1056/NEJMSA053935" TargetMode="External"/><Relationship Id="rId24" Type="http://schemas.openxmlformats.org/officeDocument/2006/relationships/image" Target="media/image5.png"/><Relationship Id="rId5" Type="http://schemas.openxmlformats.org/officeDocument/2006/relationships/hyperlink" Target="https://doi.org/10.1016/J.JACC.2025.09.324" TargetMode="External"/><Relationship Id="rId15" Type="http://schemas.openxmlformats.org/officeDocument/2006/relationships/hyperlink" Target="https://doi.org/10.1161/CIRCULATIONAHA.118.038160" TargetMode="External"/><Relationship Id="rId23" Type="http://schemas.openxmlformats.org/officeDocument/2006/relationships/image" Target="media/image4.png"/><Relationship Id="rId28" Type="http://schemas.openxmlformats.org/officeDocument/2006/relationships/image" Target="media/image9.png"/><Relationship Id="rId10" Type="http://schemas.openxmlformats.org/officeDocument/2006/relationships/hyperlink" Target="https://doi.org/10.1016/S0140-6736(15)01225-8/ATTACHMENT/603C0742-74C8-441A-9C4C-C02740B35023/MMC1.PDF" TargetMode="External"/><Relationship Id="rId19" Type="http://schemas.openxmlformats.org/officeDocument/2006/relationships/hyperlink" Target="https://doi.org/10.1016/S0140-6736(21)02347-3"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oi.org/10.1161/01.CIR.0000140668.91896.AE/ASSET/8DE2D8C6-674F-4BA5-BFEE-5AD659C5872D/ASSETS/GRAPHIC/13FF3.JPEG" TargetMode="External"/><Relationship Id="rId14" Type="http://schemas.openxmlformats.org/officeDocument/2006/relationships/hyperlink" Target="https://doi.org/10.1136/BMJOPEN-2022-061467" TargetMode="Externa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29</Pages>
  <Words>6556</Words>
  <Characters>41766</Characters>
  <Application>Microsoft Office Word</Application>
  <DocSecurity>0</DocSecurity>
  <Lines>870</Lines>
  <Paragraphs>423</Paragraphs>
  <ScaleCrop>false</ScaleCrop>
  <Company/>
  <LinksUpToDate>false</LinksUpToDate>
  <CharactersWithSpaces>47899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Projected cardiovascular health gains from achieving WHO targets for hypertension control and lipid-lowering therapy: a global modelling study, 2026-2050</dc:title>
  <dc:creator>William Garcia</dc:creator>
  <cp:keywords/>
  <cp:lastModifiedBy>William R Garcia</cp:lastModifiedBy>
  <cp:revision>2</cp:revision>
  <dcterms:created xsi:type="dcterms:W3CDTF">2026-04-02T04:06:00Z</dcterms:created>
  <dcterms:modified xsi:type="dcterms:W3CDTF">2026-04-02T04:08:00Z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False</vt:lpwstr>
  </property>
  <property fmtid="{D5CDD505-2E9C-101B-9397-08002B2CF9AE}" pid="3" name="bibliography">
    <vt:lpwstr>references.bib</vt:lpwstr>
  </property>
  <property fmtid="{D5CDD505-2E9C-101B-9397-08002B2CF9AE}" pid="4" name="date">
    <vt:lpwstr>April 01, 2026</vt:lpwstr>
  </property>
  <property fmtid="{D5CDD505-2E9C-101B-9397-08002B2CF9AE}" pid="5" name="fontsize">
    <vt:lpwstr>11pt</vt:lpwstr>
  </property>
  <property fmtid="{D5CDD505-2E9C-101B-9397-08002B2CF9AE}" pid="6" name="geometry">
    <vt:lpwstr>margin=1in</vt:lpwstr>
  </property>
  <property fmtid="{D5CDD505-2E9C-101B-9397-08002B2CF9AE}" pid="7" name="output">
    <vt:lpwstr/>
  </property>
  <property fmtid="{D5CDD505-2E9C-101B-9397-08002B2CF9AE}" pid="8" name="GrammarlyDocumentId">
    <vt:lpwstr>8e04275d-b875-46cf-ac09-27db6ab9393f</vt:lpwstr>
  </property>
</Properties>
</file>