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154.png" ContentType="image/png"/>
  <Override PartName="/word/media/rId134.png" ContentType="image/png"/>
  <Override PartName="/word/media/rId138.png" ContentType="image/png"/>
  <Override PartName="/word/media/rId150.png" ContentType="image/png"/>
  <Override PartName="/word/media/rId142.png" ContentType="image/png"/>
  <Override PartName="/word/media/rId117.png" ContentType="image/png"/>
  <Override PartName="/word/media/rId121.png" ContentType="image/png"/>
  <Override PartName="/word/media/rId158.png" ContentType="image/png"/>
  <Override PartName="/word/media/rId125.png" ContentType="image/png"/>
  <Override PartName="/word/media/rId162.png" ContentType="image/png"/>
  <Override PartName="/word/media/rId1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Projected cardiovascular health and economic gains from achieving WHO targets for hypertension control and lipid-lowering therapy: a global modelling study in 190 countries, 2026–2050</w:t>
      </w:r>
    </w:p>
    <w:p>
      <w:pPr>
        <w:pStyle w:val="Author"/>
      </w:pPr>
      <w:r>
        <w:t xml:space="preserve">WHO</w:t>
      </w:r>
      <w:r>
        <w:t xml:space="preserve"> </w:t>
      </w:r>
      <m:oMath>
        <m:r>
          <m:rPr>
            <m:sty m:val="p"/>
          </m:rPr>
          <m:t>⋅</m:t>
        </m:r>
      </m:oMath>
      <w:r>
        <w:t xml:space="preserve"> </w:t>
      </w:r>
      <w:r>
        <w:t xml:space="preserve">University of Washington</w:t>
      </w:r>
    </w:p>
    <w:p>
      <w:pPr>
        <w:pStyle w:val="Date"/>
      </w:pPr>
      <w:r>
        <w:t xml:space="preserve">June 09,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stract"/>
    <w:p>
      <w:pPr>
        <w:pStyle w:val="Heading1"/>
      </w:pPr>
      <w:r>
        <w:rPr>
          <w:rStyle w:val="SectionNumber"/>
        </w:rPr>
        <w:t xml:space="preserve">1</w:t>
      </w:r>
      <w:r>
        <w:tab/>
      </w:r>
      <w:r>
        <w:t xml:space="preserve">Abstract</w:t>
      </w:r>
    </w:p>
    <w:bookmarkStart w:id="20" w:name="structured-abstract"/>
    <w:p>
      <w:pPr>
        <w:pStyle w:val="Heading2"/>
      </w:pPr>
      <w:r>
        <w:rPr>
          <w:rStyle w:val="SectionNumber"/>
        </w:rPr>
        <w:t xml:space="preserve">1.1</w:t>
      </w:r>
      <w:r>
        <w:tab/>
      </w:r>
      <w:r>
        <w:t xml:space="preserve">Structured abstract</w:t>
      </w:r>
    </w:p>
    <w:p>
      <w:pPr>
        <w:pStyle w:val="FirstParagraph"/>
      </w:pPr>
      <w:r>
        <w:t xml:space="preserve">Background</w:t>
      </w:r>
    </w:p>
    <w:p>
      <w:pPr>
        <w:pStyle w:val="BodyText"/>
      </w:pPr>
      <w:r>
        <w:t xml:space="preserve">High systolic blood pressure and high LDL cholesterol are leading modifiable drivers of cardiovascular disease (CVD) burden worldwide, but the joint impact of achieving WHO targets for hypertension control and lipid-lowering therapy has not been quantified.</w:t>
      </w:r>
    </w:p>
    <w:p>
      <w:pPr>
        <w:pStyle w:val="BodyText"/>
      </w:pPr>
      <w:r>
        <w:t xml:space="preserve">Methods</w:t>
      </w:r>
    </w:p>
    <w:p>
      <w:pPr>
        <w:pStyle w:val="BodyText"/>
      </w:pPr>
      <w:r>
        <w:t xml:space="preserve">We did a comparative risk assessment modelling study using a multi-state transition model for 190 countries, 2026 - 2050. The model projected deaths from ischaemic heart disease, ischaemic stroke, intracerebral haemorrhage, and hypertensive heart disease by age, sex, and country, using WHO Global Health Estimates, GBD 2023, UN World Population Prospects 2024, NCD Risk Factor Collaboration data, and effect estimates. We compared business-as-usual with three intervention scenarios: hypertension control in the general population to reach the WHO target of 150 million people controlled by 2030; 80% blood pressure control among people with diabetes by 2030; 50% statin coverage among eligible adults aged 40 years or older by 2030; and a combined scenario. The primary outcome was cumulative CVD deaths averted during 2026 - 2050.</w:t>
      </w:r>
    </w:p>
    <w:p>
      <w:pPr>
        <w:pStyle w:val="BodyText"/>
      </w:pPr>
      <w:r>
        <w:t xml:space="preserve">Findings</w:t>
      </w:r>
    </w:p>
    <w:p>
      <w:pPr>
        <w:pStyle w:val="BodyText"/>
      </w:pPr>
      <w:r>
        <w:t xml:space="preserve">Under business-as-usual, the model projected 696.2 million CVD deaths during 2026 - 2050. Compared with business-as-usual, achieving the general-population hypertension target was projected to avert 29.4 million deaths and 390.2 million DALYs, the diabetes-specific hypertension target 16.2 million deaths and 149.8 million DALYs, and the statin target 21.3 million deaths and 263.1 million DALYs. Achieving all three targets simultaneously was projected to avert 65.6 million CVD deaths and 787.0 million DALYs, equivalent to 9.4% of cumulative business-as-usual mortality.</w:t>
      </w:r>
    </w:p>
    <w:p>
      <w:pPr>
        <w:pStyle w:val="BodyText"/>
      </w:pPr>
      <w:r>
        <w:t xml:space="preserve">Interpretation</w:t>
      </w:r>
    </w:p>
    <w:p>
      <w:pPr>
        <w:pStyle w:val="BodyText"/>
      </w:pPr>
      <w:r>
        <w:t xml:space="preserve">Achieving WHO targets for blood pressure control and lipid-lowering therapy could yield large and complementary reductions in CVD mortality and disability. The largest absolute gains were projected in middle-income countries and the largest proportional gains in low-income settings. These estimates represent technical potential under assumptions of linear scale-up, full adherence, and no secular change in baseline risk-factor distributions.</w:t>
      </w:r>
    </w:p>
    <w:p>
      <w:pPr>
        <w:pStyle w:val="BodyText"/>
      </w:pPr>
      <w:r>
        <w:t xml:space="preserve">Funding</w:t>
      </w:r>
    </w:p>
    <w:p>
      <w:pPr>
        <w:pStyle w:val="BodyText"/>
      </w:pPr>
      <w:r>
        <w:t xml:space="preserve">This work is funded by the World Health Organization.</w:t>
      </w:r>
    </w:p>
    <w:p>
      <w:r>
        <w:br w:type="page"/>
      </w:r>
    </w:p>
    <w:bookmarkEnd w:id="20"/>
    <w:bookmarkStart w:id="21" w:name="research-in-context"/>
    <w:p>
      <w:pPr>
        <w:pStyle w:val="Heading2"/>
      </w:pPr>
      <w:r>
        <w:rPr>
          <w:rStyle w:val="SectionNumber"/>
        </w:rPr>
        <w:t xml:space="preserve">1.2</w:t>
      </w:r>
      <w:r>
        <w:tab/>
      </w:r>
      <w:r>
        <w:t xml:space="preserve">Research in context</w:t>
      </w:r>
    </w:p>
    <w:p>
      <w:pPr>
        <w:pStyle w:val="FirstParagraph"/>
      </w:pPr>
      <w:r>
        <w:t xml:space="preserve">Evidence before this study</w:t>
      </w:r>
    </w:p>
    <w:p>
      <w:pPr>
        <w:pStyle w:val="BodyText"/>
      </w:pPr>
      <w:r>
        <w:t xml:space="preserve">We searched PubMed and Embase from inception to 31 March 2026 for multi-country modelling studies estimating the mortality impact of hypertension control or lipid-lowering therapy, using search terms combining cardiovascular mortality, blood pressure lowering, statin therapy, global or multi-country modelling, and projection; we supplemented this with reference list review of included studies and of WHO and NCD Countdown 2030 technical reports. The clinical case for both interventions is settled: meta-analyses by Ettehad and colleagues</w:t>
      </w:r>
      <w:r>
        <w:t xml:space="preserve"> </w:t>
      </w:r>
      <w:r>
        <w:t xml:space="preserve">(2016)</w:t>
      </w:r>
      <w:r>
        <w:t xml:space="preserve"> </w:t>
      </w:r>
      <w:r>
        <w:t xml:space="preserve">and by the Cholesterol Treatment Trialists’ Collaboration</w:t>
      </w:r>
      <w:r>
        <w:t xml:space="preserve"> </w:t>
      </w:r>
      <w:r>
        <w:t xml:space="preserve">(Fulcher et al. 2015)</w:t>
      </w:r>
      <w:r>
        <w:t xml:space="preserve"> </w:t>
      </w:r>
      <w:r>
        <w:t xml:space="preserve">provide the trial-based effect sizes on which current WHO treatment guidelines rest. What has remained unquantified is the combined global mortality impact of treating both risk factors simultaneously at scale. Kontis and colleagues</w:t>
      </w:r>
      <w:r>
        <w:t xml:space="preserve"> </w:t>
      </w:r>
      <w:r>
        <w:t xml:space="preserve">(2019)</w:t>
      </w:r>
      <w:r>
        <w:t xml:space="preserve"> </w:t>
      </w:r>
      <w:r>
        <w:t xml:space="preserve">projected that antihypertensive scale-up to 70% coverage could delay up to 39.4 million deaths over 25 years; Pickersgill and colleagues</w:t>
      </w:r>
      <w:r>
        <w:t xml:space="preserve"> </w:t>
      </w:r>
      <w:r>
        <w:t xml:space="preserve">(2022)</w:t>
      </w:r>
      <w:r>
        <w:t xml:space="preserve"> </w:t>
      </w:r>
      <w:r>
        <w:t xml:space="preserve">estimated 76–130 million deaths averted under the 80-80-80 hypertension target but did not model statin therapy. The NCD Countdown 2030 analyses identified both interventions as among the most cost-efficient pathways to SDG target 3.4 but did not quantify their joint impact</w:t>
      </w:r>
      <w:r>
        <w:t xml:space="preserve"> </w:t>
      </w:r>
      <w:r>
        <w:t xml:space="preserve">(Watkins et al. 2022; Bennett et al. 2020)</w:t>
      </w:r>
      <w:r>
        <w:t xml:space="preserve">. No published study has simultaneously projected the mortality consequences of achieving the 150-million hypertension control target, the Global Diabetes Compact 80% control target for people with diabetes, and the 50% statin coverage target across 190 countries, evaluated individually and in combination against a common business-as-usual baseline.</w:t>
      </w:r>
    </w:p>
    <w:p>
      <w:pPr>
        <w:pStyle w:val="BodyText"/>
      </w:pPr>
      <w:r>
        <w:t xml:space="preserve">Added value of this study</w:t>
      </w:r>
    </w:p>
    <w:p>
      <w:pPr>
        <w:pStyle w:val="BodyText"/>
      </w:pPr>
      <w:r>
        <w:t xml:space="preserve">Using a discrete-time multi-state transition model calibrated to GBD 2023, WHO Global Health Estimates, and UNWPP 2024 data, this study estimates that achieving all three WHO targets could avert 65.6 million CVD deaths and 787.0 million DALYs across 190 countries from 2026 to 2050. These projections assume full adherence, linear scale-up to 2030, and no secular change in baseline risk-factor distributions — assumptions that define a technical ceiling rather than a likely outcome. The model credits only coverage increments above country-specific baselines to avoid double-counting existing treatment benefits and combines intervention effects multiplicatively to reflect the partial independence of blood pressure and lipid-lowering pathways. Disaggregation by cause of death, age, sex, WHO region, and World Bank income group allows direct comparison of where the health gains are largest and for whom they accrue.</w:t>
      </w:r>
    </w:p>
    <w:p>
      <w:pPr>
        <w:pStyle w:val="BodyText"/>
      </w:pPr>
      <w:r>
        <w:t xml:space="preserve">Implications of all the available evidence</w:t>
      </w:r>
    </w:p>
    <w:p>
      <w:pPr>
        <w:pStyle w:val="BodyText"/>
      </w:pPr>
      <w:r>
        <w:t xml:space="preserve">Trial evidence, prior global modelling, and the present projections consistently point in the same direction: blood pressure control and statin therapy are complementary, not competing, priorities, and the health gains from pursuing both together exceed what either achieves alone. The largest absolute benefits fall in lower-middle-income and upper-middle-income countries; the largest proportional gains are in low-income countries and the African region, where the distance between current coverage and the WHO targets is greatest — and where the cost of inaction compounds year by year. How much of this projected ceiling is reachable in practice will depend on health system capacity, drug supply, and whether the political commitments made at the 2025 UN High-level Meeting on NCDs are matched by sustained financing and implementation support.</w:t>
      </w:r>
    </w:p>
    <w:p>
      <w:r>
        <w:br w:type="page"/>
      </w:r>
    </w:p>
    <w:bookmarkEnd w:id="21"/>
    <w:bookmarkEnd w:id="22"/>
    <w:bookmarkStart w:id="23" w:name="introduction"/>
    <w:p>
      <w:pPr>
        <w:pStyle w:val="Heading1"/>
      </w:pPr>
      <w:r>
        <w:rPr>
          <w:rStyle w:val="SectionNumber"/>
        </w:rPr>
        <w:t xml:space="preserve">2</w:t>
      </w:r>
      <w:r>
        <w:tab/>
      </w:r>
      <w:r>
        <w:t xml:space="preserve">Introduction</w:t>
      </w:r>
    </w:p>
    <w:p>
      <w:pPr>
        <w:pStyle w:val="FirstParagraph"/>
      </w:pPr>
      <w:r>
        <w:t xml:space="preserve">Cardiovascular diseases (CVDs) remain the world’s leading cause of death and disability-adjusted life years (DALYs)</w:t>
      </w:r>
      <w:r>
        <w:t xml:space="preserve"> </w:t>
      </w:r>
      <w:r>
        <w:t xml:space="preserve">(Mensah et al. 2023; Chong et al. 2024)</w:t>
      </w:r>
      <w:r>
        <w:t xml:space="preserve">. CVD deaths increased globally from 13.1 million in 1990 to 19.2 million in 2023, with ischaemic heart disease, intracerebral haemorrhagic stroke, ischaemic stroke, and hypertensive heart disease among the leading causes</w:t>
      </w:r>
      <w:r>
        <w:t xml:space="preserve"> </w:t>
      </w:r>
      <w:r>
        <w:t xml:space="preserve">(GBD 2023 Cardiovascular Diseases and Risks Collaborators 2025)</w:t>
      </w:r>
      <w:r>
        <w:t xml:space="preserve">. Age-standardized CVD DALY rates were highest in low and low-middle Socio-demographic Index (SDI) settings, and the number of prevalent CVD cases more than doubled between 1990 and 2023, rising from 311 million to 626 million</w:t>
      </w:r>
      <w:r>
        <w:t xml:space="preserve"> </w:t>
      </w:r>
      <w:r>
        <w:t xml:space="preserve">(GBD 2023 Cardiovascular Diseases and Risks Collaborators 2025)</w:t>
      </w:r>
      <w:r>
        <w:t xml:space="preserve">. In 2023, modifiable risk factors accounted for 79.6% of CVD burden, equivalent to 347 million DALYs — underscoring that the majority of this burden is preventable</w:t>
      </w:r>
      <w:r>
        <w:t xml:space="preserve"> </w:t>
      </w:r>
      <w:r>
        <w:t xml:space="preserve">(Chong et al. 2024; Agboyibor et al. 2025)</w:t>
      </w:r>
      <w:r>
        <w:t xml:space="preserve">.</w:t>
      </w:r>
    </w:p>
    <w:p>
      <w:pPr>
        <w:pStyle w:val="BodyText"/>
      </w:pPr>
      <w:r>
        <w:t xml:space="preserve">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w:t>
      </w:r>
      <w:r>
        <w:t xml:space="preserve"> </w:t>
      </w:r>
      <w:r>
        <w:t xml:space="preserve">(Geldsetzer et al. 2019; Global Cardiovascular Risk Consortium" 2023)</w:t>
      </w:r>
      <w:r>
        <w:t xml:space="preserve">. The scale of unmet need is striking: 1.4 billion adults live with high blood pressure, yet only 23% have it under control</w:t>
      </w:r>
      <w:r>
        <w:t xml:space="preserve"> </w:t>
      </w:r>
      <w:r>
        <w:t xml:space="preserve">(World Health Organization 2025)</w:t>
      </w:r>
      <w:r>
        <w:t xml:space="preserve">. The estimated global prevalence of hypercholesterolaemia was 24.1% in 2025, and that of hypertriglyceridaemia 28.8%, with statin therapy coverage remaining far below levels needed for meaningful population-level risk reduction</w:t>
      </w:r>
      <w:r>
        <w:t xml:space="preserve"> </w:t>
      </w:r>
      <w:r>
        <w:t xml:space="preserve">(Marcus et al. 2022)</w:t>
      </w:r>
      <w:r>
        <w:t xml:space="preserve">.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w:t>
      </w:r>
      <w:r>
        <w:t xml:space="preserve"> </w:t>
      </w:r>
      <w:r>
        <w:t xml:space="preserve">(Agboyibor et al. 2025)</w:t>
      </w:r>
      <w:r>
        <w:t xml:space="preserve">.</w:t>
      </w:r>
    </w:p>
    <w:p>
      <w:pPr>
        <w:pStyle w:val="BodyText"/>
      </w:pPr>
      <w:r>
        <w:t xml:space="preserve">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w:t>
      </w:r>
      <w:r>
        <w:t xml:space="preserve"> </w:t>
      </w:r>
      <w:r>
        <w:t xml:space="preserve">(Hunt et al. 2021; Gregg et al. 2023)</w:t>
      </w:r>
      <w:r>
        <w:t xml:space="preserve">. The WHO NCD Global Monitoring Framework set a target of at least 50% of eligible high-risk individuals receiving effective drug therapies, including statins, by 2025</w:t>
      </w:r>
      <w:r>
        <w:t xml:space="preserve"> </w:t>
      </w:r>
      <w:r>
        <w:t xml:space="preserve">(World Health Organization 2011)</w:t>
      </w:r>
      <w:r>
        <w:t xml:space="preserve">;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pPr>
        <w:pStyle w:val="BodyText"/>
      </w:pPr>
      <w:r>
        <w:t xml:space="preserve">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constraining the ability of national governments, international donors, and health institutions to prioritise investment and plan implementation at scale.</w:t>
      </w:r>
    </w:p>
    <w:p>
      <w:pPr>
        <w:pStyle w:val="BodyText"/>
      </w:pPr>
      <w:r>
        <w:t xml:space="preserve">This study addresses that gap by estimating the health and economic outcomes associated with achieving WHO targets for hypertension control and lipid-lowering therapy across 190 countries from 2026 to 2050, using a comparative risk assessment modelling framework applied to country-specific epidemiological and demographic data.</w:t>
      </w:r>
    </w:p>
    <w:bookmarkEnd w:id="23"/>
    <w:bookmarkStart w:id="34" w:name="methods"/>
    <w:p>
      <w:pPr>
        <w:pStyle w:val="Heading1"/>
      </w:pPr>
      <w:r>
        <w:rPr>
          <w:rStyle w:val="SectionNumber"/>
        </w:rPr>
        <w:t xml:space="preserve">3</w:t>
      </w:r>
      <w:r>
        <w:tab/>
      </w:r>
      <w:r>
        <w:t xml:space="preserve">Methods</w:t>
      </w:r>
    </w:p>
    <w:bookmarkStart w:id="24" w:name="study-design"/>
    <w:p>
      <w:pPr>
        <w:pStyle w:val="Heading2"/>
      </w:pPr>
      <w:r>
        <w:rPr>
          <w:rStyle w:val="SectionNumber"/>
        </w:rPr>
        <w:t xml:space="preserve">3.1</w:t>
      </w:r>
      <w:r>
        <w:tab/>
      </w:r>
      <w:r>
        <w:t xml:space="preserve">Study design</w:t>
      </w:r>
    </w:p>
    <w:p>
      <w:pPr>
        <w:pStyle w:val="FirstParagraph"/>
      </w:pPr>
      <w:r>
        <w:t xml:space="preserve">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Three health states — Well, Sick, and Dead — were tracked for each cause, stratified by single year of age (20–95), sex, and country. The model was calibrated to observed epidemiological data from 2019 and projected forward using annual time steps (see Multi-State Transition Model). The model structure and intervention framework were informed by prior global modelling and implementation evidence, including the Global 80-80-80 hypertension control targets</w:t>
      </w:r>
      <w:r>
        <w:t xml:space="preserve"> </w:t>
      </w:r>
      <w:r>
        <w:t xml:space="preserve">(Pickersgill et al. 2022)</w:t>
      </w:r>
      <w:r>
        <w:t xml:space="preserve">, and the budget impact of the WHO HEARTS technical package for cardiovascular disease management</w:t>
      </w:r>
      <w:r>
        <w:t xml:space="preserve"> </w:t>
      </w:r>
      <w:r>
        <w:t xml:space="preserve">(Garcia et al. 2026)</w:t>
      </w:r>
      <w:r>
        <w:t xml:space="preserve">.</w:t>
      </w:r>
    </w:p>
    <w:bookmarkEnd w:id="24"/>
    <w:bookmarkStart w:id="25" w:name="data-sources"/>
    <w:p>
      <w:pPr>
        <w:pStyle w:val="Heading2"/>
      </w:pPr>
      <w:r>
        <w:rPr>
          <w:rStyle w:val="SectionNumber"/>
        </w:rPr>
        <w:t xml:space="preserve">3.2</w:t>
      </w:r>
      <w:r>
        <w:tab/>
      </w:r>
      <w:r>
        <w:t xml:space="preserve">Data sources</w:t>
      </w:r>
    </w:p>
    <w:p>
      <w:pPr>
        <w:pStyle w:val="FirstParagraph"/>
      </w:pPr>
      <w:r>
        <w:t xml:space="preserve">Death counts and mortality rates were derived from the World Health Organization Global Health Estimates (GHE). Prevalence estimates were obtained from the Global Burden of Disease (GBD) 2023 study. Population denominators were taken from the United Nations World Population Prospects 2024 revision, using single-year age- and sex-specific projections for each country. Blood pressure distributions were sourced from the NCD Risk Factor Collaboration, and baseline hypertension control rates were based on country-level analyses provided by WHO. Relative risks for blood pressure reduction were based on the meta-analysis by Ettehad et al.</w:t>
      </w:r>
      <w:r>
        <w:t xml:space="preserve"> </w:t>
      </w:r>
      <w:r>
        <w:t xml:space="preserve">(2016)</w:t>
      </w:r>
      <w:r>
        <w:t xml:space="preserve">, stratified by blood pressure category and cause. COVID-19 excess mortality was applied only to 2020–2021. Statin coverage estimates were derived from published and imputed country-level data, with intervention effect sizes drawn from established randomised controlled trial evidence</w:t>
      </w:r>
      <w:r>
        <w:t xml:space="preserve"> </w:t>
      </w:r>
      <w:r>
        <w:t xml:space="preserve">(Fulcher et al. 2015)</w:t>
      </w:r>
      <w:r>
        <w:t xml:space="preserve">.</w:t>
      </w:r>
    </w:p>
    <w:bookmarkEnd w:id="25"/>
    <w:bookmarkStart w:id="26" w:name="intervention-scenarios"/>
    <w:p>
      <w:pPr>
        <w:pStyle w:val="Heading2"/>
      </w:pPr>
      <w:r>
        <w:rPr>
          <w:rStyle w:val="SectionNumber"/>
        </w:rPr>
        <w:t xml:space="preserve">3.3</w:t>
      </w:r>
      <w:r>
        <w:tab/>
      </w:r>
      <w:r>
        <w:t xml:space="preserve">Intervention scenarios</w:t>
      </w:r>
    </w:p>
    <w:p>
      <w:pPr>
        <w:pStyle w:val="FirstParagraph"/>
      </w:pPr>
      <w:r>
        <w:t xml:space="preserve">Three active intervention scenarios were modelled against a business-as-usual (BAU) reference in which 2024 coverage rates were held constant through 2050:</w:t>
      </w:r>
    </w:p>
    <w:p>
      <w:pPr>
        <w:numPr>
          <w:ilvl w:val="0"/>
          <w:numId w:val="1001"/>
        </w:numPr>
      </w:pPr>
      <w:r>
        <w:rPr>
          <w:b/>
          <w:bCs/>
        </w:rPr>
        <w:t xml:space="preserve">Hypertension control (general population):</w:t>
      </w:r>
      <w:r>
        <w:t xml:space="preserve"> </w:t>
      </w:r>
      <w:r>
        <w:t xml:space="preserve">Linear scale-up of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 (see Hypertension Control Intervention Model).</w:t>
      </w:r>
    </w:p>
    <w:p>
      <w:pPr>
        <w:numPr>
          <w:ilvl w:val="0"/>
          <w:numId w:val="1001"/>
        </w:numPr>
      </w:pPr>
      <w:r>
        <w:rPr>
          <w:b/>
          <w:bCs/>
        </w:rPr>
        <w:t xml:space="preserve">Hypertension control (diabetes subgroup):</w:t>
      </w:r>
      <w:r>
        <w:t xml:space="preserve"> </w:t>
      </w:r>
      <w:r>
        <w:t xml:space="preserve">Linear scale-up to 80% blood pressure control among people with diagnosed diabetes by 2030. Effect sizes were weighted by country-level diabetes prevalence and blended with general-population hypertension effects (see Hypertension Control Intervention Model: Diabetes Component).</w:t>
      </w:r>
    </w:p>
    <w:p>
      <w:pPr>
        <w:numPr>
          <w:ilvl w:val="0"/>
          <w:numId w:val="1001"/>
        </w:numPr>
      </w:pPr>
      <w:r>
        <w:rPr>
          <w:b/>
          <w:bCs/>
        </w:rPr>
        <w:t xml:space="preserve">Lipid-lowering therapy:</w:t>
      </w:r>
      <w:r>
        <w:t xml:space="preserve"> </w:t>
      </w:r>
      <w:r>
        <w:t xml:space="preserve">Linear scale-up to 50% statin coverage among eligible adults (aged 40 years and older) by 2030. Effects were restricted to IHD and ischaemic stroke and applied through an attributable-fraction approach, with an atherosclerotic fraction of 0.60 for ischaemic stroke (see Statin Therapy Intervention Model).</w:t>
      </w:r>
    </w:p>
    <w:p>
      <w:pPr>
        <w:pStyle w:val="FirstParagraph"/>
      </w:pPr>
      <w:r>
        <w:t xml:space="preserve">A fourth combination scenario applied all three interventions simultaneously, with effects combining multiplicatively across interventions (see Multi-State Transition Model).</w:t>
      </w:r>
    </w:p>
    <w:bookmarkEnd w:id="26"/>
    <w:bookmarkStart w:id="27" w:name="modelling-framework"/>
    <w:p>
      <w:pPr>
        <w:pStyle w:val="Heading2"/>
      </w:pPr>
      <w:r>
        <w:rPr>
          <w:rStyle w:val="SectionNumber"/>
        </w:rPr>
        <w:t xml:space="preserve">3.4</w:t>
      </w:r>
      <w:r>
        <w:tab/>
      </w:r>
      <w:r>
        <w:t xml:space="preserve">Modelling framework</w:t>
      </w:r>
    </w:p>
    <w:p>
      <w:pPr>
        <w:pStyle w:val="FirstParagraph"/>
      </w:pPr>
      <w:r>
        <w:t xml:space="preserve">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e>
            <m:r>
              <m:t>ε</m:t>
            </m:r>
          </m:e>
          <m:sub>
            <m:r>
              <m:t>I</m:t>
            </m:r>
            <m:r>
              <m:t>R</m:t>
            </m:r>
          </m:sub>
        </m:sSub>
      </m:oMath>
      <w:r>
        <w:t xml:space="preserve">,</w:t>
      </w:r>
      <w:r>
        <w:t xml:space="preserve"> </w:t>
      </w:r>
      <m:oMath>
        <m:sSub>
          <m:e>
            <m:r>
              <m:t>ε</m:t>
            </m:r>
          </m:e>
          <m:sub>
            <m:r>
              <m:t>C</m:t>
            </m:r>
            <m:r>
              <m:t>F</m:t>
            </m:r>
          </m:sub>
        </m:sSub>
      </m:oMath>
      <w:r>
        <w:t xml:space="preserve">), which are computed from the intervention-specific coverage increment above baseline. Only incremental coverage above baseline was credited with new effects, avoiding double-counting of existing treatment benefits.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w:t>
      </w:r>
      <w:r>
        <w:t xml:space="preserve"> </w:t>
      </w: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statin</m:t>
            </m:r>
          </m:sub>
        </m:sSub>
      </m:oMath>
      <w:r>
        <w:t xml:space="preserve"> </w:t>
      </w:r>
      <w:r>
        <w:t xml:space="preserve">(see Mathematical Notation Summary).</w:t>
      </w:r>
    </w:p>
    <w:bookmarkEnd w:id="27"/>
    <w:bookmarkStart w:id="28" w:name="calibration"/>
    <w:p>
      <w:pPr>
        <w:pStyle w:val="Heading2"/>
      </w:pPr>
      <w:r>
        <w:rPr>
          <w:rStyle w:val="SectionNumber"/>
        </w:rPr>
        <w:t xml:space="preserve">3.5</w:t>
      </w:r>
      <w:r>
        <w:tab/>
      </w:r>
      <w:r>
        <w:t xml:space="preserve">Calibration</w:t>
      </w:r>
    </w:p>
    <w:p>
      <w:pPr>
        <w:pStyle w:val="FirstParagraph"/>
      </w:pPr>
      <w:r>
        <w:t xml:space="preserve">Incidence (IR) and case fatality (CF) parameters were calibrated jointly to ensure consistency with external data sources: incidence rates were adjusted to reproduce age-, sex-, country-, and cause-specific incidence patterns from GBD 2023, while case-fatality parameters were calibrated to match observed cause-specific mortality counts from WHO GHE within each stratum. COVID-19 excess mortality was incorporated for 2020–2021 only (see Key Parameter Appendix).</w:t>
      </w:r>
    </w:p>
    <w:bookmarkEnd w:id="28"/>
    <w:bookmarkStart w:id="30" w:name="data-and-code-availability"/>
    <w:p>
      <w:pPr>
        <w:pStyle w:val="Heading2"/>
      </w:pPr>
      <w:r>
        <w:rPr>
          <w:rStyle w:val="SectionNumber"/>
        </w:rPr>
        <w:t xml:space="preserve">3.6</w:t>
      </w:r>
      <w:r>
        <w:tab/>
      </w:r>
      <w:r>
        <w:t xml:space="preserve">Data and code availability</w:t>
      </w:r>
    </w:p>
    <w:p>
      <w:pPr>
        <w:pStyle w:val="FirstParagraph"/>
      </w:pPr>
      <w:r>
        <w:t xml:space="preserve">All input data used in this analysis are publicly available from their original sources (e.g., WHO Global Health Estimates). Processed inputs and model code are provided in the project repository:</w:t>
      </w:r>
      <w:r>
        <w:t xml:space="preserve"> </w:t>
      </w:r>
      <w:hyperlink r:id="rId29">
        <w:r>
          <w:rPr>
            <w:rStyle w:val="Hyperlink"/>
          </w:rPr>
          <w:t xml:space="preserve">https://github.com/Disease-Control-Priorities/uw-who-cvdtargets</w:t>
        </w:r>
      </w:hyperlink>
      <w:r>
        <w:t xml:space="preserve">. Model outputs (results) can be accessed and downloaded at the same link. All analyses were conducted in R (version 4.5.1), and full scripts are openly available in the repository.</w:t>
      </w:r>
    </w:p>
    <w:bookmarkEnd w:id="30"/>
    <w:bookmarkStart w:id="31" w:name="outcomes"/>
    <w:p>
      <w:pPr>
        <w:pStyle w:val="Heading2"/>
      </w:pPr>
      <w:r>
        <w:rPr>
          <w:rStyle w:val="SectionNumber"/>
        </w:rPr>
        <w:t xml:space="preserve">3.7</w:t>
      </w:r>
      <w:r>
        <w:tab/>
      </w:r>
      <w:r>
        <w:t xml:space="preserve">Outcomes</w:t>
      </w:r>
    </w:p>
    <w:p>
      <w:pPr>
        <w:pStyle w:val="FirstParagraph"/>
      </w:pPr>
      <w:r>
        <w:t xml:space="preserve">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and disability-adjusted life years (DALYs) averted.</w:t>
      </w:r>
    </w:p>
    <w:p>
      <w:pPr>
        <w:pStyle w:val="BodyText"/>
      </w:pPr>
      <w:r>
        <w:t xml:space="preserve">Burden of disease was quantified using three complementary metrics: years of life lost (YLL), years lived with disability (YLD), and disability-adjusted life years (DALY), where</w:t>
      </w:r>
      <w:r>
        <w:t xml:space="preserve"> </w:t>
      </w:r>
      <m:oMath>
        <m:r>
          <m:t>D</m:t>
        </m:r>
        <m:r>
          <m:t>A</m:t>
        </m:r>
        <m:r>
          <m:t>L</m:t>
        </m:r>
        <m:r>
          <m:t>Y</m:t>
        </m:r>
        <m:r>
          <m:rPr>
            <m:sty m:val="p"/>
          </m:rPr>
          <m:t>=</m:t>
        </m:r>
        <m:r>
          <m:t>Y</m:t>
        </m:r>
        <m:r>
          <m:t>L</m:t>
        </m:r>
        <m:r>
          <m:t>L</m:t>
        </m:r>
        <m:r>
          <m:rPr>
            <m:sty m:val="p"/>
          </m:rPr>
          <m:t>+</m:t>
        </m:r>
        <m:r>
          <m:t>Y</m:t>
        </m:r>
        <m:r>
          <m:t>L</m:t>
        </m:r>
        <m:r>
          <m:t>D</m:t>
        </m:r>
      </m:oMath>
      <w:r>
        <w:t xml:space="preserve">. Remaining life expectancy at each age of death was obtained from the United Nations World Population Prospects 2024 revision (medium variant), providing country- and year-specific values. Disability weights were derived from GBD 2023 data as the ratio of cause-specific YLDs to prevalence for each cause and location. No age weighting or time discounting was applied; all estimates are undiscounted (see Supplemental Material: DALY Calculation Methods).</w:t>
      </w:r>
    </w:p>
    <w:bookmarkEnd w:id="31"/>
    <w:bookmarkStart w:id="32" w:name="sensitivity-and-uncertainty-analysis"/>
    <w:p>
      <w:pPr>
        <w:pStyle w:val="Heading2"/>
      </w:pPr>
      <w:r>
        <w:rPr>
          <w:rStyle w:val="SectionNumber"/>
        </w:rPr>
        <w:t xml:space="preserve">3.8</w:t>
      </w:r>
      <w:r>
        <w:tab/>
      </w:r>
      <w:r>
        <w:t xml:space="preserve">Sensitivity and uncertainty analysis</w:t>
      </w:r>
    </w:p>
    <w:p>
      <w:pPr>
        <w:pStyle w:val="FirstParagraph"/>
      </w:pPr>
      <w:r>
        <w:t xml:space="preserve">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bookmarkEnd w:id="32"/>
    <w:bookmarkStart w:id="33" w:name="sec:econ-methods"/>
    <w:p>
      <w:pPr>
        <w:pStyle w:val="Heading2"/>
      </w:pPr>
      <w:r>
        <w:rPr>
          <w:rStyle w:val="SectionNumber"/>
        </w:rPr>
        <w:t xml:space="preserve">3.9</w:t>
      </w:r>
      <w:r>
        <w:tab/>
      </w:r>
      <w:r>
        <w:t xml:space="preserve">Economic valuation</w:t>
      </w:r>
    </w:p>
    <w:p>
      <w:pPr>
        <w:pStyle w:val="FirstParagraph"/>
      </w:pPr>
      <w:r>
        <w:t xml:space="preserve">The economic value of averted CVD mortality was estimated using the value of a statistical life year (VSLY). This metric quantifies the monetary value that society places on marginal reductions in mortality risk and is recommended in guidelines for benefit–cost analyses of health interventions, particularly those targeting age-specific populations such as adults</w:t>
      </w:r>
      <w:r>
        <w:t xml:space="preserve"> </w:t>
      </w:r>
      <w:r>
        <w:t xml:space="preserve">(Robinson, Hammitt, and O’Keeffe 2019; Robinson et al. 2019)</w:t>
      </w:r>
      <w:r>
        <w:t xml:space="preserve">.</w:t>
      </w:r>
    </w:p>
    <w:p>
      <w:pPr>
        <w:pStyle w:val="BodyText"/>
      </w:pPr>
      <w:r>
        <w:t xml:space="preserve">Country-specific VSLY values were derived by transferring a United States reference VSL to each country using gross national income (GNI) per capita at purchasing power parity (PPP) and an income elasticity. Following Robinson et al.</w:t>
      </w:r>
      <w:r>
        <w:t xml:space="preserve"> </w:t>
      </w:r>
      <w:r>
        <w:t xml:space="preserve">(2019)</w:t>
      </w:r>
      <w:r>
        <w:t xml:space="preserve">, the primary estimate used a differential income elasticity of 0.8 for countries at or above US income and 1.2 for countries below. A uniform elasticity of 1.5 was used as a sensitivity bound. GNI per capita was obtained from the World Bank and projected beyond the last observed year using SSP2 GDP growth rates from IIASA SSP 3.1</w:t>
      </w:r>
      <w:r>
        <w:t xml:space="preserve"> </w:t>
      </w:r>
      <w:r>
        <w:t xml:space="preserve">(IIASA Energy, Climate, and Environment (ECE) Program 2024)</w:t>
      </w:r>
      <w:r>
        <w:t xml:space="preserve">.</w:t>
      </w:r>
    </w:p>
    <w:p>
      <w:pPr>
        <w:pStyle w:val="BodyText"/>
      </w:pPr>
      <w:r>
        <w:t xml:space="preserve">The constant VSLY was derived as</w:t>
      </w:r>
      <w:r>
        <w:t xml:space="preserve"> </w:t>
      </w:r>
      <m:oMath>
        <m:r>
          <m:rPr>
            <m:nor/>
            <m:sty m:val="p"/>
          </m:rPr>
          <m:t>VSLY</m:t>
        </m:r>
        <m:r>
          <m:rPr>
            <m:sty m:val="p"/>
          </m:rPr>
          <m:t>=</m:t>
        </m:r>
        <m:r>
          <m:rPr>
            <m:nor/>
            <m:sty m:val="p"/>
          </m:rPr>
          <m:t>VSL</m:t>
        </m:r>
        <m:r>
          <m:rPr>
            <m:sty m:val="p"/>
          </m:rPr>
          <m:t>/</m:t>
        </m:r>
        <m:sSub>
          <m:e>
            <m:r>
              <m:t>e</m:t>
            </m:r>
          </m:e>
          <m:sub>
            <m:acc>
              <m:accPr>
                <m:chr m:val="‾"/>
              </m:accPr>
              <m:e>
                <m:r>
                  <m:t>a</m:t>
                </m:r>
              </m:e>
            </m:acc>
          </m:sub>
        </m:sSub>
      </m:oMath>
      <w:r>
        <w:t xml:space="preserve">, where</w:t>
      </w:r>
      <w:r>
        <w:t xml:space="preserve"> </w:t>
      </w:r>
      <m:oMath>
        <m:sSub>
          <m:e>
            <m:r>
              <m:t>e</m:t>
            </m:r>
          </m:e>
          <m:sub>
            <m:acc>
              <m:accPr>
                <m:chr m:val="‾"/>
              </m:accPr>
              <m:e>
                <m:r>
                  <m:t>a</m:t>
                </m:r>
              </m:e>
            </m:acc>
          </m:sub>
        </m:sSub>
      </m:oMath>
      <w:r>
        <w:t xml:space="preserve"> </w:t>
      </w:r>
      <w:r>
        <w:t xml:space="preserve">is the undiscounted remaining life expectancy at the population-weighted average adult age. The monetary value of averted mortality in each country-year was then computed as the product of the VSLY and the total undiscounted life-years gained, where life-years gained were calculated as</w:t>
      </w:r>
      <w:r>
        <w:t xml:space="preserve"> </w:t>
      </w:r>
      <m:oMath>
        <m:nary>
          <m:naryPr>
            <m:chr m:val="∑"/>
            <m:limLoc m:val="undOvr"/>
            <m:subHide m:val="off"/>
            <m:supHide m:val="on"/>
          </m:naryPr>
          <m:sub>
            <m:r>
              <m:t>a</m:t>
            </m:r>
          </m:sub>
          <m:sup>
            <m:r>
              <m:t>​</m:t>
            </m:r>
          </m:sup>
          <m:e>
            <m:r>
              <m:rPr>
                <m:nor/>
                <m:sty m:val="p"/>
              </m:rPr>
              <m:t>deaths averted</m:t>
            </m:r>
          </m:e>
        </m:nary>
        <m:d>
          <m:dPr>
            <m:begChr m:val="("/>
            <m:sepChr m:val=""/>
            <m:endChr m:val=")"/>
            <m:grow/>
          </m:dPr>
          <m:e>
            <m:r>
              <m:t>a</m:t>
            </m:r>
          </m:e>
        </m:d>
        <m:r>
          <m:rPr>
            <m:sty m:val="p"/>
          </m:rPr>
          <m:t>×</m:t>
        </m:r>
        <m:sSub>
          <m:e>
            <m:r>
              <m:t>e</m:t>
            </m:r>
          </m:e>
          <m:sub>
            <m:r>
              <m:t>x</m:t>
            </m:r>
          </m:sub>
        </m:sSub>
        <m:d>
          <m:dPr>
            <m:begChr m:val="("/>
            <m:sepChr m:val=""/>
            <m:endChr m:val=")"/>
            <m:grow/>
          </m:dPr>
          <m:e>
            <m:r>
              <m:t>a</m:t>
            </m:r>
          </m:e>
        </m:d>
      </m:oMath>
      <w:r>
        <w:t xml:space="preserve">, with</w:t>
      </w:r>
      <w:r>
        <w:t xml:space="preserve"> </w:t>
      </w:r>
      <m:oMath>
        <m:sSub>
          <m:e>
            <m:r>
              <m:t>e</m:t>
            </m:r>
          </m:e>
          <m:sub>
            <m:r>
              <m:t>x</m:t>
            </m:r>
          </m:sub>
        </m:sSub>
        <m:d>
          <m:dPr>
            <m:begChr m:val="("/>
            <m:sepChr m:val=""/>
            <m:endChr m:val=")"/>
            <m:grow/>
          </m:dPr>
          <m:e>
            <m:r>
              <m:t>a</m:t>
            </m:r>
          </m:e>
        </m:d>
      </m:oMath>
      <w:r>
        <w:t xml:space="preserve"> </w:t>
      </w:r>
      <w:r>
        <w:t xml:space="preserve">being the remaining life expectancy at the age of death from UNWPP 2024.</w:t>
      </w:r>
    </w:p>
    <w:p>
      <w:pPr>
        <w:pStyle w:val="BodyText"/>
      </w:pPr>
      <w:r>
        <w:t xml:space="preserve">Annual monetary values were discounted to 2026 present value at a calendar-year discount rate of 3%. Results are presented as cumulative present values and as a proportion of discounted national income (population</w:t>
      </w:r>
      <w:r>
        <w:t xml:space="preserve"> </w:t>
      </w:r>
      <m:oMath>
        <m:r>
          <m:rPr>
            <m:sty m:val="p"/>
          </m:rPr>
          <m:t>×</m:t>
        </m:r>
      </m:oMath>
      <w:r>
        <w:t xml:space="preserve"> </w:t>
      </w:r>
      <w:r>
        <w:t xml:space="preserve">GNI per capita) to facilitate cross-country comparison. A similar reporting approach has been used in prior studies</w:t>
      </w:r>
      <w:r>
        <w:t xml:space="preserve"> </w:t>
      </w:r>
      <w:r>
        <w:t xml:space="preserve">(Verguet et al. 2024; Chang et al. 2024)</w:t>
      </w:r>
      <w:r>
        <w:t xml:space="preserve">. Full mathematical details are provided in the Supplemental Material (see Economic Valuation Methods).</w:t>
      </w:r>
    </w:p>
    <w:bookmarkEnd w:id="33"/>
    <w:bookmarkEnd w:id="34"/>
    <w:bookmarkStart w:id="43" w:name="results"/>
    <w:p>
      <w:pPr>
        <w:pStyle w:val="Heading1"/>
      </w:pPr>
      <w:r>
        <w:rPr>
          <w:rStyle w:val="SectionNumber"/>
        </w:rPr>
        <w:t xml:space="preserve">4</w:t>
      </w:r>
      <w:r>
        <w:tab/>
      </w:r>
      <w:r>
        <w:t xml:space="preserve">Results</w:t>
      </w:r>
    </w:p>
    <w:bookmarkStart w:id="35" w:name="baseline-global-trajectory-20262050"/>
    <w:p>
      <w:pPr>
        <w:pStyle w:val="Heading2"/>
      </w:pPr>
      <w:r>
        <w:rPr>
          <w:rStyle w:val="SectionNumber"/>
        </w:rPr>
        <w:t xml:space="preserve">4.1</w:t>
      </w:r>
      <w:r>
        <w:tab/>
      </w:r>
      <w:r>
        <w:t xml:space="preserve">Baseline global trajectory, 2026–2050</w:t>
      </w:r>
    </w:p>
    <w:p>
      <w:pPr>
        <w:pStyle w:val="FirstParagraph"/>
      </w:pPr>
      <w:r>
        <w:t xml:space="preserve">Under the business-as-usual (BAU) scenario, in which hypertension control and statin coverage remained at 2024 levels, the model projected 696.2 million cumulative CVD deaths from the four modelled causes across 190 countries during 2026–2050 (Supplemental Figure S1). Ischaemic heart disease accounted for the largest share of deaths, followed by ischaemic stroke, intracerebral haemorrhage, and hypertensive heart disease. Incident and prevalent CVD cases were projected to increase throughout the study period, driven largely by population ageing. Although age-standardised CVD mortality rates declined modestly under BAU, the absolute number of deaths increased because population growth and ageing outpaced reductions in age-specific mortality rates.</w:t>
      </w:r>
    </w:p>
    <w:bookmarkEnd w:id="35"/>
    <w:bookmarkStart w:id="36" w:name="X871da7f6b6c54f07659c565381184c9d41c1a7f"/>
    <w:p>
      <w:pPr>
        <w:pStyle w:val="Heading2"/>
      </w:pPr>
      <w:r>
        <w:rPr>
          <w:rStyle w:val="SectionNumber"/>
        </w:rPr>
        <w:t xml:space="preserve">4.2</w:t>
      </w:r>
      <w:r>
        <w:tab/>
      </w:r>
      <w:r>
        <w:t xml:space="preserve">Global impact of achieving the hypertension control target</w:t>
      </w:r>
    </w:p>
    <w:p>
      <w:pPr>
        <w:pStyle w:val="FirstParagraph"/>
      </w:pPr>
      <w:r>
        <w:t xml:space="preserve">Achievement of the WHO target for hypertension control in the general population was projected to avert 29.4 million CVD deaths during 2026-2050, equivalent to 4.2% of cumulative BAU mortality (Table 1; Supplemental Figure S2). The annual number of deaths averted increased steadily from the start of scale-up in 2026, reaching 930 thousand in 2030 and 1,589 thousand in 2050, reflecting the cumulative benefit of sustained blood pressure control over time (Supplemental Figure S3). Benefits were observed across all four CVD causes, with the largest absolute reductions in ischaemic heart disease and ischaemic stroke, followed by intracerebral haemorrhage and hypertensive heart disease (Table 2). Over the full study period, general-population hypertension control was projected to avert 390.2 million DALYs.</w:t>
      </w:r>
    </w:p>
    <w:p>
      <w:pPr>
        <w:pStyle w:val="BodyText"/>
      </w:pPr>
      <w:r>
        <w:t xml:space="preserve">Targeted hypertension control among people with diabetes, assuming scale-up to 80% control by 2030, was projected to avert a further 16.2 million deaths, corresponding to 2.3% of cumulative BAU mortality, and 149.8 million DALYs during 2026-2050. These gains reflect the higher underlying cardiovascular risk in this subgroup and the greater absolute benefit associated with improved blood pressure control.</w:t>
      </w:r>
    </w:p>
    <w:bookmarkEnd w:id="36"/>
    <w:bookmarkStart w:id="37" w:name="X06aa6fccb3cc5459d6dcbe6aec4f67e900334e9"/>
    <w:p>
      <w:pPr>
        <w:pStyle w:val="Heading2"/>
      </w:pPr>
      <w:r>
        <w:rPr>
          <w:rStyle w:val="SectionNumber"/>
        </w:rPr>
        <w:t xml:space="preserve">4.3</w:t>
      </w:r>
      <w:r>
        <w:tab/>
      </w:r>
      <w:r>
        <w:t xml:space="preserve">Global impact of achieving the lipid-lowering therapy target</w:t>
      </w:r>
    </w:p>
    <w:p>
      <w:pPr>
        <w:pStyle w:val="FirstParagraph"/>
      </w:pPr>
      <w:r>
        <w:t xml:space="preserve">Scale-up of lipid-lowering therapy to 50% coverage among eligible adults by 2030 was projected to avert 21.3 million deaths during 2026-2050, equivalent to 3.1% of cumulative BAU mortality (Table 1). Because statin effects were restricted to ischaemic heart disease and ischaemic stroke, the distribution of averted deaths differed from that in the hypertension scenarios: 20.8 million deaths averted were attributable to reductions in ischaemic heart disease and 1.5 million to reductions in ischaemic stroke (Table 2). The temporal pattern of benefit was similar to that of hypertension control, with gains increasing after 2030 as sustained treatment coverage translated into cumulative reductions in cardiovascular risk (Supplemental Figure S3). Overall, lipid-lowering therapy was projected to avert 263.1 million DALYs over the study period.</w:t>
      </w:r>
    </w:p>
    <w:bookmarkEnd w:id="37"/>
    <w:bookmarkStart w:id="38" w:name="combined-impact-of-both-targets"/>
    <w:p>
      <w:pPr>
        <w:pStyle w:val="Heading2"/>
      </w:pPr>
      <w:r>
        <w:rPr>
          <w:rStyle w:val="SectionNumber"/>
        </w:rPr>
        <w:t xml:space="preserve">4.4</w:t>
      </w:r>
      <w:r>
        <w:tab/>
      </w:r>
      <w:r>
        <w:t xml:space="preserve">Combined impact of both targets</w:t>
      </w:r>
    </w:p>
    <w:p>
      <w:pPr>
        <w:pStyle w:val="FirstParagraph"/>
      </w:pPr>
      <w:r>
        <w:t xml:space="preserve">Simultaneous achievement of all three WHO targets was projected to avert 65.6 million CVD deaths during 2026-2050, representing 9.4% of cumulative BAU mortality (Table 1; Supplemental Figure S2). The combined scenario yielded greater benefit than any single intervention alone, consistent with the complementary effects of hypertension control and statin therapy acting through partially overlapping but distinct causal pathways. By 2050, the combined scenario was projected to avert approximately 3,474 thousand deaths annually relative to BAU (Figure 1). Across the full study period, it was projected to avert 787.0 million DALYs, comprising 769.3 million YLLs and 17.7 million YLDs (Table 3).</w:t>
      </w:r>
    </w:p>
    <w:p>
      <w:pPr>
        <w:pStyle w:val="BodyText"/>
      </w:pPr>
      <w:r>
        <w:t xml:space="preserve">Under the combined scenario, ischaemic heart disease accounted for the largest number of deaths averted (30.6 million), followed by intracerebral haemorrhage (21.8 million), ischaemic stroke (9.9 million), and hypertensive heart disease (3.3 million; Table 2).</w:t>
      </w:r>
    </w:p>
    <w:bookmarkEnd w:id="38"/>
    <w:bookmarkStart w:id="39" w:name="Xfee0f011bec7907973059fb083e13bcabb33fcf"/>
    <w:p>
      <w:pPr>
        <w:pStyle w:val="Heading2"/>
      </w:pPr>
      <w:r>
        <w:rPr>
          <w:rStyle w:val="SectionNumber"/>
        </w:rPr>
        <w:t xml:space="preserve">4.5</w:t>
      </w:r>
      <w:r>
        <w:tab/>
      </w:r>
      <w:r>
        <w:t xml:space="preserve">Heterogeneity across countries and regions</w:t>
      </w:r>
    </w:p>
    <w:p>
      <w:pPr>
        <w:pStyle w:val="FirstParagraph"/>
      </w:pPr>
      <w:r>
        <w:t xml:space="preserve">Projected health gains varied across WHO regions. These differences reflected the combined influence of population size, baseline CVD burden, and treatment coverage gaps, with the largest proportional reductions in regions characterised by high hypertension prevalence and low baseline treatment coverage (Figure 3; Table 4).</w:t>
      </w:r>
    </w:p>
    <w:p>
      <w:pPr>
        <w:pStyle w:val="BodyText"/>
      </w:pPr>
      <w:r>
        <w:t xml:space="preserve">When stratified by World Bank income group, low-income and lower-middle-income countries together accounted for a substantial share of avertable deaths and DALYs, underscoring the equity implications of achieving these global targets (Table 5). Upper-middle-income countries, which include several of the world’s most populous countries, contributed the largest absolute number of deaths and DALYs averted. High-income countries showed smaller proportional gains, consistent with higher baseline levels of hypertension control and statin coverage.</w:t>
      </w:r>
    </w:p>
    <w:bookmarkEnd w:id="39"/>
    <w:bookmarkStart w:id="40" w:name="distribution-by-age-and-sex"/>
    <w:p>
      <w:pPr>
        <w:pStyle w:val="Heading2"/>
      </w:pPr>
      <w:r>
        <w:rPr>
          <w:rStyle w:val="SectionNumber"/>
        </w:rPr>
        <w:t xml:space="preserve">4.6</w:t>
      </w:r>
      <w:r>
        <w:tab/>
      </w:r>
      <w:r>
        <w:t xml:space="preserve">Distribution by age and sex</w:t>
      </w:r>
    </w:p>
    <w:p>
      <w:pPr>
        <w:pStyle w:val="FirstParagraph"/>
      </w:pPr>
      <w:r>
        <w:t xml:space="preserve">The projected benefits of all interventions were concentrated in older adults. Under the combined scenario, adults aged 70 years and older accounted for 47.2 million of the 65.6 million deaths averted, reflecting the steep increase in CVD mortality with age (Figure 2). Adults younger than 70 years accounted for 18.4 million deaths averted, indicating a substantial reduction in premature CVD mortality, consistent with SDG target 3.4.</w:t>
      </w:r>
    </w:p>
    <w:p>
      <w:pPr>
        <w:pStyle w:val="BodyText"/>
      </w:pPr>
      <w:r>
        <w:t xml:space="preserve">Males accounted for 30.4 million averted deaths and females for 35.2 million, consistent with higher age-specific CVD mortality rates in males. The relative contributions of hypertension control and lipid-lowering therapy were broadly similar in both sexes, although the absolute number of deaths averted was greater among males across all intervention scenarios (Figure 2).</w:t>
      </w:r>
    </w:p>
    <w:p>
      <w:pPr>
        <w:pStyle w:val="BodyText"/>
      </w:pPr>
      <w:r>
        <w:t xml:space="preserve">The relevance of these intervention strategies extends beyond aggregate mortality reduction to the prevention of premature death among working-age populations. Of the 65.6 million deaths averted under the combined scenario, 18.4 million occurred among adults younger than 70 years — the age threshold used by SDG target 3.4 to define premature NCD mortality. This concentration of avertable deaths in younger age groups reflects both the high incidence of acute cardiovascular events in mid-life, particularly among males (30.4 million averted deaths in males versus 35.2 million in females), and the large treatment coverage gaps that persist in the age groups most affected by untreated hypertension and hypercholesterolaemia. Preventing these deaths has implications that reach beyond the health sector: premature CVD mortality removes economically active individuals from the labour force, reduces household income, and imposes caregiving burdens on surviving family members, with disproportionate consequences in low-income and lower-middle-income countries where social protection systems are weakest. The finding that a substantial fraction of avertable deaths falls within working-age populations strengthens the economic and equity case for accelerated scale-up of both hypertension control and lipid-lowering therapy.</w:t>
      </w:r>
    </w:p>
    <w:bookmarkEnd w:id="40"/>
    <w:bookmarkStart w:id="41" w:name="sec:econ-results"/>
    <w:p>
      <w:pPr>
        <w:pStyle w:val="Heading2"/>
      </w:pPr>
      <w:r>
        <w:rPr>
          <w:rStyle w:val="SectionNumber"/>
        </w:rPr>
        <w:t xml:space="preserve">4.7</w:t>
      </w:r>
      <w:r>
        <w:tab/>
      </w:r>
      <w:r>
        <w:t xml:space="preserve">Economic outcomes</w:t>
      </w:r>
    </w:p>
    <w:p>
      <w:pPr>
        <w:pStyle w:val="FirstParagraph"/>
      </w:pPr>
      <w:r>
        <w:t xml:space="preserve">Globally, the economic value of avoided CVD mortality from all interventions between 2026 and 2050 is equivalent to 1.5% of annual income, amounting to a cumulative value of US$62.1 trillion (discounted at 3% using the value of a statistical life year approach; Table 6; Supplemental Figure S8).</w:t>
      </w:r>
    </w:p>
    <w:bookmarkEnd w:id="41"/>
    <w:bookmarkStart w:id="42" w:name="sensitivity-and-uncertainty-results"/>
    <w:p>
      <w:pPr>
        <w:pStyle w:val="Heading2"/>
      </w:pPr>
      <w:r>
        <w:rPr>
          <w:rStyle w:val="SectionNumber"/>
        </w:rPr>
        <w:t xml:space="preserve">4.8</w:t>
      </w:r>
      <w:r>
        <w:tab/>
      </w:r>
      <w:r>
        <w:t xml:space="preserve">Sensitivity and uncertainty results</w:t>
      </w:r>
    </w:p>
    <w:p>
      <w:pPr>
        <w:pStyle w:val="FirstParagraph"/>
      </w:pPr>
      <w:r>
        <w:t xml:space="preserve">This analysis reports central estimates based on mean input parameters from GBD 2023, meta-analytic treatment effect estimates, and assumptions of linear intervention scale-up. Formal probabilistic sensitivity analyses incorporating uncertainty in epidemiological inputs and intervention effects are planned in subsequent work. These findings should therefore be interpreted as central scenario estimates under the main model assumptions.</w:t>
      </w:r>
    </w:p>
    <w:bookmarkEnd w:id="42"/>
    <w:bookmarkEnd w:id="43"/>
    <w:bookmarkStart w:id="53" w:name="discussion"/>
    <w:p>
      <w:pPr>
        <w:pStyle w:val="Heading1"/>
      </w:pPr>
      <w:r>
        <w:rPr>
          <w:rStyle w:val="SectionNumber"/>
        </w:rPr>
        <w:t xml:space="preserve">5</w:t>
      </w:r>
      <w:r>
        <w:tab/>
      </w:r>
      <w:r>
        <w:t xml:space="preserve">Discussion</w:t>
      </w:r>
    </w:p>
    <w:bookmarkStart w:id="44" w:name="principal-findings"/>
    <w:p>
      <w:pPr>
        <w:pStyle w:val="Heading2"/>
      </w:pPr>
      <w:r>
        <w:rPr>
          <w:rStyle w:val="SectionNumber"/>
        </w:rPr>
        <w:t xml:space="preserve">5.1</w:t>
      </w:r>
      <w:r>
        <w:tab/>
      </w:r>
      <w:r>
        <w:t xml:space="preserve">Principal findings</w:t>
      </w:r>
    </w:p>
    <w:p>
      <w:pPr>
        <w:pStyle w:val="FirstParagraph"/>
      </w:pPr>
      <w:r>
        <w:t xml:space="preserve">In this study, simultaneous achievement of the three WHO cardiovascular risk-factor targets across 190 countries between 2026 and 2050 was projected to avert 65.6 million CVD deaths and 787.0 million DALYs, equivalent to 9.4% of cumulative business-as-usual mortality. Of the three interventions, hypertension control in the general population produced the largest single effect, averting 29.4 million deaths (4.2% of BAU mortality). This finding likely reflects both the broad causal role of elevated blood pressure across all four modelled CVD outcomes and the large unmet need for hypertension treatment and control, particularly in low-income and lower-middle-income countries. Lipid-lowering therapy was projected to avert 21.3 million deaths (3.1%), with benefits concentrated mainly in ischaemic heart disease and ischaemic stroke, in keeping with the more specific pathway through which LDL cholesterol lowering reduces cardiovascular risk. Targeted hypertension control among people with diabetes was projected to avert a further 16.2 million deaths (2.3%), a substantial effect relative to the size of this population, consistent with their high underlying cardiovascular risk. Importantly, the combined scenario produced greater benefit than would be expected from simply adding the individual intervention effects. This pattern is consistent with blood pressure control and statin therapy acting through partly independent pathways, so that each intervention reduces some of the residual risk left after the others are applied. Taken together, these findings suggest that pursuing both intervention types in parallel is likely to yield larger health gains than prioritising either strategy alone.</w:t>
      </w:r>
    </w:p>
    <w:bookmarkEnd w:id="44"/>
    <w:bookmarkStart w:id="45" w:name="X2a9bb67ed82774f7a99ecbdf531cab4a472e02d"/>
    <w:p>
      <w:pPr>
        <w:pStyle w:val="Heading2"/>
      </w:pPr>
      <w:r>
        <w:rPr>
          <w:rStyle w:val="SectionNumber"/>
        </w:rPr>
        <w:t xml:space="preserve">5.2</w:t>
      </w:r>
      <w:r>
        <w:tab/>
      </w:r>
      <w:r>
        <w:t xml:space="preserve">Interpretation of hypertension control findings</w:t>
      </w:r>
    </w:p>
    <w:p>
      <w:pPr>
        <w:pStyle w:val="FirstParagraph"/>
      </w:pPr>
      <w:r>
        <w:t xml:space="preserve">The primacy of hypertension control in our projections — 29.4 million deaths averted from the general-population intervention alone, rising to 45.5 million when the diabetes-specific target is added — reflects a straightforward epidemiological reality: raised systolic blood pressure is the single largest attributable risk factor for CVD mortality globally</w:t>
      </w:r>
      <w:r>
        <w:t xml:space="preserve"> </w:t>
      </w:r>
      <w:r>
        <w:t xml:space="preserve">(Vollset et al. 2024)</w:t>
      </w:r>
      <w:r>
        <w:t xml:space="preserve">, it acts across four mechanistically distinct disease pathways simultaneously, and the gap between where most countries stand today and where the WHO target requires them to be remains vast. As of 2024, approximately 1.4 billion adults were living with hypertension worldwide, yet fewer than one in four had the condition adequately controlled, and in 99 countries national control rates remain below 20%</w:t>
      </w:r>
      <w:r>
        <w:t xml:space="preserve"> </w:t>
      </w:r>
      <w:r>
        <w:t xml:space="preserve">(World Health Organization 2025)</w:t>
      </w:r>
      <w:r>
        <w:t xml:space="preserve">. The progressive annual trajectory of benefit we project — 930 thousand deaths averted per year by 2030, growing to 1,589 thousand by 2050 — reflects the compounding logic of sustained coverage: every year of treatment prevents incident events and simultaneously builds a population with lower cumulative exposure to elevated pressure, reducing case fatality in those who already live with disease. The finding is consistent with the 80-80-80 modelling by Pickersgill and colleagues</w:t>
      </w:r>
      <w:r>
        <w:t xml:space="preserve"> </w:t>
      </w:r>
      <w:r>
        <w:t xml:space="preserve">(2022)</w:t>
      </w:r>
      <w:r>
        <w:t xml:space="preserve">, who estimated 76–130 million all-cause deaths averted over a comparable projection period under full hypertension cascade achievement — a broader target than the 150-million-person WHO control goal modelled here.</w:t>
      </w:r>
    </w:p>
    <w:p>
      <w:pPr>
        <w:pStyle w:val="BodyText"/>
      </w:pPr>
      <w:r>
        <w:t xml:space="preserve">The additional 16.2 million deaths averted from targeted control among people with diabetes reflects the well-established amplification of cardiovascular risk in this subgroup: diabetes exacerbates endothelial dysfunction, accelerates atherosclerosis, and clusters with hypertension and dyslipidaemia in ways that make each risk factor more dangerous than it would be in isolation</w:t>
      </w:r>
      <w:r>
        <w:t xml:space="preserve"> </w:t>
      </w:r>
      <w:r>
        <w:t xml:space="preserve">(American Diabetes Association Professional Practice Committee 2024)</w:t>
      </w:r>
      <w:r>
        <w:t xml:space="preserve">. A cross-sectional study of 38 low-income and middle-income countries found that fewer than half of people with diagnosed diabetes had achieved blood pressure targets</w:t>
      </w:r>
      <w:r>
        <w:t xml:space="preserve"> </w:t>
      </w:r>
      <w:r>
        <w:t xml:space="preserve">(Moran and Gupta 2023)</w:t>
      </w:r>
      <w:r>
        <w:t xml:space="preserve">, and fewer than one in ten were using statins</w:t>
      </w:r>
      <w:r>
        <w:t xml:space="preserve"> </w:t>
      </w:r>
      <w:r>
        <w:t xml:space="preserve">(Y. Li et al. 2024)</w:t>
      </w:r>
      <w:r>
        <w:t xml:space="preserve"> </w:t>
      </w:r>
      <w:r>
        <w:t xml:space="preserve">— figures that illustrate how far current practice in many settings lies from the 80% control standard demanded by the Global Diabetes Compact</w:t>
      </w:r>
      <w:r>
        <w:t xml:space="preserve"> </w:t>
      </w:r>
      <w:r>
        <w:t xml:space="preserve">(Gregg et al. 2023)</w:t>
      </w:r>
      <w:r>
        <w:t xml:space="preserve">. Reaching that standard does not require novel technologies; it requires the same primary-care building blocks — standardised treatment protocols, reliable drug supply, team-based follow-up — that the HEARTS technical package has already demonstrated are implementable at scale in more than 40 low-income and middle-income countries</w:t>
      </w:r>
      <w:r>
        <w:t xml:space="preserve"> </w:t>
      </w:r>
      <w:r>
        <w:t xml:space="preserve">(Garcia et al. 2026; Banigbe et al. 2025)</w:t>
      </w:r>
      <w:r>
        <w:t xml:space="preserve">.</w:t>
      </w:r>
    </w:p>
    <w:bookmarkEnd w:id="45"/>
    <w:bookmarkStart w:id="46" w:name="Xf35506f9c332e98967539573b75894b01753136"/>
    <w:p>
      <w:pPr>
        <w:pStyle w:val="Heading2"/>
      </w:pPr>
      <w:r>
        <w:rPr>
          <w:rStyle w:val="SectionNumber"/>
        </w:rPr>
        <w:t xml:space="preserve">5.3</w:t>
      </w:r>
      <w:r>
        <w:tab/>
      </w:r>
      <w:r>
        <w:t xml:space="preserve">Interpretation of lipid-lowering therapy findings</w:t>
      </w:r>
    </w:p>
    <w:p>
      <w:pPr>
        <w:pStyle w:val="FirstParagraph"/>
      </w:pPr>
      <w:r>
        <w:t xml:space="preserve">The projection that statin scale-up to 50% coverage could avert 21.3 million CVD deaths over 2026–2050 deserves to be read alongside one uncomfortable fact: across 41 low-income and middle-income countries, statin use among those eligible for primary prevention was approximately 8%, and for secondary prevention approximately 22% — and the WHO 50% coverage target was not achieved by a single income group, region, or, with one exception, country</w:t>
      </w:r>
      <w:r>
        <w:t xml:space="preserve"> </w:t>
      </w:r>
      <w:r>
        <w:t xml:space="preserve">(Marcus et al. 2022)</w:t>
      </w:r>
      <w:r>
        <w:t xml:space="preserve">. The intervention modelled here is therefore not an incremental improvement on a system approaching its target; it is a near-doubling of coverage starting from a very low base in most of the world. The 20.8 million deaths averted from ischaemic heart disease — which accounts for nearly all of the statin effect — reflects both the high atherosclerotic fraction of IHD burden globally and the size of the absolute risk reduction achievable from LDL cholesterol lowering in populations with currently near-zero treatment rates. The asymmetry between IHD and ischaemic stroke estimates — 20.8 million versus 1.5 million — is mechanistically expected: the atherosclerotic fraction of ischaemic stroke that is sensitive to statin therapy is substantially smaller than for IHD, and we applied this restriction through a 0.60 atherosclerotic proportion for ischaemic stroke case fatality, consistent with established estimates</w:t>
      </w:r>
      <w:r>
        <w:t xml:space="preserve"> </w:t>
      </w:r>
      <w:r>
        <w:t xml:space="preserve">(Petty et al. 1999)</w:t>
      </w:r>
      <w:r>
        <w:t xml:space="preserve">. The fact that statin therapy nonetheless contributes 3.1% of business-as-usual mortality averted despite this mechanistic constraint strengthens the argument for treating lipid-lowering access as a standalone NCD priority rather than a residual consideration after blood pressure programmes are in place. The barriers are not ones of clinical uncertainty — the evidence from the Cholesterol Treatment Trialists’ Collaboration is among the most robust in preventive medicine</w:t>
      </w:r>
      <w:r>
        <w:t xml:space="preserve"> </w:t>
      </w:r>
      <w:r>
        <w:t xml:space="preserve">(Reith et al. 2026)</w:t>
      </w:r>
      <w:r>
        <w:t xml:space="preserve"> </w:t>
      </w:r>
      <w:r>
        <w:t xml:space="preserve">— but structural: irregular drug supply, absence of lipid testing at primary care level, provider unfamiliarity with simplified prescribing protocols, and out-of-pocket costs that make long-term adherence inaccessible for many patients in resource-constrained settings</w:t>
      </w:r>
      <w:r>
        <w:t xml:space="preserve"> </w:t>
      </w:r>
      <w:r>
        <w:t xml:space="preserve">(Marcus et al. 2022; C. Li et al. 2024; Fulcher et al. 2015)</w:t>
      </w:r>
      <w:r>
        <w:t xml:space="preserve">.</w:t>
      </w:r>
    </w:p>
    <w:bookmarkEnd w:id="46"/>
    <w:bookmarkStart w:id="47" w:name="combined-policy-meaning"/>
    <w:p>
      <w:pPr>
        <w:pStyle w:val="Heading2"/>
      </w:pPr>
      <w:r>
        <w:rPr>
          <w:rStyle w:val="SectionNumber"/>
        </w:rPr>
        <w:t xml:space="preserve">5.4</w:t>
      </w:r>
      <w:r>
        <w:tab/>
      </w:r>
      <w:r>
        <w:t xml:space="preserve">Combined policy meaning</w:t>
      </w:r>
    </w:p>
    <w:p>
      <w:pPr>
        <w:pStyle w:val="FirstParagraph"/>
      </w:pPr>
      <w:r>
        <w:t xml:space="preserve">The most consequential finding in this study may not be the headline total but the structure beneath it. The combined scenario averted more than the sum of its parts not because the effects happened to overlap neatly, but because blood pressure control and LDL cholesterol lowering act through genuinely different pathways to CVD harm. Raised systolic pressure injures the endothelium, stiffens arterial walls, and drives haemodynamic stress across all vascular beds; elevated LDL drives lipid deposition and atherosclerotic plaque progression, predominantly in coronary and cerebrovascular territories. Each intervention therefore reaches risk that the other leaves largely untouched, and the multiplicative combination we modelled reflects that biological reality (see Multi-State Transition Model). This independence is well established in randomised trial evidence and underpins the integrated antihypertensive-plus-statin protocols that Moran and colleagues have designed specifically for primary care delivery in low-income and middle-income countries — protocols that allow a non-physician health worker to initiate both treatments in a single clinic visit, without waiting for lipid laboratory results, using age, diabetes status, and blood pressure level as eligibility criteria</w:t>
      </w:r>
      <w:r>
        <w:t xml:space="preserve"> </w:t>
      </w:r>
      <w:r>
        <w:t xml:space="preserve">(Moran et al. 2024; Watkins et al. 2022)</w:t>
      </w:r>
      <w:r>
        <w:t xml:space="preserve">.</w:t>
      </w:r>
    </w:p>
    <w:p>
      <w:pPr>
        <w:pStyle w:val="BodyText"/>
      </w:pPr>
      <w:r>
        <w:t xml:space="preserve">The practical implication of multiplicative independence is that concentrating investment in either hypertension control or statin therapy, while treating the other as a future priority, surrenders preventable deaths that only the deferred intervention would have reached. The SECURE trial demonstrated that a polypill combining an antihypertensive with atorvastatin improved adherence and reduced major cardiovascular events by 24% relative to usual care among post-myocardial infarction patients — direct clinical evidence that co-delivery is not only biologically justified but practically achievable</w:t>
      </w:r>
      <w:r>
        <w:t xml:space="preserve"> </w:t>
      </w:r>
      <w:r>
        <w:t xml:space="preserve">(Castellano et al. 2022)</w:t>
      </w:r>
      <w:r>
        <w:t xml:space="preserve">. The cardiovascular polypill, added to the WHO Model List of Essential Medicines in 2023 as a fixed-dose combination of antihypertensive and statin therapy, extends this delivery logic to primary prevention, with cost-effectiveness analyses from low-income and middle-income country settings reporting incremental cost-effectiveness ratios well below conventional willingness-to-pay thresholds</w:t>
      </w:r>
      <w:r>
        <w:t xml:space="preserve"> </w:t>
      </w:r>
      <w:r>
        <w:t xml:space="preserve">(Kohli-Lynch et al. 2025)</w:t>
      </w:r>
      <w:r>
        <w:t xml:space="preserve">. The convergence of the HEARTS operational framework, the integrated protocol evidence, the polypill’s inclusion on the essential medicines list, and the multiplicative biology of combined risk-factor reduction collectively make the case that these are not two programmes to be sequenced but one patient-centred encounter, engineered to happen at the same moment, at the same primary care facility, for the same person.</w:t>
      </w:r>
    </w:p>
    <w:bookmarkEnd w:id="47"/>
    <w:bookmarkStart w:id="48" w:name="equity-and-implementation-implications"/>
    <w:p>
      <w:pPr>
        <w:pStyle w:val="Heading2"/>
      </w:pPr>
      <w:r>
        <w:rPr>
          <w:rStyle w:val="SectionNumber"/>
        </w:rPr>
        <w:t xml:space="preserve">5.5</w:t>
      </w:r>
      <w:r>
        <w:tab/>
      </w:r>
      <w:r>
        <w:t xml:space="preserve">Equity and implementation implications</w:t>
      </w:r>
    </w:p>
    <w:p>
      <w:pPr>
        <w:pStyle w:val="FirstParagraph"/>
      </w:pPr>
      <w:r>
        <w:t xml:space="preserve">The global totals in this study risk obscuring the story that matters most. The African region shows the highest proportional benefit under the combined scenario, and low-income countries overall stand to gain disproportionately relative to their share of baseline burden. The gradient runs exactly where you would expect it — the populations furthest from the WHO targets today are the ones who gain most when those targets are reached. CVD deaths in low-income countries are projected to nearly double by mid-century under business-as-usual trajectories</w:t>
      </w:r>
      <w:r>
        <w:t xml:space="preserve"> </w:t>
      </w:r>
      <w:r>
        <w:t xml:space="preserve">(Chong et al. 2024)</w:t>
      </w:r>
      <w:r>
        <w:t xml:space="preserve">, driven by population ageing, unchecked hypertension</w:t>
      </w:r>
      <w:r>
        <w:t xml:space="preserve"> </w:t>
      </w:r>
      <w:r>
        <w:t xml:space="preserve">(Nambiema et al. 2025)</w:t>
      </w:r>
      <w:r>
        <w:t xml:space="preserve">, and statin coverage that remains below 10% for primary prevention in most of sub-Saharan Africa and South Asia</w:t>
      </w:r>
      <w:r>
        <w:t xml:space="preserve"> </w:t>
      </w:r>
      <w:r>
        <w:t xml:space="preserve">(Marcus et al. 2022)</w:t>
      </w:r>
      <w:r>
        <w:t xml:space="preserve">. The WHO’s 2025 global hypertension report found that while 93% of high-income countries report availability of the four core antihypertensive drug classes, only 28% of low-income countries do — and that is before the additional barriers of procurement delays, out-of-pocket costs, and health worker capacity are considered</w:t>
      </w:r>
      <w:r>
        <w:t xml:space="preserve"> </w:t>
      </w:r>
      <w:r>
        <w:t xml:space="preserve">(World Health Organization 2025)</w:t>
      </w:r>
      <w:r>
        <w:t xml:space="preserve">. Our model, which assumes full adherence and linear scale-up to 2030, cannot capture these realities. Its projections define a ceiling, not a forecast, and the distance between that ceiling and what current health system trajectories will actually deliver is itself a measure of the equity gap.</w:t>
      </w:r>
    </w:p>
    <w:p>
      <w:pPr>
        <w:pStyle w:val="BodyText"/>
      </w:pPr>
      <w:r>
        <w:t xml:space="preserve">Closing that gap requires strong financing mechanisms, and also the kind of operational infrastructure that HEARTS has shown is achievable in resource-constrained settings: standardised treatment protocols that reduce clinical decision-making to a manageable algorithm, reliable drug supply chains that stock both antihypertensives and generic statins at the primary care level, team-based care models that allow task-sharing to non-physician providers, and information systems that track patients across visits and flag those lost to follow-up. By 2024, more than 22 million people with hypertension were being managed through HEARTS-based programmes in 34 low-income and middle-income countries — a proof of concept that the model works at scale, and that the primary bottleneck is now coverage rather than design</w:t>
      </w:r>
      <w:r>
        <w:t xml:space="preserve"> </w:t>
      </w:r>
      <w:r>
        <w:t xml:space="preserve">(Moran and Gupta 2023; Banigbe et al. 2025)</w:t>
      </w:r>
      <w:r>
        <w:t xml:space="preserve">. Expanding HEARTS to include integrated statin prescribing would extend the same infrastructure to lipid-lowering therapy without requiring a parallel programme, a separate supply chain, or additional clinic visits.</w:t>
      </w:r>
    </w:p>
    <w:p>
      <w:pPr>
        <w:pStyle w:val="BodyText"/>
      </w:pPr>
      <w:r>
        <w:t xml:space="preserve">The NCD Countdown 2030 estimated that closing the gap would require an additional US$18 billion annually through 2030 — an amount that would yield a net economic return of US$2.7 trillion and avert 39 million premature deaths across all NCDs</w:t>
      </w:r>
      <w:r>
        <w:t xml:space="preserve"> </w:t>
      </w:r>
      <w:r>
        <w:t xml:space="preserve">(Watkins et al. 2022; Bennett et al. 2020)</w:t>
      </w:r>
      <w:r>
        <w:t xml:space="preserve">. Cardiovascular interventions, including hypertension management and statin therapy, sit among the most cost-efficient components of that package</w:t>
      </w:r>
      <w:r>
        <w:t xml:space="preserve"> </w:t>
      </w:r>
      <w:r>
        <w:t xml:space="preserve">(Agboyibor et al. 2025; Garcia et al. 2026; Banigbe et al. 2025)</w:t>
      </w:r>
      <w:r>
        <w:t xml:space="preserve">. Three political declarations since 2011 have come and gone without shifting the trajectory of CVD mortality in the countries that carry the greatest burden</w:t>
      </w:r>
      <w:r>
        <w:t xml:space="preserve"> </w:t>
      </w:r>
      <w:r>
        <w:t xml:space="preserve">(The Lancet 2025)</w:t>
      </w:r>
      <w:r>
        <w:t xml:space="preserve">. The 2025 declaration carries the same risk. Whether it produces a different outcome will depend not on the language of the text but on whether the resource flows, the supply chain reforms, and the primary care investments it calls for are measurably in place within the next 24 months — before the window for reaching the 2030 targets closes entirely.</w:t>
      </w:r>
    </w:p>
    <w:bookmarkEnd w:id="48"/>
    <w:bookmarkStart w:id="49" w:name="economic-valuation"/>
    <w:p>
      <w:pPr>
        <w:pStyle w:val="Heading2"/>
      </w:pPr>
      <w:r>
        <w:rPr>
          <w:rStyle w:val="SectionNumber"/>
        </w:rPr>
        <w:t xml:space="preserve">5.6</w:t>
      </w:r>
      <w:r>
        <w:tab/>
      </w:r>
      <w:r>
        <w:t xml:space="preserve">Economic valuation</w:t>
      </w:r>
    </w:p>
    <w:p>
      <w:pPr>
        <w:pStyle w:val="FirstParagraph"/>
      </w:pPr>
      <w:r>
        <w:t xml:space="preserve">The economic valuation reinforces the health case with a fiscal one. Under the combined scenario, the cumulative value of averted CVD mortality over 2026–2050, estimated using the value of a statistical life year approach discounted at 3%, amounted to US$62.1 trillion, equivalent to 1.5% of aggregate national income across 190 countries. These estimates are consistent in magnitude and methodology with recent global analyses that have quantified the economic value of reducing avoidable mortality. Chang et al.</w:t>
      </w:r>
      <w:r>
        <w:t xml:space="preserve"> </w:t>
      </w:r>
      <w:r>
        <w:t xml:space="preserve">(2024)</w:t>
      </w:r>
      <w:r>
        <w:t xml:space="preserve"> </w:t>
      </w:r>
      <w:r>
        <w:t xml:space="preserve">estimated that the total economic value of reducing avoidable mortality across all causes and countries was several multiples of global income, using a comparable income-elasticity transfer approach to derive country-specific VSL and VSLY values. Verguet et al.</w:t>
      </w:r>
      <w:r>
        <w:t xml:space="preserve"> </w:t>
      </w:r>
      <w:r>
        <w:t xml:space="preserve">(2024)</w:t>
      </w:r>
      <w:r>
        <w:t xml:space="preserve"> </w:t>
      </w:r>
      <w:r>
        <w:t xml:space="preserve">extended this framework to noncommunicable diseases and injuries specifically, demonstrating that the economic returns to NCD mortality reduction were concentrated in low-income and middle-income countries, where the gap between observed and achievable mortality is widest. Our findings align with this pattern: the intervention scenarios modelled here target precisely the conditions and populations identified in those analyses as offering the highest returns per dollar invested. That the economic value of averting CVD deaths through hypertension control and lipid-lowering therapy alone represents a substantial share of total avertable NCD mortality value underscores the outsized role that cardiovascular risk-factor management plays in the broader economic case for NCD investment</w:t>
      </w:r>
      <w:r>
        <w:t xml:space="preserve"> </w:t>
      </w:r>
      <w:r>
        <w:t xml:space="preserve">(Chang et al. 2024; Verguet et al. 2024)</w:t>
      </w:r>
      <w:r>
        <w:t xml:space="preserve">.</w:t>
      </w:r>
    </w:p>
    <w:bookmarkEnd w:id="49"/>
    <w:bookmarkStart w:id="50" w:name="relation-to-previous-literature"/>
    <w:p>
      <w:pPr>
        <w:pStyle w:val="Heading2"/>
      </w:pPr>
      <w:r>
        <w:rPr>
          <w:rStyle w:val="SectionNumber"/>
        </w:rPr>
        <w:t xml:space="preserve">5.7</w:t>
      </w:r>
      <w:r>
        <w:tab/>
      </w:r>
      <w:r>
        <w:t xml:space="preserve">Relation to previous literature</w:t>
      </w:r>
    </w:p>
    <w:p>
      <w:pPr>
        <w:pStyle w:val="FirstParagraph"/>
      </w:pPr>
      <w:r>
        <w:t xml:space="preserve">Our findings are broadly consistent with, and extend, previous global and regional analyses. Kontis et al.</w:t>
      </w:r>
      <w:r>
        <w:t xml:space="preserve"> </w:t>
      </w:r>
      <w:r>
        <w:t xml:space="preserve">(2019)</w:t>
      </w:r>
      <w:r>
        <w:t xml:space="preserve"> </w:t>
      </w:r>
      <w:r>
        <w:t xml:space="preserve">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middle-income settings</w:t>
      </w:r>
      <w:r>
        <w:t xml:space="preserve"> </w:t>
      </w:r>
      <w:r>
        <w:t xml:space="preserve">(Watkins et al. 2022; Bennett et al. 2020)</w:t>
      </w:r>
      <w:r>
        <w:t xml:space="preserve">. Our study complements this work by providing country-specific projections over a 25-year horizon, enabling direct comparison of the relative contribution of each intervention. The NCD Countdown 2025 benchmarking analysis further documented the widening gap in CVD mortality trends between high-income and low-income countries</w:t>
      </w:r>
      <w:r>
        <w:t xml:space="preserve"> </w:t>
      </w:r>
      <w:r>
        <w:t xml:space="preserve">(NCD Countdown 2030 collaborators 2025)</w:t>
      </w:r>
      <w:r>
        <w:t xml:space="preserve">, lending additional urgency to the scale-up modelled here.</w:t>
      </w:r>
    </w:p>
    <w:p>
      <w:pPr>
        <w:pStyle w:val="BodyText"/>
      </w:pPr>
      <w:r>
        <w:t xml:space="preserve">The Ford et al. analysis of the decline in US coronary mortality attributed approximately half of the observed reduction to evidence-based treatments, including statins and antihypertensives, and the remainder to risk-factor improvements</w:t>
      </w:r>
      <w:r>
        <w:t xml:space="preserve"> </w:t>
      </w:r>
      <w:r>
        <w:t xml:space="preserve">(Ford et al. 2007)</w:t>
      </w:r>
      <w:r>
        <w:t xml:space="preserve">. Similarly, Critchley et al.</w:t>
      </w:r>
      <w:r>
        <w:t xml:space="preserve"> </w:t>
      </w:r>
      <w:r>
        <w:t xml:space="preserve">(2004)</w:t>
      </w:r>
      <w:r>
        <w:t xml:space="preserve"> </w:t>
      </w:r>
      <w:r>
        <w:t xml:space="preserve">demonstrated that unfavourable risk-factor trends could offset treatment gains in rapidly developing countries. Our projections implicitly capture this tension by holding baseline risk-factor levels constant in the BAU scenario: the modelled health gains represent the incremental benefit of treatment scale-up above current trajectories.</w:t>
      </w:r>
    </w:p>
    <w:bookmarkEnd w:id="50"/>
    <w:bookmarkStart w:id="51" w:name="strengths"/>
    <w:p>
      <w:pPr>
        <w:pStyle w:val="Heading2"/>
      </w:pPr>
      <w:r>
        <w:rPr>
          <w:rStyle w:val="SectionNumber"/>
        </w:rPr>
        <w:t xml:space="preserve">5.8</w:t>
      </w:r>
      <w:r>
        <w:tab/>
      </w:r>
      <w:r>
        <w:t xml:space="preserve">Strengths</w:t>
      </w:r>
    </w:p>
    <w:p>
      <w:pPr>
        <w:pStyle w:val="FirstParagraph"/>
      </w:pPr>
      <w:r>
        <w:t xml:space="preserve">This study has several notable strengths. First, it offers truly global coverage, incorporating country-specific epidemiological and demographic inputs for 190 countries rather than relying on regional aggregates. Second, the model explicitly captures the interaction between hypertension control and statin therapy using a multiplicative framework, thereby avoiding the upward bias inherent in additive effect assumptions. Third, by drawing on GBD 2023 estimates, WHO Global Health Estimates, and UNWPP 2024 population projections, the analysis reflects the latest and most robust sources of global health and demographic data. Fourth, treatment effects are appropriately de-duplicated: only gains attributable to incremental coverage beyond baseline practice are counted, preventing double-counting of existing intervention benefits. Finally, the 25-year projection horizon allows the model to account for the cumulative impact of sustained reductions in key risk factors — effects that shorter-term analyses would fail to capture.</w:t>
      </w:r>
    </w:p>
    <w:bookmarkEnd w:id="51"/>
    <w:bookmarkStart w:id="52" w:name="limitations"/>
    <w:p>
      <w:pPr>
        <w:pStyle w:val="Heading2"/>
      </w:pPr>
      <w:r>
        <w:rPr>
          <w:rStyle w:val="SectionNumber"/>
        </w:rPr>
        <w:t xml:space="preserve">5.9</w:t>
      </w:r>
      <w:r>
        <w:tab/>
      </w:r>
      <w:r>
        <w:t xml:space="preserve">Limitations</w:t>
      </w:r>
    </w:p>
    <w:p>
      <w:pPr>
        <w:pStyle w:val="FirstParagraph"/>
      </w:pPr>
      <w:r>
        <w:t xml:space="preserve">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baseline risk in countries experiencing favourable risk-factor trends. Third, full adherence was assumed for hypertension therapy, and adherence-adjusted estimates for statin therapy may still exceed real-world levels in settings with limited health system capacity</w:t>
      </w:r>
      <w:r>
        <w:t xml:space="preserve"> </w:t>
      </w:r>
      <w:r>
        <w:t xml:space="preserve">(C. Li et al. 2024; Reith et al. 2026; Baigent et al. 2010)</w:t>
      </w:r>
      <w:r>
        <w:t xml:space="preserve">. Fourth, the linear scale-up assumption (2026–2030) is a simplification; actual programme expansion may follow non-linear trajectories with initial delays and subsequent acceleration. Fifth, no explicit health-system capacity constraints were modelled,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and other concurrent NCD prevention strategies, such as dietary sodium reduction or trans-fat elimination, which may modify the marginal benefit of hypertension control and statin therapy.</w:t>
      </w:r>
    </w:p>
    <w:bookmarkEnd w:id="52"/>
    <w:bookmarkEnd w:id="53"/>
    <w:bookmarkStart w:id="54" w:name="conclusion"/>
    <w:p>
      <w:pPr>
        <w:pStyle w:val="Heading1"/>
      </w:pPr>
      <w:r>
        <w:rPr>
          <w:rStyle w:val="SectionNumber"/>
        </w:rPr>
        <w:t xml:space="preserve">6</w:t>
      </w:r>
      <w:r>
        <w:tab/>
      </w:r>
      <w:r>
        <w:t xml:space="preserve">Conclusion</w:t>
      </w:r>
    </w:p>
    <w:p>
      <w:pPr>
        <w:pStyle w:val="FirstParagraph"/>
      </w:pPr>
      <w:r>
        <w:t xml:space="preserve">Simultaneous achievement of WHO targets for hypertension control and lipid-lowering therapy by 2030 was projected to avert 65.6 million cardiovascular deaths and 787.0 million DALYs across 190 countries between 2026 and 2050 — gains concentrated precisely where they are needed most, in the countries and populations furthest from the targets today. Blood pressure control and statin therapy are not competing claims on a constrained prevention budget; they act on partially independent causal pathways, and pursuing both together produces more than either can deliver alone. The WHO HEARTS technical package provides the operational framework through which this integrated delivery is already happening — by 2024, more than 22 million people with hypertension were being managed through HEARTS-based protocols in 38 low-income and middle-income countries, and Moran and colleagues have demonstrated that statin prescribing can be incorporated into those same workflows without requiring lipid laboratory capacity</w:t>
      </w:r>
      <w:r>
        <w:t xml:space="preserve"> </w:t>
      </w:r>
      <w:r>
        <w:t xml:space="preserve">(Moran et al. 2024; Banigbe et al. 2025)</w:t>
      </w:r>
      <w:r>
        <w:t xml:space="preserve">. Scaling HEARTS to cover the full eligible population in the highest-burden settings and embedding both antihypertensive and lipid-lowering therapy within a single, standardised primary care encounter is the operational translation of what this study’s combined scenario describes in aggregate. The projections presented here define a ceiling, not a forecast: they describe what these targets would yield under idealised conditions, and the distance between that ceiling and what current health system trajectories will actually produce is itself a measure of how much the implementation gap costs in human lives.</w:t>
      </w:r>
    </w:p>
    <w:p>
      <w:r>
        <w:br w:type="page"/>
      </w:r>
    </w:p>
    <w:bookmarkEnd w:id="54"/>
    <w:bookmarkStart w:id="115" w:name="references"/>
    <w:p>
      <w:pPr>
        <w:pStyle w:val="Heading1"/>
      </w:pPr>
      <w:r>
        <w:rPr>
          <w:rStyle w:val="SectionNumber"/>
        </w:rPr>
        <w:t xml:space="preserve">7</w:t>
      </w:r>
      <w:r>
        <w:tab/>
      </w:r>
      <w:r>
        <w:t xml:space="preserve">References</w:t>
      </w:r>
    </w:p>
    <w:bookmarkStart w:id="114" w:name="refs"/>
    <w:bookmarkStart w:id="55" w:name="ref-Agboyibor2025CVHWHOAfrica"/>
    <w:p>
      <w:pPr>
        <w:pStyle w:val="Bibliography"/>
      </w:pPr>
      <w:r>
        <w:t xml:space="preserve">Agboyibor, Kouamivi Mawuenyegan, Abdramane Nambiema, Franck Gbeasor, et al. 2025.</w:t>
      </w:r>
      <w:r>
        <w:t xml:space="preserve"> </w:t>
      </w:r>
      <w:r>
        <w:t xml:space="preserve">“Prevalence, Determinants, and Time Trends of Cardiovascular Health in the WHO African Region.”</w:t>
      </w:r>
      <w:r>
        <w:t xml:space="preserve"> </w:t>
      </w:r>
      <w:r>
        <w:rPr>
          <w:i/>
          <w:iCs/>
        </w:rPr>
        <w:t xml:space="preserve">JAMA Cardiology</w:t>
      </w:r>
      <w:r>
        <w:t xml:space="preserve"> </w:t>
      </w:r>
      <w:r>
        <w:t xml:space="preserve">10 (11): 1166–74.</w:t>
      </w:r>
    </w:p>
    <w:bookmarkEnd w:id="55"/>
    <w:bookmarkStart w:id="56" w:name="ref-ADAPP2025StandardsDiabetesCVD"/>
    <w:p>
      <w:pPr>
        <w:pStyle w:val="Bibliography"/>
      </w:pPr>
      <w:r>
        <w:t xml:space="preserve">American Diabetes Association Professional Practice Committee. 2024.</w:t>
      </w:r>
      <w:r>
        <w:t xml:space="preserve"> </w:t>
      </w:r>
      <w:r>
        <w:t xml:space="preserve">“10. Cardiovascular Disease and Risk Management: Standards of Care in Diabetes–2025.”</w:t>
      </w:r>
      <w:r>
        <w:t xml:space="preserve"> </w:t>
      </w:r>
      <w:r>
        <w:rPr>
          <w:i/>
          <w:iCs/>
        </w:rPr>
        <w:t xml:space="preserve">Diabetes Care</w:t>
      </w:r>
      <w:r>
        <w:t xml:space="preserve"> </w:t>
      </w:r>
      <w:r>
        <w:t xml:space="preserve">48 (Supplement_1): S207–38.</w:t>
      </w:r>
    </w:p>
    <w:bookmarkEnd w:id="56"/>
    <w:bookmarkStart w:id="57" w:name="ref-Baigent2010IntensiveLDLLowering"/>
    <w:p>
      <w:pPr>
        <w:pStyle w:val="Bibliography"/>
      </w:pPr>
      <w:r>
        <w:t xml:space="preserve">Baigent, Colin, Lisa Blackwell, Jonathan Emberson, et al. 2010.</w:t>
      </w:r>
      <w:r>
        <w:t xml:space="preserve"> </w:t>
      </w:r>
      <w:r>
        <w:t xml:space="preserve">“Efficacy and Safety of More Intensive Lowering of LDL Cholesterol: A Meta-Analysis of Data from 170,000 Participants in 26 Randomised Trials.”</w:t>
      </w:r>
      <w:r>
        <w:t xml:space="preserve"> </w:t>
      </w:r>
      <w:r>
        <w:rPr>
          <w:i/>
          <w:iCs/>
        </w:rPr>
        <w:t xml:space="preserve">The Lancet</w:t>
      </w:r>
      <w:r>
        <w:t xml:space="preserve"> </w:t>
      </w:r>
      <w:r>
        <w:t xml:space="preserve">376 (9753): 1670–81.</w:t>
      </w:r>
    </w:p>
    <w:bookmarkEnd w:id="57"/>
    <w:bookmarkStart w:id="59" w:name="ref-Banigbe2025"/>
    <w:p>
      <w:pPr>
        <w:pStyle w:val="Bibliography"/>
      </w:pPr>
      <w:r>
        <w:t xml:space="preserve">Banigbe, Bolanle F., Andrew E. Moran, Reena Gupta, Danielle Cazabon, Obehioye Aimiosior, Kufor Osi, Anupam Khungar Pathni, et al. 2025.</w:t>
      </w:r>
      <w:r>
        <w:t xml:space="preserve"> </w:t>
      </w:r>
      <w:r>
        <w:t xml:space="preserve">“Lessons Learned from Treating 34 Million People with Hypertension: The Global HEARTS Initiative.”</w:t>
      </w:r>
      <w:r>
        <w:t xml:space="preserve"> </w:t>
      </w:r>
      <w:r>
        <w:rPr>
          <w:i/>
          <w:iCs/>
        </w:rPr>
        <w:t xml:space="preserve">Journal of the American College of Cardiology</w:t>
      </w:r>
      <w:r>
        <w:t xml:space="preserve"> </w:t>
      </w:r>
      <w:r>
        <w:t xml:space="preserve">86 (December): 2374–87.</w:t>
      </w:r>
      <w:r>
        <w:t xml:space="preserve"> </w:t>
      </w:r>
      <w:hyperlink r:id="rId58">
        <w:r>
          <w:rPr>
            <w:rStyle w:val="Hyperlink"/>
          </w:rPr>
          <w:t xml:space="preserve">https://doi.org/10.1016/J.JACC.2025.09.324</w:t>
        </w:r>
      </w:hyperlink>
      <w:r>
        <w:t xml:space="preserve">.</w:t>
      </w:r>
    </w:p>
    <w:bookmarkEnd w:id="59"/>
    <w:bookmarkStart w:id="61" w:name="ref-Bennett2020NCD2030Path"/>
    <w:p>
      <w:pPr>
        <w:pStyle w:val="Bibliography"/>
      </w:pPr>
      <w:r>
        <w:t xml:space="preserve">Bennett, James E, Vasilis Kontis, Colin D Mathers, Michel Guillot, Jürgen Rehm, Kalipso Chalkidou, Andre P Kengne, et al. 2020.</w:t>
      </w:r>
      <w:r>
        <w:t xml:space="preserve"> </w:t>
      </w:r>
      <w:r>
        <w:t xml:space="preserve">“NCD Countdown 2030: Pathways to Achieving Sustainable Development Goal Target 3.4.”</w:t>
      </w:r>
      <w:r>
        <w:t xml:space="preserve"> </w:t>
      </w:r>
      <w:r>
        <w:rPr>
          <w:i/>
          <w:iCs/>
        </w:rPr>
        <w:t xml:space="preserve">The Lancet</w:t>
      </w:r>
      <w:r>
        <w:t xml:space="preserve"> </w:t>
      </w:r>
      <w:r>
        <w:t xml:space="preserve">396 (September): 918–34.</w:t>
      </w:r>
      <w:r>
        <w:t xml:space="preserve"> </w:t>
      </w:r>
      <w:hyperlink r:id="rId60">
        <w:r>
          <w:rPr>
            <w:rStyle w:val="Hyperlink"/>
          </w:rPr>
          <w:t xml:space="preserve">https://doi.org/10.1016/S0140-6736(20)31761-X</w:t>
        </w:r>
      </w:hyperlink>
      <w:r>
        <w:t xml:space="preserve">.</w:t>
      </w:r>
    </w:p>
    <w:bookmarkEnd w:id="61"/>
    <w:bookmarkStart w:id="62" w:name="X8bb68ddad385dfb3df8ce3d99f26cb5fc0511f6"/>
    <w:p>
      <w:pPr>
        <w:pStyle w:val="Bibliography"/>
      </w:pPr>
      <w:r>
        <w:t xml:space="preserve">Castellano, Jose M., Stuart J. Pocock, Deepak L. Bhatt, et al. 2022.</w:t>
      </w:r>
      <w:r>
        <w:t xml:space="preserve"> </w:t>
      </w:r>
      <w:r>
        <w:t xml:space="preserve">“Polypill Strategy in Secondary Cardiovascular Prevention.”</w:t>
      </w:r>
      <w:r>
        <w:t xml:space="preserve"> </w:t>
      </w:r>
      <w:r>
        <w:rPr>
          <w:i/>
          <w:iCs/>
        </w:rPr>
        <w:t xml:space="preserve">New England Journal of Medicine</w:t>
      </w:r>
      <w:r>
        <w:t xml:space="preserve"> </w:t>
      </w:r>
      <w:r>
        <w:t xml:space="preserve">387 (11): 967–77.</w:t>
      </w:r>
    </w:p>
    <w:bookmarkEnd w:id="62"/>
    <w:bookmarkStart w:id="64" w:name="ref-Chang2024ECValue"/>
    <w:p>
      <w:pPr>
        <w:pStyle w:val="Bibliography"/>
      </w:pPr>
      <w:r>
        <w:t xml:space="preserve">Chang, Angela Y., Gretchen A. Stevens, Diego S. Cardoso, Bochen Cao, and Dean T. Jamison. 2024.</w:t>
      </w:r>
      <w:r>
        <w:t xml:space="preserve"> </w:t>
      </w:r>
      <w:r>
        <w:t xml:space="preserve">“The Economic Value of Reducing Avoidable Mortality.”</w:t>
      </w:r>
      <w:r>
        <w:t xml:space="preserve"> </w:t>
      </w:r>
      <w:r>
        <w:rPr>
          <w:i/>
          <w:iCs/>
        </w:rPr>
        <w:t xml:space="preserve">Nature Medicine 2024 30:11</w:t>
      </w:r>
      <w:r>
        <w:t xml:space="preserve"> </w:t>
      </w:r>
      <w:r>
        <w:t xml:space="preserve">30 (September): 3327–34.</w:t>
      </w:r>
      <w:r>
        <w:t xml:space="preserve"> </w:t>
      </w:r>
      <w:hyperlink r:id="rId63">
        <w:r>
          <w:rPr>
            <w:rStyle w:val="Hyperlink"/>
          </w:rPr>
          <w:t xml:space="preserve">https://doi.org/10.1038/s41591-024-03253-7</w:t>
        </w:r>
      </w:hyperlink>
      <w:r>
        <w:t xml:space="preserve">.</w:t>
      </w:r>
    </w:p>
    <w:bookmarkEnd w:id="64"/>
    <w:bookmarkStart w:id="66" w:name="ref-Chong2024"/>
    <w:p>
      <w:pPr>
        <w:pStyle w:val="Bibliography"/>
      </w:pPr>
      <w:r>
        <w:t xml:space="preserve">Chong, Bryan, Jayanth Jayabaskaran, Silingga Metta Jauhari, Siew Pang Chan, Rachel Goh, Martin Tze Wah Kueh, Henry Li, et al. 2024.</w:t>
      </w:r>
      <w:r>
        <w:t xml:space="preserve"> </w:t>
      </w:r>
      <w:r>
        <w:t xml:space="preserve">“Global Burden of Cardiovascular Diseases: Projections from 2025 to 2050.”</w:t>
      </w:r>
      <w:r>
        <w:t xml:space="preserve"> </w:t>
      </w:r>
      <w:r>
        <w:rPr>
          <w:i/>
          <w:iCs/>
        </w:rPr>
        <w:t xml:space="preserve">European Journal of Preventive Cardiology</w:t>
      </w:r>
      <w:r>
        <w:t xml:space="preserve">, September.</w:t>
      </w:r>
      <w:r>
        <w:t xml:space="preserve"> </w:t>
      </w:r>
      <w:hyperlink r:id="rId65">
        <w:r>
          <w:rPr>
            <w:rStyle w:val="Hyperlink"/>
          </w:rPr>
          <w:t xml:space="preserve">https://doi.org/10.1093/EURJPC/ZWAE281</w:t>
        </w:r>
      </w:hyperlink>
      <w:r>
        <w:t xml:space="preserve">.</w:t>
      </w:r>
    </w:p>
    <w:bookmarkEnd w:id="66"/>
    <w:bookmarkStart w:id="68" w:name="ref-Critchley2004"/>
    <w:p>
      <w:pPr>
        <w:pStyle w:val="Bibliography"/>
      </w:pPr>
      <w:r>
        <w:t xml:space="preserve">Critchley, Julia, Jing Liu, Dong Zhao, Wang Wei, and Simon Capewell. 2004.</w:t>
      </w:r>
      <w:r>
        <w:t xml:space="preserve"> </w:t>
      </w:r>
      <w:r>
        <w:t xml:space="preserve">“Explaining the Increase in Coronary Heart Disease Mortality in Beijing Between 1984 and 1999.”</w:t>
      </w:r>
      <w:r>
        <w:t xml:space="preserve"> </w:t>
      </w:r>
      <w:r>
        <w:rPr>
          <w:i/>
          <w:iCs/>
        </w:rPr>
        <w:t xml:space="preserve">Circulation</w:t>
      </w:r>
      <w:r>
        <w:t xml:space="preserve"> </w:t>
      </w:r>
      <w:r>
        <w:t xml:space="preserve">110 (September): 1236–44.</w:t>
      </w:r>
      <w:r>
        <w:t xml:space="preserve"> </w:t>
      </w:r>
      <w:hyperlink r:id="rId67">
        <w:r>
          <w:rPr>
            <w:rStyle w:val="Hyperlink"/>
          </w:rPr>
          <w:t xml:space="preserve">https://doi.org/10.1161/01.CIR.0000140668.91896.AE/ASSET/8DE2D8C6-674F-4BA5-BFEE-5AD659C5872D/ASSETS/GRAPHIC/13FF3.JPEG</w:t>
        </w:r>
      </w:hyperlink>
      <w:r>
        <w:t xml:space="preserve">.</w:t>
      </w:r>
    </w:p>
    <w:bookmarkEnd w:id="68"/>
    <w:bookmarkStart w:id="70" w:name="ref-Ettehad2016"/>
    <w:p>
      <w:pPr>
        <w:pStyle w:val="Bibliography"/>
      </w:pPr>
      <w:r>
        <w:t xml:space="preserve">Ettehad, Dena, Connor A. Emdin, Amit Kiran, Simon G. Anderson, Thomas Callender, Jonathan Emberson, John Chalmers, Anthony Rodgers, and Kazem Rahimi. 2016.</w:t>
      </w:r>
      <w:r>
        <w:t xml:space="preserve"> </w:t>
      </w:r>
      <w:r>
        <w:t xml:space="preserve">“Blood Pressure Lowering for Prevention of Cardiovascular Disease and Death: A Systematic Review and Meta-Analysis.”</w:t>
      </w:r>
      <w:r>
        <w:t xml:space="preserve"> </w:t>
      </w:r>
      <w:r>
        <w:rPr>
          <w:i/>
          <w:iCs/>
        </w:rPr>
        <w:t xml:space="preserve">The Lancet</w:t>
      </w:r>
      <w:r>
        <w:t xml:space="preserve"> </w:t>
      </w:r>
      <w:r>
        <w:t xml:space="preserve">387 (March): 957–67.</w:t>
      </w:r>
      <w:r>
        <w:t xml:space="preserve"> </w:t>
      </w:r>
      <w:hyperlink r:id="rId69">
        <w:r>
          <w:rPr>
            <w:rStyle w:val="Hyperlink"/>
          </w:rPr>
          <w:t xml:space="preserve">https://doi.org/10.1016/S0140-6736(15)01225-8/ATTACHMENT/603C0742-74C8-441A-9C4C-C02740B35023/MMC1.PDF</w:t>
        </w:r>
      </w:hyperlink>
      <w:r>
        <w:t xml:space="preserve">.</w:t>
      </w:r>
    </w:p>
    <w:bookmarkEnd w:id="70"/>
    <w:bookmarkStart w:id="72" w:name="ref-Ford2007"/>
    <w:p>
      <w:pPr>
        <w:pStyle w:val="Bibliography"/>
      </w:pPr>
      <w:r>
        <w:t xml:space="preserve">Ford, Earl S, Umed A Ajani, Janet B Croft, Julia A Critchley, D Phil, Darwin R Labarthe, Thomas E Kottke, Wayne H Giles, and Simon Capewell. 2007.</w:t>
      </w:r>
      <w:r>
        <w:t xml:space="preserve"> </w:t>
      </w:r>
      <w:r>
        <w:t xml:space="preserve">“Explaining the Decrease in u.s. Deaths from Coronary Disease, 1980–2000.”</w:t>
      </w:r>
      <w:r>
        <w:t xml:space="preserve"> </w:t>
      </w:r>
      <w:r>
        <w:rPr>
          <w:i/>
          <w:iCs/>
        </w:rPr>
        <w:t xml:space="preserve">New England Journal of Medicine</w:t>
      </w:r>
      <w:r>
        <w:t xml:space="preserve"> </w:t>
      </w:r>
      <w:r>
        <w:t xml:space="preserve">356 (June): 2388–98.</w:t>
      </w:r>
      <w:r>
        <w:t xml:space="preserve"> </w:t>
      </w:r>
      <w:hyperlink r:id="rId71">
        <w:r>
          <w:rPr>
            <w:rStyle w:val="Hyperlink"/>
          </w:rPr>
          <w:t xml:space="preserve">https://doi.org/10.1056/NEJMSA053935</w:t>
        </w:r>
      </w:hyperlink>
      <w:r>
        <w:t xml:space="preserve">.</w:t>
      </w:r>
    </w:p>
    <w:bookmarkEnd w:id="72"/>
    <w:bookmarkStart w:id="74" w:name="ref-Fulcher2015"/>
    <w:p>
      <w:pPr>
        <w:pStyle w:val="Bibliography"/>
      </w:pPr>
      <w:r>
        <w:t xml:space="preserve">Fulcher, Jordan, Rachel O’Connell, Merryn Voysey, Jonathan Emberson, Lisa Blackwell, Borislava Mihaylova, J. Simes, et al. 2015.</w:t>
      </w:r>
      <w:r>
        <w:t xml:space="preserve"> </w:t>
      </w:r>
      <w:r>
        <w:t xml:space="preserve">“Efficacy and Safety of LDL-Lowering Therapy Among Men and Women: Meta-Analysis of Individual Data from 174 000 Participants in 27 Randomised Trials.”</w:t>
      </w:r>
      <w:r>
        <w:t xml:space="preserve"> </w:t>
      </w:r>
      <w:r>
        <w:rPr>
          <w:i/>
          <w:iCs/>
        </w:rPr>
        <w:t xml:space="preserve">The Lancet</w:t>
      </w:r>
      <w:r>
        <w:t xml:space="preserve"> </w:t>
      </w:r>
      <w:r>
        <w:t xml:space="preserve">385 (January): 1397–1405.</w:t>
      </w:r>
      <w:r>
        <w:t xml:space="preserve"> </w:t>
      </w:r>
      <w:hyperlink r:id="rId73">
        <w:r>
          <w:rPr>
            <w:rStyle w:val="Hyperlink"/>
          </w:rPr>
          <w:t xml:space="preserve">https://doi.org/10.1016/S0140-6736(14)61368-4</w:t>
        </w:r>
      </w:hyperlink>
      <w:r>
        <w:t xml:space="preserve">.</w:t>
      </w:r>
    </w:p>
    <w:bookmarkEnd w:id="74"/>
    <w:bookmarkStart w:id="76" w:name="ref-Garcia2026HEARTS4Countries"/>
    <w:p>
      <w:pPr>
        <w:pStyle w:val="Bibliography"/>
      </w:pPr>
      <w:r>
        <w:t xml:space="preserve">Garcia, William, Obehioye Amiosior, Sohel Reza Choudhury, Emmanuel Sambo, Kufor Osi, Senait Alemayehu Beshah, Girma Dessie, et al. 2026.</w:t>
      </w:r>
      <w:r>
        <w:t xml:space="preserve"> </w:t>
      </w:r>
      <w:r>
        <w:t xml:space="preserve">“Budget Impact and Investment Case for HEARTS Hypertension Control Programs in 4 Low- and Middle-Income Countries.”</w:t>
      </w:r>
      <w:r>
        <w:t xml:space="preserve"> </w:t>
      </w:r>
      <w:r>
        <w:rPr>
          <w:i/>
          <w:iCs/>
        </w:rPr>
        <w:t xml:space="preserve">JACC: Advances</w:t>
      </w:r>
      <w:r>
        <w:t xml:space="preserve"> </w:t>
      </w:r>
      <w:r>
        <w:t xml:space="preserve">5: 102412. https://doi.org/</w:t>
      </w:r>
      <w:hyperlink r:id="rId75">
        <w:r>
          <w:rPr>
            <w:rStyle w:val="Hyperlink"/>
          </w:rPr>
          <w:t xml:space="preserve">https://doi.org/10.1016/j.jacadv.2025.102412</w:t>
        </w:r>
      </w:hyperlink>
      <w:r>
        <w:t xml:space="preserve">.</w:t>
      </w:r>
    </w:p>
    <w:bookmarkEnd w:id="76"/>
    <w:bookmarkStart w:id="77" w:name="ref-GBDCVD2025"/>
    <w:p>
      <w:pPr>
        <w:pStyle w:val="Bibliography"/>
      </w:pPr>
      <w:r>
        <w:t xml:space="preserve">GBD 2023 Cardiovascular Diseases and Risks Collaborators. 2025.</w:t>
      </w:r>
      <w:r>
        <w:t xml:space="preserve"> </w:t>
      </w:r>
      <w:r>
        <w:t xml:space="preserve">“Global, Regional, and National Burden of Cardiovascular Diseases and Risk Factors in 204 Countries and Territories, 1990–2023.”</w:t>
      </w:r>
      <w:r>
        <w:t xml:space="preserve"> </w:t>
      </w:r>
      <w:r>
        <w:rPr>
          <w:i/>
          <w:iCs/>
        </w:rPr>
        <w:t xml:space="preserve">Journal of the American College of Cardiology</w:t>
      </w:r>
      <w:r>
        <w:t xml:space="preserve"> </w:t>
      </w:r>
      <w:r>
        <w:t xml:space="preserve">86 (22): 2167–2243.</w:t>
      </w:r>
    </w:p>
    <w:bookmarkEnd w:id="77"/>
    <w:bookmarkStart w:id="78" w:name="ref-Geldsetzer2019HypertensionCareLMICs"/>
    <w:p>
      <w:pPr>
        <w:pStyle w:val="Bibliography"/>
      </w:pPr>
      <w:r>
        <w:t xml:space="preserve">Geldsetzer, Pascal, Jennifer Manne-Goehler, M. E. Marcus, et al. 2019.</w:t>
      </w:r>
      <w:r>
        <w:t xml:space="preserve"> </w:t>
      </w:r>
      <w:r>
        <w:t xml:space="preserve">“The State of Hypertension Care in 44 Low-Income and Middle-Income Countries: A Cross-Sectional Study of Nationally Representative Individual-Level Data from 1.1 Million Adults.”</w:t>
      </w:r>
      <w:r>
        <w:t xml:space="preserve"> </w:t>
      </w:r>
      <w:r>
        <w:rPr>
          <w:i/>
          <w:iCs/>
        </w:rPr>
        <w:t xml:space="preserve">The Lancet</w:t>
      </w:r>
      <w:r>
        <w:t xml:space="preserve"> </w:t>
      </w:r>
      <w:r>
        <w:t xml:space="preserve">394 (10199): 652–62.</w:t>
      </w:r>
    </w:p>
    <w:bookmarkEnd w:id="78"/>
    <w:bookmarkStart w:id="80" w:name="ref-ConsortiumRisk2023"/>
    <w:p>
      <w:pPr>
        <w:pStyle w:val="Bibliography"/>
      </w:pPr>
      <w:r>
        <w:t xml:space="preserve">Global Cardiovascular Risk Consortium", "The. 2023.</w:t>
      </w:r>
      <w:r>
        <w:t xml:space="preserve"> </w:t>
      </w:r>
      <w:r>
        <w:t xml:space="preserve">“Global Effect of Modifiable Risk Factors on Cardiovascular Disease and Mortality.”</w:t>
      </w:r>
      <w:r>
        <w:t xml:space="preserve"> </w:t>
      </w:r>
      <w:r>
        <w:rPr>
          <w:i/>
          <w:iCs/>
        </w:rPr>
        <w:t xml:space="preserve">New England Journal of Medicine</w:t>
      </w:r>
      <w:r>
        <w:t xml:space="preserve"> </w:t>
      </w:r>
      <w:r>
        <w:t xml:space="preserve">389 (October): 1273–85.</w:t>
      </w:r>
      <w:r>
        <w:t xml:space="preserve"> </w:t>
      </w:r>
      <w:hyperlink r:id="rId79">
        <w:r>
          <w:rPr>
            <w:rStyle w:val="Hyperlink"/>
          </w:rPr>
          <w:t xml:space="preserve">https://doi.org/10.1056/NEJMOA2206916/SUPPL_FILE/NEJMOA2206916_DISCLOSURES.PDF</w:t>
        </w:r>
      </w:hyperlink>
      <w:r>
        <w:t xml:space="preserve">.</w:t>
      </w:r>
    </w:p>
    <w:bookmarkEnd w:id="80"/>
    <w:bookmarkStart w:id="81" w:name="ref-Gregg2023DiabetesCompactTargets"/>
    <w:p>
      <w:pPr>
        <w:pStyle w:val="Bibliography"/>
      </w:pPr>
      <w:r>
        <w:t xml:space="preserve">Gregg, Edward W., Jessica Buckley, Mohammed K. Ali, et al. 2023.</w:t>
      </w:r>
      <w:r>
        <w:t xml:space="preserve"> </w:t>
      </w:r>
      <w:r>
        <w:t xml:space="preserve">“Improving Health Outcomes of People with Diabetes: Target Setting for the WHO Global Diabetes Compact.”</w:t>
      </w:r>
      <w:r>
        <w:t xml:space="preserve"> </w:t>
      </w:r>
      <w:r>
        <w:rPr>
          <w:i/>
          <w:iCs/>
        </w:rPr>
        <w:t xml:space="preserve">The Lancet</w:t>
      </w:r>
      <w:r>
        <w:t xml:space="preserve"> </w:t>
      </w:r>
      <w:r>
        <w:t xml:space="preserve">401 (10384): 1302–12.</w:t>
      </w:r>
    </w:p>
    <w:bookmarkEnd w:id="81"/>
    <w:bookmarkStart w:id="82" w:name="ref-Hunt2021GlobalDiabetesCompact"/>
    <w:p>
      <w:pPr>
        <w:pStyle w:val="Bibliography"/>
      </w:pPr>
      <w:r>
        <w:t xml:space="preserve">Hunt, David, Bianca Hemmingsen, Annette Matzke, et al. 2021.</w:t>
      </w:r>
      <w:r>
        <w:t xml:space="preserve"> </w:t>
      </w:r>
      <w:r>
        <w:t xml:space="preserve">“The WHO Global Diabetes Compact: A New Initiative to Support People Living with Diabetes.”</w:t>
      </w:r>
      <w:r>
        <w:t xml:space="preserve"> </w:t>
      </w:r>
      <w:r>
        <w:rPr>
          <w:i/>
          <w:iCs/>
        </w:rPr>
        <w:t xml:space="preserve">The Lancet Diabetes and Endocrinology</w:t>
      </w:r>
      <w:r>
        <w:t xml:space="preserve"> </w:t>
      </w:r>
      <w:r>
        <w:t xml:space="preserve">9 (6): 325–27.</w:t>
      </w:r>
    </w:p>
    <w:bookmarkEnd w:id="82"/>
    <w:bookmarkStart w:id="84" w:name="ref-IIASA2024Gdp31"/>
    <w:p>
      <w:pPr>
        <w:pStyle w:val="Bibliography"/>
      </w:pPr>
      <w:r>
        <w:t xml:space="preserve">IIASA Energy, Climate, and Environment (ECE) Program. 2024.</w:t>
      </w:r>
      <w:r>
        <w:t xml:space="preserve"> </w:t>
      </w:r>
      <w:r>
        <w:t xml:space="preserve">“Shared Socioeconomic Pathways (SSP) Database, Release 3.1: Basic Drivers (GDP and Population).”</w:t>
      </w:r>
      <w:r>
        <w:t xml:space="preserve"> </w:t>
      </w:r>
      <w:hyperlink r:id="rId83">
        <w:r>
          <w:rPr>
            <w:rStyle w:val="Hyperlink"/>
          </w:rPr>
          <w:t xml:space="preserve">https://ssp.apps.ece.iiasa.ac.at/documentation/basic-drivers</w:t>
        </w:r>
      </w:hyperlink>
      <w:r>
        <w:t xml:space="preserve">.</w:t>
      </w:r>
    </w:p>
    <w:bookmarkEnd w:id="84"/>
    <w:bookmarkStart w:id="85" w:name="Xc6e08a70bb154acc484bdd41af662cc6d9fe479"/>
    <w:p>
      <w:pPr>
        <w:pStyle w:val="Bibliography"/>
      </w:pPr>
      <w:r>
        <w:t xml:space="preserve">Kohli-Lynch, Caroline N., Andrew E. Moran, Dhruv S. Kazi, et al. 2025.</w:t>
      </w:r>
      <w:r>
        <w:t xml:space="preserve"> </w:t>
      </w:r>
      <w:r>
        <w:t xml:space="preserve">“Cost-Effectiveness of a Polypill for Cardiovascular Disease Prevention in an Underserved Population.”</w:t>
      </w:r>
      <w:r>
        <w:t xml:space="preserve"> </w:t>
      </w:r>
      <w:r>
        <w:rPr>
          <w:i/>
          <w:iCs/>
        </w:rPr>
        <w:t xml:space="preserve">JAMA Cardiology</w:t>
      </w:r>
      <w:r>
        <w:t xml:space="preserve"> </w:t>
      </w:r>
      <w:r>
        <w:t xml:space="preserve">10 (3): 224–33.</w:t>
      </w:r>
    </w:p>
    <w:bookmarkEnd w:id="85"/>
    <w:bookmarkStart w:id="87" w:name="ref-Kontis2019"/>
    <w:p>
      <w:pPr>
        <w:pStyle w:val="Bibliography"/>
      </w:pPr>
      <w:r>
        <w:t xml:space="preserve">Kontis, Vasilis, Laura K Cobb, Colin D Mathers, Thomas R Frieden, Majid Ezzati, and Goodarz Danaei. 2019.</w:t>
      </w:r>
      <w:r>
        <w:t xml:space="preserve"> </w:t>
      </w:r>
      <w:r>
        <w:t xml:space="preserve">“Three Public Health Interventions Could Save 94 Million Lives in 25 Years.”</w:t>
      </w:r>
      <w:r>
        <w:t xml:space="preserve"> </w:t>
      </w:r>
      <w:r>
        <w:rPr>
          <w:i/>
          <w:iCs/>
        </w:rPr>
        <w:t xml:space="preserve">Circulation</w:t>
      </w:r>
      <w:r>
        <w:t xml:space="preserve"> </w:t>
      </w:r>
      <w:r>
        <w:t xml:space="preserve">140 (August): 715–25.</w:t>
      </w:r>
      <w:r>
        <w:t xml:space="preserve"> </w:t>
      </w:r>
      <w:hyperlink r:id="rId86">
        <w:r>
          <w:rPr>
            <w:rStyle w:val="Hyperlink"/>
          </w:rPr>
          <w:t xml:space="preserve">https://doi.org/10.1161/CIRCULATIONAHA.118.038160</w:t>
        </w:r>
      </w:hyperlink>
      <w:r>
        <w:t xml:space="preserve">.</w:t>
      </w:r>
    </w:p>
    <w:bookmarkEnd w:id="87"/>
    <w:bookmarkStart w:id="88" w:name="ref-Li2024HyperlipidemiaMedicinesAccess"/>
    <w:p>
      <w:pPr>
        <w:pStyle w:val="Bibliography"/>
      </w:pPr>
      <w:r>
        <w:t xml:space="preserve">Li, C., G. Spencer, M. J. Husain, et al. 2024.</w:t>
      </w:r>
      <w:r>
        <w:t xml:space="preserve"> </w:t>
      </w:r>
      <w:r>
        <w:t xml:space="preserve">“Barriers to Accessibility of Medicines for Hyperlipidemia in Low- and Middle-Income Countries.”</w:t>
      </w:r>
      <w:r>
        <w:t xml:space="preserve"> </w:t>
      </w:r>
      <w:r>
        <w:rPr>
          <w:i/>
          <w:iCs/>
        </w:rPr>
        <w:t xml:space="preserve">PLOS Global Public Health</w:t>
      </w:r>
      <w:r>
        <w:t xml:space="preserve"> </w:t>
      </w:r>
      <w:r>
        <w:t xml:space="preserve">4 (2): e0002905.</w:t>
      </w:r>
    </w:p>
    <w:bookmarkEnd w:id="88"/>
    <w:bookmarkStart w:id="89" w:name="ref-Li2024DiabetesCVDTargetsLMICs"/>
    <w:p>
      <w:pPr>
        <w:pStyle w:val="Bibliography"/>
      </w:pPr>
      <w:r>
        <w:t xml:space="preserve">Li, Y., M. Yan, Q. Cai, et al. 2024.</w:t>
      </w:r>
      <w:r>
        <w:t xml:space="preserve"> </w:t>
      </w:r>
      <w:r>
        <w:t xml:space="preserve">“Achievement of Recommended Targets for Cardiovascular Disease Prevention in Adults with Diabetes in 38 Low- and Middle-Income Countries.”</w:t>
      </w:r>
      <w:r>
        <w:t xml:space="preserve"> </w:t>
      </w:r>
      <w:r>
        <w:rPr>
          <w:i/>
          <w:iCs/>
        </w:rPr>
        <w:t xml:space="preserve">Journal of Global Health</w:t>
      </w:r>
      <w:r>
        <w:t xml:space="preserve"> </w:t>
      </w:r>
      <w:r>
        <w:t xml:space="preserve">14: 04148.</w:t>
      </w:r>
    </w:p>
    <w:bookmarkEnd w:id="89"/>
    <w:bookmarkStart w:id="90" w:name="ref-Marcus2022StatinsLMICs"/>
    <w:p>
      <w:pPr>
        <w:pStyle w:val="Bibliography"/>
      </w:pPr>
      <w:r>
        <w:t xml:space="preserve">Marcus, M. E., Jennifer Manne-Goehler, Michaela Theilmann, et al. 2022.</w:t>
      </w:r>
      <w:r>
        <w:t xml:space="preserve"> </w:t>
      </w:r>
      <w:r>
        <w:t xml:space="preserve">“Use of Statins for the Prevention of Cardiovascular Disease in 41 Low-Income and Middle-Income Countries: A Cross-Sectional Study of Nationally Representative, Individual-Level Data.”</w:t>
      </w:r>
      <w:r>
        <w:t xml:space="preserve"> </w:t>
      </w:r>
      <w:r>
        <w:rPr>
          <w:i/>
          <w:iCs/>
        </w:rPr>
        <w:t xml:space="preserve">The Lancet Global Health</w:t>
      </w:r>
      <w:r>
        <w:t xml:space="preserve"> </w:t>
      </w:r>
      <w:r>
        <w:t xml:space="preserve">10 (3): e369–79.</w:t>
      </w:r>
    </w:p>
    <w:bookmarkEnd w:id="90"/>
    <w:bookmarkStart w:id="91" w:name="ref-Mensah2023GlobalBurdenCVD"/>
    <w:p>
      <w:pPr>
        <w:pStyle w:val="Bibliography"/>
      </w:pPr>
      <w:r>
        <w:t xml:space="preserve">Mensah, George A., Valentin Fuster, Christopher J. L. Murray, and Gregory A. Roth. 2023.</w:t>
      </w:r>
      <w:r>
        <w:t xml:space="preserve"> </w:t>
      </w:r>
      <w:r>
        <w:t xml:space="preserve">“Global Burden of Cardiovascular Diseases and Risks, 1990–2022.”</w:t>
      </w:r>
      <w:r>
        <w:t xml:space="preserve"> </w:t>
      </w:r>
      <w:r>
        <w:rPr>
          <w:i/>
          <w:iCs/>
        </w:rPr>
        <w:t xml:space="preserve">Journal of the American College of Cardiology</w:t>
      </w:r>
      <w:r>
        <w:t xml:space="preserve"> </w:t>
      </w:r>
      <w:r>
        <w:t xml:space="preserve">82 (25): 2350–2473.</w:t>
      </w:r>
    </w:p>
    <w:bookmarkEnd w:id="91"/>
    <w:bookmarkStart w:id="93" w:name="ref-Moran2024"/>
    <w:p>
      <w:pPr>
        <w:pStyle w:val="Bibliography"/>
      </w:pPr>
      <w:r>
        <w:t xml:space="preserve">Moran, Andrew E., Obehi Aimiosior, Reena Gupta, Anupam Pathni, Swagata Kumar Sahoo, Girma Dessie, Kufor Osi, et al. 2024.</w:t>
      </w:r>
      <w:r>
        <w:t xml:space="preserve"> </w:t>
      </w:r>
      <w:r>
        <w:t xml:space="preserve">“Integrated Antihypertensive and Statin Treatment Protocols for Cardiovascular Disease Prevention in Low- and Middle-Income Countries.”</w:t>
      </w:r>
      <w:r>
        <w:t xml:space="preserve"> </w:t>
      </w:r>
      <w:r>
        <w:rPr>
          <w:i/>
          <w:iCs/>
        </w:rPr>
        <w:t xml:space="preserve">Global Heart</w:t>
      </w:r>
      <w:r>
        <w:t xml:space="preserve"> </w:t>
      </w:r>
      <w:r>
        <w:t xml:space="preserve">19.</w:t>
      </w:r>
      <w:r>
        <w:t xml:space="preserve"> </w:t>
      </w:r>
      <w:hyperlink r:id="rId92">
        <w:r>
          <w:rPr>
            <w:rStyle w:val="Hyperlink"/>
          </w:rPr>
          <w:t xml:space="preserve">https://doi.org/10.5334/GH.1376</w:t>
        </w:r>
      </w:hyperlink>
      <w:r>
        <w:t xml:space="preserve">.</w:t>
      </w:r>
    </w:p>
    <w:bookmarkEnd w:id="93"/>
    <w:bookmarkStart w:id="94" w:name="ref-Moran2023GlobalHEARTSImplementation"/>
    <w:p>
      <w:pPr>
        <w:pStyle w:val="Bibliography"/>
      </w:pPr>
      <w:r>
        <w:t xml:space="preserve">Moran, Andrew E., and Renu Gupta. 2023.</w:t>
      </w:r>
      <w:r>
        <w:t xml:space="preserve"> </w:t>
      </w:r>
      <w:r>
        <w:t xml:space="preserve">“Implementation of Global Hearts Hypertension Control Programs in 32 Low- and Middle-Income Countries: JACC International.”</w:t>
      </w:r>
      <w:r>
        <w:t xml:space="preserve"> </w:t>
      </w:r>
      <w:r>
        <w:rPr>
          <w:i/>
          <w:iCs/>
        </w:rPr>
        <w:t xml:space="preserve">Journal of the American College of Cardiology</w:t>
      </w:r>
      <w:r>
        <w:t xml:space="preserve"> </w:t>
      </w:r>
      <w:r>
        <w:t xml:space="preserve">82 (19): 1868–84.</w:t>
      </w:r>
    </w:p>
    <w:bookmarkEnd w:id="94"/>
    <w:bookmarkStart w:id="95" w:name="ref-Nambiema2025HypertensionAfrica"/>
    <w:p>
      <w:pPr>
        <w:pStyle w:val="Bibliography"/>
      </w:pPr>
      <w:r>
        <w:t xml:space="preserve">Nambiema, Abdramane, Kouamivi Mawuenyegan Agboyibor, Jean-Marie Dangou, et al. 2025.</w:t>
      </w:r>
      <w:r>
        <w:t xml:space="preserve"> </w:t>
      </w:r>
      <w:r>
        <w:t xml:space="preserve">“Prevalence, Awareness, and Treatment of Hypertension in 37 African Countries: Trends from 2003 to 2022.”</w:t>
      </w:r>
      <w:r>
        <w:t xml:space="preserve"> </w:t>
      </w:r>
      <w:r>
        <w:rPr>
          <w:i/>
          <w:iCs/>
        </w:rPr>
        <w:t xml:space="preserve">Journal of the American College of Cardiology</w:t>
      </w:r>
      <w:r>
        <w:t xml:space="preserve"> </w:t>
      </w:r>
      <w:r>
        <w:t xml:space="preserve">86 (23): 2263–88.</w:t>
      </w:r>
    </w:p>
    <w:bookmarkEnd w:id="95"/>
    <w:bookmarkStart w:id="96" w:name="ref-NCDCountdown2025BenchmarkingProgress"/>
    <w:p>
      <w:pPr>
        <w:pStyle w:val="Bibliography"/>
      </w:pPr>
      <w:r>
        <w:t xml:space="preserve">NCD Countdown 2030 collaborators. 2025.</w:t>
      </w:r>
      <w:r>
        <w:t xml:space="preserve"> </w:t>
      </w:r>
      <w:r>
        <w:t xml:space="preserve">“Benchmarking Progress in Non-Communicable Diseases: A Global Analysis of Cause-Specific Mortality from 2001 to 2019.”</w:t>
      </w:r>
      <w:r>
        <w:t xml:space="preserve"> </w:t>
      </w:r>
      <w:r>
        <w:rPr>
          <w:i/>
          <w:iCs/>
        </w:rPr>
        <w:t xml:space="preserve">The Lancet</w:t>
      </w:r>
      <w:r>
        <w:t xml:space="preserve"> </w:t>
      </w:r>
      <w:r>
        <w:t xml:space="preserve">406 (10509): 1255–82.</w:t>
      </w:r>
    </w:p>
    <w:bookmarkEnd w:id="96"/>
    <w:bookmarkStart w:id="97" w:name="ref-Petty1999IschemicStrokeSubtypes"/>
    <w:p>
      <w:pPr>
        <w:pStyle w:val="Bibliography"/>
      </w:pPr>
      <w:r>
        <w:t xml:space="preserve">Petty, George W., Robert D. Brown, Jack P. Whisnant, Judith D. Sicks, W. Michael O’Fallon, and David O. Wiebers. 1999.</w:t>
      </w:r>
      <w:r>
        <w:t xml:space="preserve"> </w:t>
      </w:r>
      <w:r>
        <w:t xml:space="preserve">“Ischemic Stroke Subtypes.”</w:t>
      </w:r>
      <w:r>
        <w:t xml:space="preserve"> </w:t>
      </w:r>
      <w:r>
        <w:rPr>
          <w:i/>
          <w:iCs/>
        </w:rPr>
        <w:t xml:space="preserve">Stroke</w:t>
      </w:r>
      <w:r>
        <w:t xml:space="preserve"> </w:t>
      </w:r>
      <w:r>
        <w:t xml:space="preserve">30 (12): 2513–16.</w:t>
      </w:r>
    </w:p>
    <w:bookmarkEnd w:id="97"/>
    <w:bookmarkStart w:id="99" w:name="ref-Pickersgill2022"/>
    <w:p>
      <w:pPr>
        <w:pStyle w:val="Bibliography"/>
      </w:pPr>
      <w:r>
        <w:t xml:space="preserve">Pickersgill, Sarah J, William T Msemburi, Laura Cobb, Nicole Ide, Andrew E Moran, Yanfang Su, Xinpeng Xu, and David A Watkins. 2022.</w:t>
      </w:r>
      <w:r>
        <w:t xml:space="preserve"> </w:t>
      </w:r>
      <w:r>
        <w:t xml:space="preserve">“Modeling Global 80-80-80 Blood Pressure Targets and Cardiovascular Outcomes.”</w:t>
      </w:r>
      <w:r>
        <w:t xml:space="preserve"> </w:t>
      </w:r>
      <w:r>
        <w:rPr>
          <w:i/>
          <w:iCs/>
        </w:rPr>
        <w:t xml:space="preserve">Nature Medicine</w:t>
      </w:r>
      <w:r>
        <w:t xml:space="preserve"> </w:t>
      </w:r>
      <w:r>
        <w:t xml:space="preserve">28: 1693–99.</w:t>
      </w:r>
      <w:r>
        <w:t xml:space="preserve"> </w:t>
      </w:r>
      <w:hyperlink r:id="rId98">
        <w:r>
          <w:rPr>
            <w:rStyle w:val="Hyperlink"/>
          </w:rPr>
          <w:t xml:space="preserve">https://doi.org/10.1038/s41591-022-01890-4</w:t>
        </w:r>
      </w:hyperlink>
      <w:r>
        <w:t xml:space="preserve">.</w:t>
      </w:r>
    </w:p>
    <w:bookmarkEnd w:id="99"/>
    <w:bookmarkStart w:id="100" w:name="ref-Reith2026StatinAdverseEffects"/>
    <w:p>
      <w:pPr>
        <w:pStyle w:val="Bibliography"/>
      </w:pPr>
      <w:r>
        <w:t xml:space="preserve">Reith, Christina, Lisa Blackwell, Jonathan R. Emberson, et al. 2026.</w:t>
      </w:r>
      <w:r>
        <w:t xml:space="preserve"> </w:t>
      </w:r>
      <w:r>
        <w:t xml:space="preserve">“Assessment of Adverse Effects Attributed to Statin Therapy in Product Labels: A Meta-Analysis of Double-Blind Randomised Controlled Trials.”</w:t>
      </w:r>
      <w:r>
        <w:t xml:space="preserve"> </w:t>
      </w:r>
      <w:r>
        <w:rPr>
          <w:i/>
          <w:iCs/>
        </w:rPr>
        <w:t xml:space="preserve">The Lancet</w:t>
      </w:r>
      <w:r>
        <w:t xml:space="preserve"> </w:t>
      </w:r>
      <w:r>
        <w:t xml:space="preserve">407 (10529): 689–703.</w:t>
      </w:r>
    </w:p>
    <w:bookmarkEnd w:id="100"/>
    <w:bookmarkStart w:id="102" w:name="ref-Robinson19BCA"/>
    <w:p>
      <w:pPr>
        <w:pStyle w:val="Bibliography"/>
      </w:pPr>
      <w:r>
        <w:t xml:space="preserve">Robinson, Lisa A., James K. Hammitt, Michele Cecchini, Kalipso Chalkidou, Karl Claxton, Maureen Cropper, Patrick Hoang-Vu Eozenou, et al. 2019.</w:t>
      </w:r>
      <w:r>
        <w:t xml:space="preserve"> </w:t>
      </w:r>
      <w:r>
        <w:t xml:space="preserve">“Reference Case Guidelines for Benefit-Cost Analysis in Global Health and Development.”</w:t>
      </w:r>
      <w:r>
        <w:t xml:space="preserve"> </w:t>
      </w:r>
      <w:r>
        <w:rPr>
          <w:i/>
          <w:iCs/>
        </w:rPr>
        <w:t xml:space="preserve">SSRN Electronic Journal</w:t>
      </w:r>
      <w:r>
        <w:t xml:space="preserve">, May.</w:t>
      </w:r>
      <w:r>
        <w:t xml:space="preserve"> </w:t>
      </w:r>
      <w:hyperlink r:id="rId101">
        <w:r>
          <w:rPr>
            <w:rStyle w:val="Hyperlink"/>
          </w:rPr>
          <w:t xml:space="preserve">https://doi.org/10.2139/SSRN.4015886</w:t>
        </w:r>
      </w:hyperlink>
      <w:r>
        <w:t xml:space="preserve">.</w:t>
      </w:r>
    </w:p>
    <w:bookmarkEnd w:id="102"/>
    <w:bookmarkStart w:id="104" w:name="ref-Robinson2019VSL"/>
    <w:p>
      <w:pPr>
        <w:pStyle w:val="Bibliography"/>
      </w:pPr>
      <w:r>
        <w:t xml:space="preserve">Robinson, Lisa A., James K. Hammitt, and Lucy O’Keeffe. 2019.</w:t>
      </w:r>
      <w:r>
        <w:t xml:space="preserve"> </w:t>
      </w:r>
      <w:r>
        <w:t xml:space="preserve">“Valuing Mortality Risk Reductions in Global Benefit-Cost Analysis.”</w:t>
      </w:r>
      <w:r>
        <w:t xml:space="preserve"> </w:t>
      </w:r>
      <w:r>
        <w:rPr>
          <w:i/>
          <w:iCs/>
        </w:rPr>
        <w:t xml:space="preserve">Journal of Benefit-Cost Analysis</w:t>
      </w:r>
      <w:r>
        <w:t xml:space="preserve"> </w:t>
      </w:r>
      <w:r>
        <w:t xml:space="preserve">10 (S1): 15–50.</w:t>
      </w:r>
      <w:r>
        <w:t xml:space="preserve"> </w:t>
      </w:r>
      <w:hyperlink r:id="rId103">
        <w:r>
          <w:rPr>
            <w:rStyle w:val="Hyperlink"/>
          </w:rPr>
          <w:t xml:space="preserve">https://doi.org/10.1017/bca.2018.26</w:t>
        </w:r>
      </w:hyperlink>
      <w:r>
        <w:t xml:space="preserve">.</w:t>
      </w:r>
    </w:p>
    <w:bookmarkEnd w:id="104"/>
    <w:bookmarkStart w:id="105" w:name="ref-Lancet2025TurnTideNCDs"/>
    <w:p>
      <w:pPr>
        <w:pStyle w:val="Bibliography"/>
      </w:pPr>
      <w:r>
        <w:t xml:space="preserve">The Lancet. 2025.</w:t>
      </w:r>
      <w:r>
        <w:t xml:space="preserve"> </w:t>
      </w:r>
      <w:r>
        <w:t xml:space="preserve">“Can We Turn the Tide on NCDs in 2025?”</w:t>
      </w:r>
      <w:r>
        <w:t xml:space="preserve"> </w:t>
      </w:r>
      <w:r>
        <w:rPr>
          <w:i/>
          <w:iCs/>
        </w:rPr>
        <w:t xml:space="preserve">The Lancet</w:t>
      </w:r>
      <w:r>
        <w:t xml:space="preserve"> </w:t>
      </w:r>
      <w:r>
        <w:t xml:space="preserve">405 (10472): 1.</w:t>
      </w:r>
    </w:p>
    <w:bookmarkEnd w:id="105"/>
    <w:bookmarkStart w:id="107" w:name="ref-Verguet2024ECValue"/>
    <w:p>
      <w:pPr>
        <w:pStyle w:val="Bibliography"/>
      </w:pPr>
      <w:r>
        <w:t xml:space="preserve">Verguet, Stéphane, Sarah Bolongaita, Angela Y. Chang, Diego S. Cardoso, and Gretchen A. Stevens. 2024.</w:t>
      </w:r>
      <w:r>
        <w:t xml:space="preserve"> </w:t>
      </w:r>
      <w:r>
        <w:t xml:space="preserve">“The Economic Value of Reducing Mortality Due to Noncommunicable Diseases and Injuries.”</w:t>
      </w:r>
      <w:r>
        <w:t xml:space="preserve"> </w:t>
      </w:r>
      <w:r>
        <w:rPr>
          <w:i/>
          <w:iCs/>
        </w:rPr>
        <w:t xml:space="preserve">Nature Medicine 2024 30:11</w:t>
      </w:r>
      <w:r>
        <w:t xml:space="preserve"> </w:t>
      </w:r>
      <w:r>
        <w:t xml:space="preserve">30 (September): 3335–44.</w:t>
      </w:r>
      <w:r>
        <w:t xml:space="preserve"> </w:t>
      </w:r>
      <w:hyperlink r:id="rId106">
        <w:r>
          <w:rPr>
            <w:rStyle w:val="Hyperlink"/>
          </w:rPr>
          <w:t xml:space="preserve">https://doi.org/10.1038/s41591-024-03248-4</w:t>
        </w:r>
      </w:hyperlink>
      <w:r>
        <w:t xml:space="preserve">.</w:t>
      </w:r>
    </w:p>
    <w:bookmarkEnd w:id="107"/>
    <w:bookmarkStart w:id="109" w:name="ref-Vollset2024"/>
    <w:p>
      <w:pPr>
        <w:pStyle w:val="Bibliography"/>
      </w:pPr>
      <w:r>
        <w:t xml:space="preserve">Vollset, Stein Emil, Hazim S. Ababneh, Yohannes Habtegiorgis Abate, Cristiana Abbafati, Rouzbeh Abbasgholizadeh, Mohammadreza Abbasian, Hedayat Abbastabar, et al. 2024.</w:t>
      </w:r>
      <w:r>
        <w:t xml:space="preserve"> </w:t>
      </w:r>
      <w:r>
        <w:t xml:space="preserve">“Burden of Disease Scenarios for 204 Countries and Territories, 2022–2050: A Forecasting Analysis for the Global Burden of Disease Study 2021.”</w:t>
      </w:r>
      <w:r>
        <w:t xml:space="preserve"> </w:t>
      </w:r>
      <w:r>
        <w:rPr>
          <w:i/>
          <w:iCs/>
        </w:rPr>
        <w:t xml:space="preserve">The Lancet</w:t>
      </w:r>
      <w:r>
        <w:t xml:space="preserve"> </w:t>
      </w:r>
      <w:r>
        <w:t xml:space="preserve">403 (May): 2204–56.</w:t>
      </w:r>
      <w:r>
        <w:t xml:space="preserve"> </w:t>
      </w:r>
      <w:hyperlink r:id="rId108">
        <w:r>
          <w:rPr>
            <w:rStyle w:val="Hyperlink"/>
          </w:rPr>
          <w:t xml:space="preserve">https://doi.org/10.1016/S0140-6736(24)00685-8/ATTACHMENT/92EF98AF-7EAF-4FFE-B0DE-C943208CF6F1/MMC3.PDF</w:t>
        </w:r>
      </w:hyperlink>
      <w:r>
        <w:t xml:space="preserve">.</w:t>
      </w:r>
    </w:p>
    <w:bookmarkEnd w:id="109"/>
    <w:bookmarkStart w:id="111" w:name="ref-Watkins2022NCD2030"/>
    <w:p>
      <w:pPr>
        <w:pStyle w:val="Bibliography"/>
      </w:pPr>
      <w:r>
        <w:t xml:space="preserve">Watkins, David A, William T Msemburi, Sarah J Pickersgill, Yoshito Kawakatsu, Adrian Gheorghe, Katie Dain, Kjell Arne Johansson, et al. 2022.</w:t>
      </w:r>
      <w:r>
        <w:t xml:space="preserve"> </w:t>
      </w:r>
      <w:r>
        <w:t xml:space="preserve">“NCD Countdown 2030: Efficient Pathways and Strategic Investments to Accelerate Progress Towards the Sustainable Development Goal Target 3.4 in Low-Income and Middle-Income Countries.”</w:t>
      </w:r>
      <w:r>
        <w:t xml:space="preserve"> </w:t>
      </w:r>
      <w:r>
        <w:rPr>
          <w:i/>
          <w:iCs/>
        </w:rPr>
        <w:t xml:space="preserve">The Lancet</w:t>
      </w:r>
      <w:r>
        <w:t xml:space="preserve"> </w:t>
      </w:r>
      <w:r>
        <w:t xml:space="preserve">399 (March): 1266–78.</w:t>
      </w:r>
      <w:r>
        <w:t xml:space="preserve"> </w:t>
      </w:r>
      <w:hyperlink r:id="rId110">
        <w:r>
          <w:rPr>
            <w:rStyle w:val="Hyperlink"/>
          </w:rPr>
          <w:t xml:space="preserve">https://doi.org/10.1016/S0140-6736(21)02347-3</w:t>
        </w:r>
      </w:hyperlink>
      <w:r>
        <w:t xml:space="preserve">.</w:t>
      </w:r>
    </w:p>
    <w:bookmarkEnd w:id="111"/>
    <w:bookmarkStart w:id="112" w:name="ref-WHO2011NCDMonitoringFramework"/>
    <w:p>
      <w:pPr>
        <w:pStyle w:val="Bibliography"/>
      </w:pPr>
      <w:r>
        <w:t xml:space="preserve">World Health Organization. 2011.</w:t>
      </w:r>
      <w:r>
        <w:t xml:space="preserve"> </w:t>
      </w:r>
      <w:r>
        <w:t xml:space="preserve">“Global NCDs Surveillance Monitoring Framework.”</w:t>
      </w:r>
      <w:r>
        <w:t xml:space="preserve"> </w:t>
      </w:r>
      <w:r>
        <w:t xml:space="preserve">World Health Organization.</w:t>
      </w:r>
    </w:p>
    <w:bookmarkEnd w:id="112"/>
    <w:bookmarkStart w:id="113" w:name="ref-WHO2025HypertensionReport"/>
    <w:p>
      <w:pPr>
        <w:pStyle w:val="Bibliography"/>
      </w:pPr>
      <w:r>
        <w:t xml:space="preserve">———. 2025.</w:t>
      </w:r>
      <w:r>
        <w:t xml:space="preserve"> </w:t>
      </w:r>
      <w:r>
        <w:rPr>
          <w:i/>
          <w:iCs/>
        </w:rPr>
        <w:t xml:space="preserve">Global Report on Hypertension 2025: High Stakes–Turning Evidence into Action</w:t>
      </w:r>
      <w:r>
        <w:t xml:space="preserve">. World Health Organization.</w:t>
      </w:r>
    </w:p>
    <w:bookmarkEnd w:id="113"/>
    <w:bookmarkEnd w:id="114"/>
    <w:p>
      <w:r>
        <w:br w:type="page"/>
      </w:r>
    </w:p>
    <w:bookmarkEnd w:id="115"/>
    <w:bookmarkStart w:id="116" w:name="tables"/>
    <w:p>
      <w:pPr>
        <w:pStyle w:val="Heading1"/>
      </w:pPr>
      <w:r>
        <w:rPr>
          <w:rStyle w:val="SectionNumber"/>
        </w:rPr>
        <w:t xml:space="preserve">8</w:t>
      </w:r>
      <w:r>
        <w:tab/>
      </w:r>
      <w:r>
        <w:t xml:space="preserve">Tables</w:t>
      </w:r>
    </w:p>
    <w:p>
      <w:pPr>
        <w:pStyle w:val="FirstParagraph"/>
      </w:pPr>
      <w:r>
        <w:rPr>
          <w:b/>
          <w:bCs/>
        </w:rPr>
        <w:t xml:space="preserve">Table 1.</w:t>
      </w:r>
      <w:r>
        <w:t xml:space="preserve"> </w:t>
      </w:r>
      <w:r>
        <w:t xml:space="preserve">Cumulative CVD deaths averted by intervention scenario, 2026-2050.</w:t>
      </w:r>
    </w:p>
    <w:tbl>
      <w:tblPr>
        <w:tblStyle w:val="Table"/>
        <w:tblW w:type="pct" w:w="5000"/>
        <w:tblLayout w:type="fixed"/>
        <w:tblLook w:firstRow="1" w:lastRow="0" w:firstColumn="0" w:lastColumn="0" w:noHBand="0" w:noVBand="0" w:val="0020"/>
      </w:tblPr>
      <w:tblGrid>
        <w:gridCol w:w="1937"/>
        <w:gridCol w:w="2190"/>
        <w:gridCol w:w="2443"/>
        <w:gridCol w:w="1348"/>
      </w:tblGrid>
      <w:tr>
        <w:trPr>
          <w:tblHeader w:val="on"/>
        </w:trPr>
        <w:tc>
          <w:tcPr/>
          <w:p>
            <w:pPr>
              <w:pStyle w:val="Compact"/>
              <w:jc w:val="left"/>
            </w:pPr>
            <w:r>
              <w:t xml:space="preserve">Intervention</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of BAU deaths</w:t>
            </w:r>
          </w:p>
        </w:tc>
      </w:tr>
      <w:tr>
        <w:tc>
          <w:tcPr/>
          <w:p>
            <w:pPr>
              <w:pStyle w:val="Compact"/>
              <w:jc w:val="left"/>
            </w:pPr>
            <w:r>
              <w:t xml:space="preserve">HTN Control (General)</w:t>
            </w:r>
          </w:p>
        </w:tc>
        <w:tc>
          <w:tcPr/>
          <w:p>
            <w:pPr>
              <w:pStyle w:val="Compact"/>
              <w:jc w:val="right"/>
            </w:pPr>
            <w:r>
              <w:t xml:space="preserve">29.4</w:t>
            </w:r>
          </w:p>
        </w:tc>
        <w:tc>
          <w:tcPr/>
          <w:p>
            <w:pPr>
              <w:pStyle w:val="Compact"/>
              <w:jc w:val="right"/>
            </w:pPr>
            <w:r>
              <w:t xml:space="preserve">1,175</w:t>
            </w:r>
          </w:p>
        </w:tc>
        <w:tc>
          <w:tcPr/>
          <w:p>
            <w:pPr>
              <w:pStyle w:val="Compact"/>
              <w:jc w:val="right"/>
            </w:pPr>
            <w:r>
              <w:t xml:space="preserve">4.2%</w:t>
            </w:r>
          </w:p>
        </w:tc>
      </w:tr>
      <w:tr>
        <w:tc>
          <w:tcPr/>
          <w:p>
            <w:pPr>
              <w:pStyle w:val="Compact"/>
              <w:jc w:val="left"/>
            </w:pPr>
            <w:r>
              <w:t xml:space="preserve">HTN Control (Diabetes)</w:t>
            </w:r>
          </w:p>
        </w:tc>
        <w:tc>
          <w:tcPr/>
          <w:p>
            <w:pPr>
              <w:pStyle w:val="Compact"/>
              <w:jc w:val="right"/>
            </w:pPr>
            <w:r>
              <w:t xml:space="preserve">16.2</w:t>
            </w:r>
          </w:p>
        </w:tc>
        <w:tc>
          <w:tcPr/>
          <w:p>
            <w:pPr>
              <w:pStyle w:val="Compact"/>
              <w:jc w:val="right"/>
            </w:pPr>
            <w:r>
              <w:t xml:space="preserve">647</w:t>
            </w:r>
          </w:p>
        </w:tc>
        <w:tc>
          <w:tcPr/>
          <w:p>
            <w:pPr>
              <w:pStyle w:val="Compact"/>
              <w:jc w:val="right"/>
            </w:pPr>
            <w:r>
              <w:t xml:space="preserve">2.3%</w:t>
            </w:r>
          </w:p>
        </w:tc>
      </w:tr>
      <w:tr>
        <w:tc>
          <w:tcPr/>
          <w:p>
            <w:pPr>
              <w:pStyle w:val="Compact"/>
              <w:jc w:val="left"/>
            </w:pPr>
            <w:r>
              <w:t xml:space="preserve">Improved Statin Uptake</w:t>
            </w:r>
          </w:p>
        </w:tc>
        <w:tc>
          <w:tcPr/>
          <w:p>
            <w:pPr>
              <w:pStyle w:val="Compact"/>
              <w:jc w:val="right"/>
            </w:pPr>
            <w:r>
              <w:t xml:space="preserve">21.3</w:t>
            </w:r>
          </w:p>
        </w:tc>
        <w:tc>
          <w:tcPr/>
          <w:p>
            <w:pPr>
              <w:pStyle w:val="Compact"/>
              <w:jc w:val="right"/>
            </w:pPr>
            <w:r>
              <w:t xml:space="preserve">851</w:t>
            </w:r>
          </w:p>
        </w:tc>
        <w:tc>
          <w:tcPr/>
          <w:p>
            <w:pPr>
              <w:pStyle w:val="Compact"/>
              <w:jc w:val="right"/>
            </w:pPr>
            <w:r>
              <w:t xml:space="preserve">3.1%</w:t>
            </w:r>
          </w:p>
        </w:tc>
      </w:tr>
      <w:tr>
        <w:tc>
          <w:tcPr/>
          <w:p>
            <w:pPr>
              <w:pStyle w:val="Compact"/>
              <w:jc w:val="left"/>
            </w:pPr>
            <w:r>
              <w:t xml:space="preserve">All Interventions</w:t>
            </w:r>
          </w:p>
        </w:tc>
        <w:tc>
          <w:tcPr/>
          <w:p>
            <w:pPr>
              <w:pStyle w:val="Compact"/>
              <w:jc w:val="right"/>
            </w:pPr>
            <w:r>
              <w:t xml:space="preserve">65.6</w:t>
            </w:r>
          </w:p>
        </w:tc>
        <w:tc>
          <w:tcPr/>
          <w:p>
            <w:pPr>
              <w:pStyle w:val="Compact"/>
              <w:jc w:val="right"/>
            </w:pPr>
            <w:r>
              <w:t xml:space="preserve">2,623</w:t>
            </w:r>
          </w:p>
        </w:tc>
        <w:tc>
          <w:tcPr/>
          <w:p>
            <w:pPr>
              <w:pStyle w:val="Compact"/>
              <w:jc w:val="right"/>
            </w:pPr>
            <w:r>
              <w:t xml:space="preserve">9.4%</w:t>
            </w:r>
          </w:p>
        </w:tc>
      </w:tr>
    </w:tbl>
    <w:p>
      <w:pPr>
        <w:pStyle w:val="BodyText"/>
      </w:pPr>
      <w:r>
        <w:rPr>
          <w:i/>
          <w:iCs/>
        </w:rPr>
        <w:t xml:space="preserve">Note: Deaths averted = cumulative difference between business-as-usual and intervention scenario, 2026-2050. All four CVD causes combined: ischaemic heart disease, ischaemic stroke, intracerebral haemorrhage, hypertensive heart disease.</w:t>
      </w:r>
    </w:p>
    <w:p>
      <w:r>
        <w:br w:type="page"/>
      </w:r>
    </w:p>
    <w:p>
      <w:pPr>
        <w:pStyle w:val="BodyText"/>
      </w:pPr>
      <w:r>
        <w:rPr>
          <w:b/>
          <w:bCs/>
        </w:rPr>
        <w:t xml:space="preserve">Table 2.</w:t>
      </w:r>
      <w:r>
        <w:t xml:space="preserve"> </w:t>
      </w:r>
      <w:r>
        <w:t xml:space="preserve">Cumulative CVD deaths averted by intervention scenario and cause of death (millions), 2026-2050.</w:t>
      </w:r>
    </w:p>
    <w:tbl>
      <w:tblPr>
        <w:tblStyle w:val="Table"/>
        <w:tblW w:type="pct" w:w="5000"/>
        <w:tblLayout w:type="fixed"/>
        <w:tblLook w:firstRow="1" w:lastRow="0" w:firstColumn="0" w:lastColumn="0" w:noHBand="0" w:noVBand="0" w:val="0020"/>
      </w:tblPr>
      <w:tblGrid>
        <w:gridCol w:w="2221"/>
        <w:gridCol w:w="1931"/>
        <w:gridCol w:w="1545"/>
        <w:gridCol w:w="579"/>
        <w:gridCol w:w="1641"/>
      </w:tblGrid>
      <w:tr>
        <w:trPr>
          <w:tblHeader w:val="on"/>
        </w:trPr>
        <w:tc>
          <w:tcPr/>
          <w:p>
            <w:pPr>
              <w:pStyle w:val="Compact"/>
              <w:jc w:val="left"/>
            </w:pPr>
            <w:r>
              <w:t xml:space="preserve">Intervention</w:t>
            </w:r>
          </w:p>
        </w:tc>
        <w:tc>
          <w:tcPr/>
          <w:p>
            <w:pPr>
              <w:pStyle w:val="Compact"/>
              <w:jc w:val="right"/>
            </w:pPr>
            <w:r>
              <w:t xml:space="preserve">Haemorrhagic stroke</w:t>
            </w:r>
          </w:p>
        </w:tc>
        <w:tc>
          <w:tcPr/>
          <w:p>
            <w:pPr>
              <w:pStyle w:val="Compact"/>
              <w:jc w:val="right"/>
            </w:pPr>
            <w:r>
              <w:t xml:space="preserve">Hypertensive HD</w:t>
            </w:r>
          </w:p>
        </w:tc>
        <w:tc>
          <w:tcPr/>
          <w:p>
            <w:pPr>
              <w:pStyle w:val="Compact"/>
              <w:jc w:val="right"/>
            </w:pPr>
            <w:r>
              <w:t xml:space="preserve">IHD</w:t>
            </w:r>
          </w:p>
        </w:tc>
        <w:tc>
          <w:tcPr/>
          <w:p>
            <w:pPr>
              <w:pStyle w:val="Compact"/>
              <w:jc w:val="right"/>
            </w:pPr>
            <w:r>
              <w:t xml:space="preserve">Ischaemic stroke</w:t>
            </w:r>
          </w:p>
        </w:tc>
      </w:tr>
      <w:tr>
        <w:tc>
          <w:tcPr/>
          <w:p>
            <w:pPr>
              <w:pStyle w:val="Compact"/>
              <w:jc w:val="left"/>
            </w:pPr>
            <w:r>
              <w:t xml:space="preserve">HTN Control (General)</w:t>
            </w:r>
          </w:p>
        </w:tc>
        <w:tc>
          <w:tcPr/>
          <w:p>
            <w:pPr>
              <w:pStyle w:val="Compact"/>
              <w:jc w:val="right"/>
            </w:pPr>
            <w:r>
              <w:t xml:space="preserve">17.44</w:t>
            </w:r>
          </w:p>
        </w:tc>
        <w:tc>
          <w:tcPr/>
          <w:p>
            <w:pPr>
              <w:pStyle w:val="Compact"/>
              <w:jc w:val="right"/>
            </w:pPr>
            <w:r>
              <w:t xml:space="preserve">1.77</w:t>
            </w:r>
          </w:p>
        </w:tc>
        <w:tc>
          <w:tcPr/>
          <w:p>
            <w:pPr>
              <w:pStyle w:val="Compact"/>
              <w:jc w:val="right"/>
            </w:pPr>
            <w:r>
              <w:t xml:space="preserve">5.81</w:t>
            </w:r>
          </w:p>
        </w:tc>
        <w:tc>
          <w:tcPr/>
          <w:p>
            <w:pPr>
              <w:pStyle w:val="Compact"/>
              <w:jc w:val="right"/>
            </w:pPr>
            <w:r>
              <w:t xml:space="preserve">4.34</w:t>
            </w:r>
          </w:p>
        </w:tc>
      </w:tr>
      <w:tr>
        <w:tc>
          <w:tcPr/>
          <w:p>
            <w:pPr>
              <w:pStyle w:val="Compact"/>
              <w:jc w:val="left"/>
            </w:pPr>
            <w:r>
              <w:t xml:space="preserve">HTN Control (Diabetes)</w:t>
            </w:r>
          </w:p>
        </w:tc>
        <w:tc>
          <w:tcPr/>
          <w:p>
            <w:pPr>
              <w:pStyle w:val="Compact"/>
              <w:jc w:val="right"/>
            </w:pPr>
            <w:r>
              <w:t xml:space="preserve">5.64</w:t>
            </w:r>
          </w:p>
        </w:tc>
        <w:tc>
          <w:tcPr/>
          <w:p>
            <w:pPr>
              <w:pStyle w:val="Compact"/>
              <w:jc w:val="right"/>
            </w:pPr>
            <w:r>
              <w:t xml:space="preserve">1.95</w:t>
            </w:r>
          </w:p>
        </w:tc>
        <w:tc>
          <w:tcPr/>
          <w:p>
            <w:pPr>
              <w:pStyle w:val="Compact"/>
              <w:jc w:val="right"/>
            </w:pPr>
            <w:r>
              <w:t xml:space="preserve">4.38</w:t>
            </w:r>
          </w:p>
        </w:tc>
        <w:tc>
          <w:tcPr/>
          <w:p>
            <w:pPr>
              <w:pStyle w:val="Compact"/>
              <w:jc w:val="right"/>
            </w:pPr>
            <w:r>
              <w:t xml:space="preserve">4.22</w:t>
            </w:r>
          </w:p>
        </w:tc>
      </w:tr>
      <w:tr>
        <w:tc>
          <w:tcPr/>
          <w:p>
            <w:pPr>
              <w:pStyle w:val="Compact"/>
              <w:jc w:val="left"/>
            </w:pPr>
            <w:r>
              <w:t xml:space="preserve">Improved Statin Uptake</w:t>
            </w:r>
          </w:p>
        </w:tc>
        <w:tc>
          <w:tcPr/>
          <w:p>
            <w:pPr>
              <w:pStyle w:val="Compact"/>
              <w:jc w:val="right"/>
            </w:pPr>
            <w:r>
              <w:t xml:space="preserve">–</w:t>
            </w:r>
          </w:p>
        </w:tc>
        <w:tc>
          <w:tcPr/>
          <w:p>
            <w:pPr>
              <w:pStyle w:val="Compact"/>
              <w:jc w:val="right"/>
            </w:pPr>
            <w:r>
              <w:t xml:space="preserve">–</w:t>
            </w:r>
          </w:p>
        </w:tc>
        <w:tc>
          <w:tcPr/>
          <w:p>
            <w:pPr>
              <w:pStyle w:val="Compact"/>
              <w:jc w:val="right"/>
            </w:pPr>
            <w:r>
              <w:t xml:space="preserve">20.85</w:t>
            </w:r>
          </w:p>
        </w:tc>
        <w:tc>
          <w:tcPr/>
          <w:p>
            <w:pPr>
              <w:pStyle w:val="Compact"/>
              <w:jc w:val="right"/>
            </w:pPr>
            <w:r>
              <w:t xml:space="preserve">1.46</w:t>
            </w:r>
          </w:p>
        </w:tc>
      </w:tr>
      <w:tr>
        <w:tc>
          <w:tcPr/>
          <w:p>
            <w:pPr>
              <w:pStyle w:val="Compact"/>
              <w:jc w:val="left"/>
            </w:pPr>
            <w:r>
              <w:t xml:space="preserve">All Interventions</w:t>
            </w:r>
          </w:p>
        </w:tc>
        <w:tc>
          <w:tcPr/>
          <w:p>
            <w:pPr>
              <w:pStyle w:val="Compact"/>
              <w:jc w:val="right"/>
            </w:pPr>
            <w:r>
              <w:t xml:space="preserve">21.76</w:t>
            </w:r>
          </w:p>
        </w:tc>
        <w:tc>
          <w:tcPr/>
          <w:p>
            <w:pPr>
              <w:pStyle w:val="Compact"/>
              <w:jc w:val="right"/>
            </w:pPr>
            <w:r>
              <w:t xml:space="preserve">3.34</w:t>
            </w:r>
          </w:p>
        </w:tc>
        <w:tc>
          <w:tcPr/>
          <w:p>
            <w:pPr>
              <w:pStyle w:val="Compact"/>
              <w:jc w:val="right"/>
            </w:pPr>
            <w:r>
              <w:t xml:space="preserve">30.57</w:t>
            </w:r>
          </w:p>
        </w:tc>
        <w:tc>
          <w:tcPr/>
          <w:p>
            <w:pPr>
              <w:pStyle w:val="Compact"/>
              <w:jc w:val="right"/>
            </w:pPr>
            <w:r>
              <w:t xml:space="preserve">9.92</w:t>
            </w:r>
          </w:p>
        </w:tc>
      </w:tr>
    </w:tbl>
    <w:p>
      <w:pPr>
        <w:pStyle w:val="BodyText"/>
      </w:pPr>
      <w:r>
        <w:rPr>
          <w:i/>
          <w:iCs/>
        </w:rPr>
        <w:t xml:space="preserve">Note: Values in millions.</w:t>
      </w:r>
      <w:r>
        <w:rPr>
          <w:i/>
          <w:iCs/>
        </w:rPr>
        <w:t xml:space="preserve"> </w:t>
      </w:r>
      <w:r>
        <w:rPr>
          <w:i/>
          <w:iCs/>
        </w:rPr>
        <w:t xml:space="preserve">013 = intervention does not affect this cause. Statin effects restricted to IHD and ischaemic stroke.</w:t>
      </w:r>
    </w:p>
    <w:p>
      <w:r>
        <w:br w:type="page"/>
      </w:r>
    </w:p>
    <w:p>
      <w:pPr>
        <w:pStyle w:val="BodyText"/>
      </w:pPr>
      <w:r>
        <w:rPr>
          <w:b/>
          <w:bCs/>
        </w:rPr>
        <w:t xml:space="preserve">Table 3.</w:t>
      </w:r>
      <w:r>
        <w:t xml:space="preserve"> </w:t>
      </w:r>
      <w:r>
        <w:t xml:space="preserve">Cumulative burden of disease averted by intervention scenario (millions), 2026-2050.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Intervention</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HTN Control (General)</w:t>
            </w:r>
          </w:p>
        </w:tc>
        <w:tc>
          <w:tcPr/>
          <w:p>
            <w:pPr>
              <w:pStyle w:val="Compact"/>
              <w:jc w:val="right"/>
            </w:pPr>
            <w:r>
              <w:t xml:space="preserve">29.4</w:t>
            </w:r>
          </w:p>
        </w:tc>
        <w:tc>
          <w:tcPr/>
          <w:p>
            <w:pPr>
              <w:pStyle w:val="Compact"/>
              <w:jc w:val="right"/>
            </w:pPr>
            <w:r>
              <w:t xml:space="preserve">376.2</w:t>
            </w:r>
          </w:p>
        </w:tc>
        <w:tc>
          <w:tcPr/>
          <w:p>
            <w:pPr>
              <w:pStyle w:val="Compact"/>
              <w:jc w:val="right"/>
            </w:pPr>
            <w:r>
              <w:t xml:space="preserve">14.0</w:t>
            </w:r>
          </w:p>
        </w:tc>
        <w:tc>
          <w:tcPr/>
          <w:p>
            <w:pPr>
              <w:pStyle w:val="Compact"/>
              <w:jc w:val="right"/>
            </w:pPr>
            <w:r>
              <w:t xml:space="preserve">390.2</w:t>
            </w:r>
          </w:p>
        </w:tc>
      </w:tr>
      <w:tr>
        <w:tc>
          <w:tcPr/>
          <w:p>
            <w:pPr>
              <w:pStyle w:val="Compact"/>
              <w:jc w:val="left"/>
            </w:pPr>
            <w:r>
              <w:t xml:space="preserve">HTN Control (Diabetes)</w:t>
            </w:r>
          </w:p>
        </w:tc>
        <w:tc>
          <w:tcPr/>
          <w:p>
            <w:pPr>
              <w:pStyle w:val="Compact"/>
              <w:jc w:val="right"/>
            </w:pPr>
            <w:r>
              <w:t xml:space="preserve">16.2</w:t>
            </w:r>
          </w:p>
        </w:tc>
        <w:tc>
          <w:tcPr/>
          <w:p>
            <w:pPr>
              <w:pStyle w:val="Compact"/>
              <w:jc w:val="right"/>
            </w:pPr>
            <w:r>
              <w:t xml:space="preserve">144.5</w:t>
            </w:r>
          </w:p>
        </w:tc>
        <w:tc>
          <w:tcPr/>
          <w:p>
            <w:pPr>
              <w:pStyle w:val="Compact"/>
              <w:jc w:val="right"/>
            </w:pPr>
            <w:r>
              <w:t xml:space="preserve">5.4</w:t>
            </w:r>
          </w:p>
        </w:tc>
        <w:tc>
          <w:tcPr/>
          <w:p>
            <w:pPr>
              <w:pStyle w:val="Compact"/>
              <w:jc w:val="right"/>
            </w:pPr>
            <w:r>
              <w:t xml:space="preserve">149.8</w:t>
            </w:r>
          </w:p>
        </w:tc>
      </w:tr>
      <w:tr>
        <w:tc>
          <w:tcPr/>
          <w:p>
            <w:pPr>
              <w:pStyle w:val="Compact"/>
              <w:jc w:val="left"/>
            </w:pPr>
            <w:r>
              <w:t xml:space="preserve">Improved Statin Uptake</w:t>
            </w:r>
          </w:p>
        </w:tc>
        <w:tc>
          <w:tcPr/>
          <w:p>
            <w:pPr>
              <w:pStyle w:val="Compact"/>
              <w:jc w:val="right"/>
            </w:pPr>
            <w:r>
              <w:t xml:space="preserve">21.3</w:t>
            </w:r>
          </w:p>
        </w:tc>
        <w:tc>
          <w:tcPr/>
          <w:p>
            <w:pPr>
              <w:pStyle w:val="Compact"/>
              <w:jc w:val="right"/>
            </w:pPr>
            <w:r>
              <w:t xml:space="preserve">264.8</w:t>
            </w:r>
          </w:p>
        </w:tc>
        <w:tc>
          <w:tcPr/>
          <w:p>
            <w:pPr>
              <w:pStyle w:val="Compact"/>
              <w:jc w:val="right"/>
            </w:pPr>
            <w:r>
              <w:t xml:space="preserve">-1.7</w:t>
            </w:r>
          </w:p>
        </w:tc>
        <w:tc>
          <w:tcPr/>
          <w:p>
            <w:pPr>
              <w:pStyle w:val="Compact"/>
              <w:jc w:val="right"/>
            </w:pPr>
            <w:r>
              <w:t xml:space="preserve">263.1</w:t>
            </w:r>
          </w:p>
        </w:tc>
      </w:tr>
      <w:tr>
        <w:tc>
          <w:tcPr/>
          <w:p>
            <w:pPr>
              <w:pStyle w:val="Compact"/>
              <w:jc w:val="left"/>
            </w:pPr>
            <w:r>
              <w:t xml:space="preserve">All Interventions</w:t>
            </w:r>
          </w:p>
        </w:tc>
        <w:tc>
          <w:tcPr/>
          <w:p>
            <w:pPr>
              <w:pStyle w:val="Compact"/>
              <w:jc w:val="right"/>
            </w:pPr>
            <w:r>
              <w:t xml:space="preserve">65.6</w:t>
            </w:r>
          </w:p>
        </w:tc>
        <w:tc>
          <w:tcPr/>
          <w:p>
            <w:pPr>
              <w:pStyle w:val="Compact"/>
              <w:jc w:val="right"/>
            </w:pPr>
            <w:r>
              <w:t xml:space="preserve">769.3</w:t>
            </w:r>
          </w:p>
        </w:tc>
        <w:tc>
          <w:tcPr/>
          <w:p>
            <w:pPr>
              <w:pStyle w:val="Compact"/>
              <w:jc w:val="right"/>
            </w:pPr>
            <w:r>
              <w:t xml:space="preserve">17.7</w:t>
            </w:r>
          </w:p>
        </w:tc>
        <w:tc>
          <w:tcPr/>
          <w:p>
            <w:pPr>
              <w:pStyle w:val="Compact"/>
              <w:jc w:val="right"/>
            </w:pPr>
            <w:r>
              <w:t xml:space="preserve">787.0</w:t>
            </w:r>
          </w:p>
        </w:tc>
      </w:tr>
    </w:tbl>
    <w:p>
      <w:pPr>
        <w:pStyle w:val="BodyText"/>
      </w:pPr>
      <w:r>
        <w:rPr>
          <w:i/>
          <w:iCs/>
        </w:rPr>
        <w:t xml:space="preserve">Note: Values in millions. Averted = business-as-usual minus intervention scenario, cumulated 2026-2050. YLLs = years of life lost; YLDs = years lived with disability; DALYs = disability-adjusted life years.</w:t>
      </w:r>
    </w:p>
    <w:p>
      <w:r>
        <w:br w:type="page"/>
      </w:r>
    </w:p>
    <w:p>
      <w:pPr>
        <w:pStyle w:val="BodyText"/>
      </w:pPr>
      <w:r>
        <w:rPr>
          <w:b/>
          <w:bCs/>
        </w:rPr>
        <w:t xml:space="preserve">Table 4.</w:t>
      </w:r>
      <w:r>
        <w:t xml:space="preserve"> </w:t>
      </w:r>
      <w:r>
        <w:t xml:space="preserve">Cumulative CVD deaths averted by WHO region under the combined intervention scenario, 2026-2050.</w:t>
      </w:r>
    </w:p>
    <w:tbl>
      <w:tblPr>
        <w:tblStyle w:val="Table"/>
        <w:tblW w:type="pct" w:w="5000"/>
        <w:tblLayout w:type="fixed"/>
        <w:tblLook w:firstRow="1" w:lastRow="0" w:firstColumn="0" w:lastColumn="0" w:noHBand="0" w:noVBand="0" w:val="0020"/>
      </w:tblPr>
      <w:tblGrid>
        <w:gridCol w:w="1598"/>
        <w:gridCol w:w="1598"/>
        <w:gridCol w:w="1889"/>
        <w:gridCol w:w="2107"/>
        <w:gridCol w:w="726"/>
      </w:tblGrid>
      <w:tr>
        <w:trPr>
          <w:tblHeader w:val="on"/>
        </w:trPr>
        <w:tc>
          <w:tcPr/>
          <w:p>
            <w:pPr>
              <w:pStyle w:val="Compact"/>
              <w:jc w:val="left"/>
            </w:pPr>
            <w:r>
              <w:t xml:space="preserve">Region</w:t>
            </w:r>
          </w:p>
        </w:tc>
        <w:tc>
          <w:tcPr/>
          <w:p>
            <w:pPr>
              <w:pStyle w:val="Compact"/>
              <w:jc w:val="right"/>
            </w:pPr>
            <w:r>
              <w:t xml:space="preserve">BAU deaths (millions)</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averted</w:t>
            </w:r>
          </w:p>
        </w:tc>
      </w:tr>
      <w:tr>
        <w:tc>
          <w:tcPr/>
          <w:p>
            <w:pPr>
              <w:pStyle w:val="Compact"/>
              <w:jc w:val="left"/>
            </w:pPr>
            <w:r>
              <w:t xml:space="preserve">Western Pacific</w:t>
            </w:r>
          </w:p>
        </w:tc>
        <w:tc>
          <w:tcPr/>
          <w:p>
            <w:pPr>
              <w:pStyle w:val="Compact"/>
              <w:jc w:val="right"/>
            </w:pPr>
            <w:r>
              <w:t xml:space="preserve">227.3</w:t>
            </w:r>
          </w:p>
        </w:tc>
        <w:tc>
          <w:tcPr/>
          <w:p>
            <w:pPr>
              <w:pStyle w:val="Compact"/>
              <w:jc w:val="right"/>
            </w:pPr>
            <w:r>
              <w:t xml:space="preserve">21.7</w:t>
            </w:r>
          </w:p>
        </w:tc>
        <w:tc>
          <w:tcPr/>
          <w:p>
            <w:pPr>
              <w:pStyle w:val="Compact"/>
              <w:jc w:val="right"/>
            </w:pPr>
            <w:r>
              <w:t xml:space="preserve">868</w:t>
            </w:r>
          </w:p>
        </w:tc>
        <w:tc>
          <w:tcPr/>
          <w:p>
            <w:pPr>
              <w:pStyle w:val="Compact"/>
              <w:jc w:val="right"/>
            </w:pPr>
            <w:r>
              <w:t xml:space="preserve">9.5%</w:t>
            </w:r>
          </w:p>
        </w:tc>
      </w:tr>
      <w:tr>
        <w:tc>
          <w:tcPr/>
          <w:p>
            <w:pPr>
              <w:pStyle w:val="Compact"/>
              <w:jc w:val="left"/>
            </w:pPr>
            <w:r>
              <w:t xml:space="preserve">South-East Asia</w:t>
            </w:r>
          </w:p>
        </w:tc>
        <w:tc>
          <w:tcPr/>
          <w:p>
            <w:pPr>
              <w:pStyle w:val="Compact"/>
              <w:jc w:val="right"/>
            </w:pPr>
            <w:r>
              <w:t xml:space="preserve">175.8</w:t>
            </w:r>
          </w:p>
        </w:tc>
        <w:tc>
          <w:tcPr/>
          <w:p>
            <w:pPr>
              <w:pStyle w:val="Compact"/>
              <w:jc w:val="right"/>
            </w:pPr>
            <w:r>
              <w:t xml:space="preserve">17.2</w:t>
            </w:r>
          </w:p>
        </w:tc>
        <w:tc>
          <w:tcPr/>
          <w:p>
            <w:pPr>
              <w:pStyle w:val="Compact"/>
              <w:jc w:val="right"/>
            </w:pPr>
            <w:r>
              <w:t xml:space="preserve">689</w:t>
            </w:r>
          </w:p>
        </w:tc>
        <w:tc>
          <w:tcPr/>
          <w:p>
            <w:pPr>
              <w:pStyle w:val="Compact"/>
              <w:jc w:val="right"/>
            </w:pPr>
            <w:r>
              <w:t xml:space="preserve">9.8%</w:t>
            </w:r>
          </w:p>
        </w:tc>
      </w:tr>
      <w:tr>
        <w:tc>
          <w:tcPr/>
          <w:p>
            <w:pPr>
              <w:pStyle w:val="Compact"/>
              <w:jc w:val="left"/>
            </w:pPr>
            <w:r>
              <w:t xml:space="preserve">Europe</w:t>
            </w:r>
          </w:p>
        </w:tc>
        <w:tc>
          <w:tcPr/>
          <w:p>
            <w:pPr>
              <w:pStyle w:val="Compact"/>
              <w:jc w:val="right"/>
            </w:pPr>
            <w:r>
              <w:t xml:space="preserve">117.2</w:t>
            </w:r>
          </w:p>
        </w:tc>
        <w:tc>
          <w:tcPr/>
          <w:p>
            <w:pPr>
              <w:pStyle w:val="Compact"/>
              <w:jc w:val="right"/>
            </w:pPr>
            <w:r>
              <w:t xml:space="preserve">9.8</w:t>
            </w:r>
          </w:p>
        </w:tc>
        <w:tc>
          <w:tcPr/>
          <w:p>
            <w:pPr>
              <w:pStyle w:val="Compact"/>
              <w:jc w:val="right"/>
            </w:pPr>
            <w:r>
              <w:t xml:space="preserve">390</w:t>
            </w:r>
          </w:p>
        </w:tc>
        <w:tc>
          <w:tcPr/>
          <w:p>
            <w:pPr>
              <w:pStyle w:val="Compact"/>
              <w:jc w:val="right"/>
            </w:pPr>
            <w:r>
              <w:t xml:space="preserve">8.3%</w:t>
            </w:r>
          </w:p>
        </w:tc>
      </w:tr>
      <w:tr>
        <w:tc>
          <w:tcPr/>
          <w:p>
            <w:pPr>
              <w:pStyle w:val="Compact"/>
              <w:jc w:val="left"/>
            </w:pPr>
            <w:r>
              <w:t xml:space="preserve">Africa</w:t>
            </w:r>
          </w:p>
        </w:tc>
        <w:tc>
          <w:tcPr/>
          <w:p>
            <w:pPr>
              <w:pStyle w:val="Compact"/>
              <w:jc w:val="right"/>
            </w:pPr>
            <w:r>
              <w:t xml:space="preserve">48.7</w:t>
            </w:r>
          </w:p>
        </w:tc>
        <w:tc>
          <w:tcPr/>
          <w:p>
            <w:pPr>
              <w:pStyle w:val="Compact"/>
              <w:jc w:val="right"/>
            </w:pPr>
            <w:r>
              <w:t xml:space="preserve">5.9</w:t>
            </w:r>
          </w:p>
        </w:tc>
        <w:tc>
          <w:tcPr/>
          <w:p>
            <w:pPr>
              <w:pStyle w:val="Compact"/>
              <w:jc w:val="right"/>
            </w:pPr>
            <w:r>
              <w:t xml:space="preserve">237</w:t>
            </w:r>
          </w:p>
        </w:tc>
        <w:tc>
          <w:tcPr/>
          <w:p>
            <w:pPr>
              <w:pStyle w:val="Compact"/>
              <w:jc w:val="right"/>
            </w:pPr>
            <w:r>
              <w:t xml:space="preserve">12.2%</w:t>
            </w:r>
          </w:p>
        </w:tc>
      </w:tr>
      <w:tr>
        <w:tc>
          <w:tcPr/>
          <w:p>
            <w:pPr>
              <w:pStyle w:val="Compact"/>
              <w:jc w:val="left"/>
            </w:pPr>
            <w:r>
              <w:t xml:space="preserve">Eastern Mediterranean</w:t>
            </w:r>
          </w:p>
        </w:tc>
        <w:tc>
          <w:tcPr/>
          <w:p>
            <w:pPr>
              <w:pStyle w:val="Compact"/>
              <w:jc w:val="right"/>
            </w:pPr>
            <w:r>
              <w:t xml:space="preserve">64.3</w:t>
            </w:r>
          </w:p>
        </w:tc>
        <w:tc>
          <w:tcPr/>
          <w:p>
            <w:pPr>
              <w:pStyle w:val="Compact"/>
              <w:jc w:val="right"/>
            </w:pPr>
            <w:r>
              <w:t xml:space="preserve">5.8</w:t>
            </w:r>
          </w:p>
        </w:tc>
        <w:tc>
          <w:tcPr/>
          <w:p>
            <w:pPr>
              <w:pStyle w:val="Compact"/>
              <w:jc w:val="right"/>
            </w:pPr>
            <w:r>
              <w:t xml:space="preserve">233</w:t>
            </w:r>
          </w:p>
        </w:tc>
        <w:tc>
          <w:tcPr/>
          <w:p>
            <w:pPr>
              <w:pStyle w:val="Compact"/>
              <w:jc w:val="right"/>
            </w:pPr>
            <w:r>
              <w:t xml:space="preserve">9.1%</w:t>
            </w:r>
          </w:p>
        </w:tc>
      </w:tr>
      <w:tr>
        <w:tc>
          <w:tcPr/>
          <w:p>
            <w:pPr>
              <w:pStyle w:val="Compact"/>
              <w:jc w:val="left"/>
            </w:pPr>
            <w:r>
              <w:t xml:space="preserve">Americas</w:t>
            </w:r>
          </w:p>
        </w:tc>
        <w:tc>
          <w:tcPr/>
          <w:p>
            <w:pPr>
              <w:pStyle w:val="Compact"/>
              <w:jc w:val="right"/>
            </w:pPr>
            <w:r>
              <w:t xml:space="preserve">62.8</w:t>
            </w:r>
          </w:p>
        </w:tc>
        <w:tc>
          <w:tcPr/>
          <w:p>
            <w:pPr>
              <w:pStyle w:val="Compact"/>
              <w:jc w:val="right"/>
            </w:pPr>
            <w:r>
              <w:t xml:space="preserve">5.2</w:t>
            </w:r>
          </w:p>
        </w:tc>
        <w:tc>
          <w:tcPr/>
          <w:p>
            <w:pPr>
              <w:pStyle w:val="Compact"/>
              <w:jc w:val="right"/>
            </w:pPr>
            <w:r>
              <w:t xml:space="preserve">206</w:t>
            </w:r>
          </w:p>
        </w:tc>
        <w:tc>
          <w:tcPr/>
          <w:p>
            <w:pPr>
              <w:pStyle w:val="Compact"/>
              <w:jc w:val="right"/>
            </w:pPr>
            <w:r>
              <w:t xml:space="preserve">8.2%</w:t>
            </w:r>
          </w:p>
        </w:tc>
      </w:tr>
    </w:tbl>
    <w:p>
      <w:pPr>
        <w:pStyle w:val="BodyText"/>
      </w:pPr>
      <w:r>
        <w:rPr>
          <w:i/>
          <w:iCs/>
        </w:rPr>
        <w:t xml:space="preserve">Note: All Interventions scenario. BAU = business-as-usual.</w:t>
      </w:r>
    </w:p>
    <w:p>
      <w:r>
        <w:br w:type="page"/>
      </w:r>
    </w:p>
    <w:p>
      <w:pPr>
        <w:pStyle w:val="BodyText"/>
      </w:pPr>
      <w:r>
        <w:rPr>
          <w:b/>
          <w:bCs/>
        </w:rPr>
        <w:t xml:space="preserve">Table 5.</w:t>
      </w:r>
      <w:r>
        <w:t xml:space="preserve"> </w:t>
      </w:r>
      <w:r>
        <w:t xml:space="preserve">Cumulative burden of disease averted by World Bank income group under the combined intervention scenario (millions), 2026-2050.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Income group</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NA</w:t>
            </w:r>
          </w:p>
        </w:tc>
        <w:tc>
          <w:tcPr/>
          <w:p>
            <w:pPr>
              <w:pStyle w:val="Compact"/>
              <w:jc w:val="right"/>
            </w:pPr>
            <w:r>
              <w:t xml:space="preserve">0.1</w:t>
            </w:r>
          </w:p>
        </w:tc>
        <w:tc>
          <w:tcPr/>
          <w:p>
            <w:pPr>
              <w:pStyle w:val="Compact"/>
              <w:jc w:val="right"/>
            </w:pPr>
            <w:r>
              <w:t xml:space="preserve">0.9</w:t>
            </w:r>
          </w:p>
        </w:tc>
        <w:tc>
          <w:tcPr/>
          <w:p>
            <w:pPr>
              <w:pStyle w:val="Compact"/>
              <w:jc w:val="right"/>
            </w:pPr>
            <w:r>
              <w:t xml:space="preserve">0.0</w:t>
            </w:r>
          </w:p>
        </w:tc>
        <w:tc>
          <w:tcPr/>
          <w:p>
            <w:pPr>
              <w:pStyle w:val="Compact"/>
              <w:jc w:val="right"/>
            </w:pPr>
            <w:r>
              <w:t xml:space="preserve">0.9</w:t>
            </w:r>
          </w:p>
        </w:tc>
      </w:tr>
      <w:tr>
        <w:tc>
          <w:tcPr/>
          <w:p>
            <w:pPr>
              <w:pStyle w:val="Compact"/>
              <w:jc w:val="left"/>
            </w:pPr>
            <w:r>
              <w:t xml:space="preserve">Low income</w:t>
            </w:r>
          </w:p>
        </w:tc>
        <w:tc>
          <w:tcPr/>
          <w:p>
            <w:pPr>
              <w:pStyle w:val="Compact"/>
              <w:jc w:val="right"/>
            </w:pPr>
            <w:r>
              <w:t xml:space="preserve">4.1</w:t>
            </w:r>
          </w:p>
        </w:tc>
        <w:tc>
          <w:tcPr/>
          <w:p>
            <w:pPr>
              <w:pStyle w:val="Compact"/>
              <w:jc w:val="right"/>
            </w:pPr>
            <w:r>
              <w:t xml:space="preserve">50.4</w:t>
            </w:r>
          </w:p>
        </w:tc>
        <w:tc>
          <w:tcPr/>
          <w:p>
            <w:pPr>
              <w:pStyle w:val="Compact"/>
              <w:jc w:val="right"/>
            </w:pPr>
            <w:r>
              <w:t xml:space="preserve">1.2</w:t>
            </w:r>
          </w:p>
        </w:tc>
        <w:tc>
          <w:tcPr/>
          <w:p>
            <w:pPr>
              <w:pStyle w:val="Compact"/>
              <w:jc w:val="right"/>
            </w:pPr>
            <w:r>
              <w:t xml:space="preserve">51.6</w:t>
            </w:r>
          </w:p>
        </w:tc>
      </w:tr>
      <w:tr>
        <w:tc>
          <w:tcPr/>
          <w:p>
            <w:pPr>
              <w:pStyle w:val="Compact"/>
              <w:jc w:val="left"/>
            </w:pPr>
            <w:r>
              <w:t xml:space="preserve">Lower-middle income</w:t>
            </w:r>
          </w:p>
        </w:tc>
        <w:tc>
          <w:tcPr/>
          <w:p>
            <w:pPr>
              <w:pStyle w:val="Compact"/>
              <w:jc w:val="right"/>
            </w:pPr>
            <w:r>
              <w:t xml:space="preserve">22.0</w:t>
            </w:r>
          </w:p>
        </w:tc>
        <w:tc>
          <w:tcPr/>
          <w:p>
            <w:pPr>
              <w:pStyle w:val="Compact"/>
              <w:jc w:val="right"/>
            </w:pPr>
            <w:r>
              <w:t xml:space="preserve">291.0</w:t>
            </w:r>
          </w:p>
        </w:tc>
        <w:tc>
          <w:tcPr/>
          <w:p>
            <w:pPr>
              <w:pStyle w:val="Compact"/>
              <w:jc w:val="right"/>
            </w:pPr>
            <w:r>
              <w:t xml:space="preserve">4.8</w:t>
            </w:r>
          </w:p>
        </w:tc>
        <w:tc>
          <w:tcPr/>
          <w:p>
            <w:pPr>
              <w:pStyle w:val="Compact"/>
              <w:jc w:val="right"/>
            </w:pPr>
            <w:r>
              <w:t xml:space="preserve">295.8</w:t>
            </w:r>
          </w:p>
        </w:tc>
      </w:tr>
      <w:tr>
        <w:tc>
          <w:tcPr/>
          <w:p>
            <w:pPr>
              <w:pStyle w:val="Compact"/>
              <w:jc w:val="left"/>
            </w:pPr>
            <w:r>
              <w:t xml:space="preserve">Upper-middle income</w:t>
            </w:r>
          </w:p>
        </w:tc>
        <w:tc>
          <w:tcPr/>
          <w:p>
            <w:pPr>
              <w:pStyle w:val="Compact"/>
              <w:jc w:val="right"/>
            </w:pPr>
            <w:r>
              <w:t xml:space="preserve">29.9</w:t>
            </w:r>
          </w:p>
        </w:tc>
        <w:tc>
          <w:tcPr/>
          <w:p>
            <w:pPr>
              <w:pStyle w:val="Compact"/>
              <w:jc w:val="right"/>
            </w:pPr>
            <w:r>
              <w:t xml:space="preserve">330.5</w:t>
            </w:r>
          </w:p>
        </w:tc>
        <w:tc>
          <w:tcPr/>
          <w:p>
            <w:pPr>
              <w:pStyle w:val="Compact"/>
              <w:jc w:val="right"/>
            </w:pPr>
            <w:r>
              <w:t xml:space="preserve">8.6</w:t>
            </w:r>
          </w:p>
        </w:tc>
        <w:tc>
          <w:tcPr/>
          <w:p>
            <w:pPr>
              <w:pStyle w:val="Compact"/>
              <w:jc w:val="right"/>
            </w:pPr>
            <w:r>
              <w:t xml:space="preserve">339.1</w:t>
            </w:r>
          </w:p>
        </w:tc>
      </w:tr>
      <w:tr>
        <w:tc>
          <w:tcPr/>
          <w:p>
            <w:pPr>
              <w:pStyle w:val="Compact"/>
              <w:jc w:val="left"/>
            </w:pPr>
            <w:r>
              <w:t xml:space="preserve">High income</w:t>
            </w:r>
          </w:p>
        </w:tc>
        <w:tc>
          <w:tcPr/>
          <w:p>
            <w:pPr>
              <w:pStyle w:val="Compact"/>
              <w:jc w:val="right"/>
            </w:pPr>
            <w:r>
              <w:t xml:space="preserve">9.6</w:t>
            </w:r>
          </w:p>
        </w:tc>
        <w:tc>
          <w:tcPr/>
          <w:p>
            <w:pPr>
              <w:pStyle w:val="Compact"/>
              <w:jc w:val="right"/>
            </w:pPr>
            <w:r>
              <w:t xml:space="preserve">96.5</w:t>
            </w:r>
          </w:p>
        </w:tc>
        <w:tc>
          <w:tcPr/>
          <w:p>
            <w:pPr>
              <w:pStyle w:val="Compact"/>
              <w:jc w:val="right"/>
            </w:pPr>
            <w:r>
              <w:t xml:space="preserve">3.0</w:t>
            </w:r>
          </w:p>
        </w:tc>
        <w:tc>
          <w:tcPr/>
          <w:p>
            <w:pPr>
              <w:pStyle w:val="Compact"/>
              <w:jc w:val="right"/>
            </w:pPr>
            <w:r>
              <w:t xml:space="preserve">99.6</w:t>
            </w:r>
          </w:p>
        </w:tc>
      </w:tr>
    </w:tbl>
    <w:p>
      <w:pPr>
        <w:pStyle w:val="BodyText"/>
      </w:pPr>
      <w:r>
        <w:rPr>
          <w:i/>
          <w:iCs/>
        </w:rPr>
        <w:t xml:space="preserve">Note: Values in millions. All Interventions scenario. Income groups based on World Bank 2026 classification.</w:t>
      </w:r>
    </w:p>
    <w:p>
      <w:r>
        <w:br w:type="page"/>
      </w:r>
    </w:p>
    <w:p>
      <w:pPr>
        <w:pStyle w:val="BodyText"/>
      </w:pPr>
      <w:r>
        <w:rPr>
          <w:b/>
          <w:bCs/>
        </w:rPr>
        <w:t xml:space="preserve">Table 6.</w:t>
      </w:r>
      <w:r>
        <w:t xml:space="preserve"> </w:t>
      </w:r>
      <w:r>
        <w:t xml:space="preserve">Economic value of averted CVD mortality by WHO region under the combined intervention scenario (VSLY, primary elasticity, cumulative 2026–2050, discounted at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right"/>
            </w:pPr>
            <w:r>
              <w:t xml:space="preserve">VSLY (USD trillions)</w:t>
            </w:r>
          </w:p>
        </w:tc>
        <w:tc>
          <w:tcPr/>
          <w:p>
            <w:pPr>
              <w:pStyle w:val="Compact"/>
              <w:jc w:val="right"/>
            </w:pPr>
            <w:r>
              <w:t xml:space="preserve">% of annual income</w:t>
            </w:r>
          </w:p>
        </w:tc>
      </w:tr>
      <w:tr>
        <w:tc>
          <w:tcPr/>
          <w:p>
            <w:pPr>
              <w:pStyle w:val="Compact"/>
              <w:jc w:val="left"/>
            </w:pPr>
            <w:r>
              <w:t xml:space="preserve">Africa</w:t>
            </w:r>
          </w:p>
        </w:tc>
        <w:tc>
          <w:tcPr/>
          <w:p>
            <w:pPr>
              <w:pStyle w:val="Compact"/>
              <w:jc w:val="right"/>
            </w:pPr>
            <w:r>
              <w:t xml:space="preserve">$1.3</w:t>
            </w:r>
          </w:p>
        </w:tc>
        <w:tc>
          <w:tcPr/>
          <w:p>
            <w:pPr>
              <w:pStyle w:val="Compact"/>
              <w:jc w:val="right"/>
            </w:pPr>
            <w:r>
              <w:t xml:space="preserve">0.6%</w:t>
            </w:r>
          </w:p>
        </w:tc>
      </w:tr>
      <w:tr>
        <w:tc>
          <w:tcPr/>
          <w:p>
            <w:pPr>
              <w:pStyle w:val="Compact"/>
              <w:jc w:val="left"/>
            </w:pPr>
            <w:r>
              <w:t xml:space="preserve">Americas</w:t>
            </w:r>
          </w:p>
        </w:tc>
        <w:tc>
          <w:tcPr/>
          <w:p>
            <w:pPr>
              <w:pStyle w:val="Compact"/>
              <w:jc w:val="right"/>
            </w:pPr>
            <w:r>
              <w:t xml:space="preserve">$6.7</w:t>
            </w:r>
          </w:p>
        </w:tc>
        <w:tc>
          <w:tcPr/>
          <w:p>
            <w:pPr>
              <w:pStyle w:val="Compact"/>
              <w:jc w:val="right"/>
            </w:pPr>
            <w:r>
              <w:t xml:space="preserve">0.7%</w:t>
            </w:r>
          </w:p>
        </w:tc>
      </w:tr>
      <w:tr>
        <w:tc>
          <w:tcPr/>
          <w:p>
            <w:pPr>
              <w:pStyle w:val="Compact"/>
              <w:jc w:val="left"/>
            </w:pPr>
            <w:r>
              <w:t xml:space="preserve">Eastern Mediterranean</w:t>
            </w:r>
          </w:p>
        </w:tc>
        <w:tc>
          <w:tcPr/>
          <w:p>
            <w:pPr>
              <w:pStyle w:val="Compact"/>
              <w:jc w:val="right"/>
            </w:pPr>
            <w:r>
              <w:t xml:space="preserve">$3.5</w:t>
            </w:r>
          </w:p>
        </w:tc>
        <w:tc>
          <w:tcPr/>
          <w:p>
            <w:pPr>
              <w:pStyle w:val="Compact"/>
              <w:jc w:val="right"/>
            </w:pPr>
            <w:r>
              <w:t xml:space="preserve">1.2%</w:t>
            </w:r>
          </w:p>
        </w:tc>
      </w:tr>
      <w:tr>
        <w:tc>
          <w:tcPr/>
          <w:p>
            <w:pPr>
              <w:pStyle w:val="Compact"/>
              <w:jc w:val="left"/>
            </w:pPr>
            <w:r>
              <w:t xml:space="preserve">Europe</w:t>
            </w:r>
          </w:p>
        </w:tc>
        <w:tc>
          <w:tcPr/>
          <w:p>
            <w:pPr>
              <w:pStyle w:val="Compact"/>
              <w:jc w:val="right"/>
            </w:pPr>
            <w:r>
              <w:t xml:space="preserve">$17.3</w:t>
            </w:r>
          </w:p>
        </w:tc>
        <w:tc>
          <w:tcPr/>
          <w:p>
            <w:pPr>
              <w:pStyle w:val="Compact"/>
              <w:jc w:val="right"/>
            </w:pPr>
            <w:r>
              <w:t xml:space="preserve">1.9%</w:t>
            </w:r>
          </w:p>
        </w:tc>
      </w:tr>
      <w:tr>
        <w:tc>
          <w:tcPr/>
          <w:p>
            <w:pPr>
              <w:pStyle w:val="Compact"/>
              <w:jc w:val="left"/>
            </w:pPr>
            <w:r>
              <w:t xml:space="preserve">South-East Asia</w:t>
            </w:r>
          </w:p>
        </w:tc>
        <w:tc>
          <w:tcPr/>
          <w:p>
            <w:pPr>
              <w:pStyle w:val="Compact"/>
              <w:jc w:val="right"/>
            </w:pPr>
            <w:r>
              <w:t xml:space="preserve">$10.6</w:t>
            </w:r>
          </w:p>
        </w:tc>
        <w:tc>
          <w:tcPr/>
          <w:p>
            <w:pPr>
              <w:pStyle w:val="Compact"/>
              <w:jc w:val="right"/>
            </w:pPr>
            <w:r>
              <w:t xml:space="preserve">1.5%</w:t>
            </w:r>
          </w:p>
        </w:tc>
      </w:tr>
      <w:tr>
        <w:tc>
          <w:tcPr/>
          <w:p>
            <w:pPr>
              <w:pStyle w:val="Compact"/>
              <w:jc w:val="left"/>
            </w:pPr>
            <w:r>
              <w:t xml:space="preserve">Western Pacific</w:t>
            </w:r>
          </w:p>
        </w:tc>
        <w:tc>
          <w:tcPr/>
          <w:p>
            <w:pPr>
              <w:pStyle w:val="Compact"/>
              <w:jc w:val="right"/>
            </w:pPr>
            <w:r>
              <w:t xml:space="preserve">$22.7</w:t>
            </w:r>
          </w:p>
        </w:tc>
        <w:tc>
          <w:tcPr/>
          <w:p>
            <w:pPr>
              <w:pStyle w:val="Compact"/>
              <w:jc w:val="right"/>
            </w:pPr>
            <w:r>
              <w:t xml:space="preserve">2.1%</w:t>
            </w:r>
          </w:p>
        </w:tc>
      </w:tr>
      <w:tr>
        <w:tc>
          <w:tcPr/>
          <w:p>
            <w:pPr>
              <w:pStyle w:val="Compact"/>
              <w:jc w:val="left"/>
            </w:pPr>
            <w:r>
              <w:t xml:space="preserve">World</w:t>
            </w:r>
          </w:p>
        </w:tc>
        <w:tc>
          <w:tcPr/>
          <w:p>
            <w:pPr>
              <w:pStyle w:val="Compact"/>
              <w:jc w:val="right"/>
            </w:pPr>
            <w:r>
              <w:t xml:space="preserve">$62.1</w:t>
            </w:r>
          </w:p>
        </w:tc>
        <w:tc>
          <w:tcPr/>
          <w:p>
            <w:pPr>
              <w:pStyle w:val="Compact"/>
              <w:jc w:val="right"/>
            </w:pPr>
            <w:r>
              <w:t xml:space="preserve">1.5%</w:t>
            </w:r>
          </w:p>
        </w:tc>
      </w:tr>
    </w:tbl>
    <w:p>
      <w:pPr>
        <w:pStyle w:val="BodyText"/>
      </w:pPr>
      <w:r>
        <w:rPr>
          <w:i/>
          <w:iCs/>
        </w:rPr>
        <w:t xml:space="preserve">Note: Values represent cumulative present value of avoided CVD mortality, 2026–2050, using the value of a statistical life year (VSLY) approach with the Robinson et al. (2019) reference-case income elasticity (0.8 for high-income, 1.2 for low- and middle-income countries). Calendar-year discount rate: 3%. All Interventions scenario.</w:t>
      </w:r>
    </w:p>
    <w:p>
      <w:r>
        <w:br w:type="page"/>
      </w:r>
    </w:p>
    <w:bookmarkEnd w:id="116"/>
    <w:bookmarkStart w:id="129" w:name="figures"/>
    <w:p>
      <w:pPr>
        <w:pStyle w:val="Heading1"/>
      </w:pPr>
      <w:r>
        <w:rPr>
          <w:rStyle w:val="SectionNumber"/>
        </w:rPr>
        <w:t xml:space="preserve">9</w:t>
      </w:r>
      <w:r>
        <w:tab/>
      </w:r>
      <w:r>
        <w:t xml:space="preserve">Figures</w:t>
      </w:r>
    </w:p>
    <w:p>
      <w:pPr>
        <w:pStyle w:val="FirstParagraph"/>
      </w:pPr>
      <w:r>
        <w:rPr>
          <w:b/>
          <w:bCs/>
        </w:rPr>
        <w:t xml:space="preserve">Figure 1.</w:t>
      </w:r>
      <w:r>
        <w:t xml:space="preserve"> </w:t>
      </w:r>
      <w:r>
        <w:t xml:space="preserve">Cumulative CVD deaths averted over time by intervention scenario, 2026-2050.</w:t>
      </w:r>
    </w:p>
    <w:p>
      <w:pPr>
        <w:pStyle w:val="CaptionedFigure"/>
      </w:pPr>
      <w:r>
        <w:drawing>
          <wp:inline>
            <wp:extent cx="5334000" cy="2424545"/>
            <wp:effectExtent b="0" l="0" r="0" t="0"/>
            <wp:docPr descr="Figure 9.1: Note: Lines represent the running total of CVD deaths averted relative to business-as-usual for each of the three individual interventions and for all three interventions combined (All Interventions). The general-population hypertension line is labelled ‘General Population’." title="" id="118" name="Picture"/>
            <a:graphic>
              <a:graphicData uri="http://schemas.openxmlformats.org/drawingml/2006/picture">
                <pic:pic>
                  <pic:nvPicPr>
                    <pic:cNvPr descr="../output/aim1_fig4_cum_averted.png" id="119" name="Picture"/>
                    <pic:cNvPicPr>
                      <a:picLocks noChangeArrowheads="1" noChangeAspect="1"/>
                    </pic:cNvPicPr>
                  </pic:nvPicPr>
                  <pic:blipFill>
                    <a:blip r:embed="rId117"/>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20" w:name="fig:fig4-paper"/>
      <w:bookmarkEnd w:id="120"/>
      <w:r>
        <w:t xml:space="preserve">Figure 9.1: Note: Lines represent the running total of CVD deaths averted relative to business-as-usual for each of the three individual interventions and for all three interventions combined (All Interventions). The general-population hypertension line is labelled</w:t>
      </w:r>
      <w:r>
        <w:t xml:space="preserve"> </w:t>
      </w:r>
      <w:r>
        <w:t xml:space="preserve">‘General Population’</w:t>
      </w:r>
      <w:r>
        <w:t xml:space="preserve">.</w:t>
      </w:r>
    </w:p>
    <w:p>
      <w:r>
        <w:br w:type="page"/>
      </w:r>
    </w:p>
    <w:p>
      <w:pPr>
        <w:pStyle w:val="BodyText"/>
      </w:pPr>
      <w:r>
        <w:rPr>
          <w:b/>
          <w:bCs/>
        </w:rPr>
        <w:t xml:space="preserve">Figure 2.</w:t>
      </w:r>
      <w:r>
        <w:t xml:space="preserve"> </w:t>
      </w:r>
      <w:r>
        <w:t xml:space="preserve">Distribution of projected CVD deaths averted by age group, sex, and intervention scenario, 2026-2050.</w:t>
      </w:r>
    </w:p>
    <w:p>
      <w:pPr>
        <w:pStyle w:val="CaptionedFigure"/>
      </w:pPr>
      <w:r>
        <w:drawing>
          <wp:inline>
            <wp:extent cx="5334000" cy="2667000"/>
            <wp:effectExtent b="0" l="0" r="0" t="0"/>
            <wp:docPr descr="Figure 9.2: Note: Distribution of projected benefits by age and sex. Adults aged 70 years and older account for the majority of averted deaths across all interventions, consistent with the age-dependent increase in baseline CVD mortality." title="" id="122" name="Picture"/>
            <a:graphic>
              <a:graphicData uri="http://schemas.openxmlformats.org/drawingml/2006/picture">
                <pic:pic>
                  <pic:nvPicPr>
                    <pic:cNvPr descr="../output/aim1_fig5_demo_age.png" id="123" name="Picture"/>
                    <pic:cNvPicPr>
                      <a:picLocks noChangeArrowheads="1" noChangeAspect="1"/>
                    </pic:cNvPicPr>
                  </pic:nvPicPr>
                  <pic:blipFill>
                    <a:blip r:embed="rId1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24" w:name="fig:fig6-paper"/>
      <w:bookmarkEnd w:id="124"/>
      <w:r>
        <w:t xml:space="preserve">Figure 9.2: Note: Distribution of projected benefits by age and sex. Adults aged 70 years and older account for the majority of averted deaths across all interventions, consistent with the age-dependent increase in baseline CVD mortality.</w:t>
      </w:r>
    </w:p>
    <w:p>
      <w:r>
        <w:br w:type="page"/>
      </w:r>
    </w:p>
    <w:p>
      <w:pPr>
        <w:pStyle w:val="BodyText"/>
      </w:pPr>
      <w:r>
        <w:rPr>
          <w:b/>
          <w:bCs/>
        </w:rPr>
        <w:t xml:space="preserve">Figure 3.</w:t>
      </w:r>
      <w:r>
        <w:t xml:space="preserve"> </w:t>
      </w:r>
      <w:r>
        <w:t xml:space="preserve">Cumulative CVD deaths averted over time with all interventions, by WHO region, 2026-2050.</w:t>
      </w:r>
    </w:p>
    <w:p>
      <w:pPr>
        <w:pStyle w:val="CaptionedFigure"/>
      </w:pPr>
      <w:r>
        <w:drawing>
          <wp:inline>
            <wp:extent cx="5334000" cy="2424545"/>
            <wp:effectExtent b="0" l="0" r="0" t="0"/>
            <wp:docPr descr="Figure 9.3: Note: Each line shows the running total of CVD deaths averted relative to business-as-usual under the combined intervention scenario (all three WHO targets achieved by 2030 and sustained through 2050), disaggregated by WHO region across all modelled countries." title="" id="126" name="Picture"/>
            <a:graphic>
              <a:graphicData uri="http://schemas.openxmlformats.org/drawingml/2006/picture">
                <pic:pic>
                  <pic:nvPicPr>
                    <pic:cNvPr descr="../output/aim1_fig7_cum_region.png" id="127" name="Picture"/>
                    <pic:cNvPicPr>
                      <a:picLocks noChangeArrowheads="1" noChangeAspect="1"/>
                    </pic:cNvPicPr>
                  </pic:nvPicPr>
                  <pic:blipFill>
                    <a:blip r:embed="rId125"/>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28" w:name="fig:fig-region-paper"/>
      <w:bookmarkEnd w:id="128"/>
      <w:r>
        <w:t xml:space="preserve">Figure 9.3: Note: Each line shows the running total of CVD deaths averted relative to business-as-usual under the combined intervention scenario (all three WHO targets achieved by 2030 and sustained through 2050), disaggregated by WHO region across all modelled countries.</w:t>
      </w:r>
    </w:p>
    <w:p>
      <w:r>
        <w:br w:type="page"/>
      </w:r>
    </w:p>
    <w:bookmarkEnd w:id="129"/>
    <w:bookmarkStart w:id="186" w:name="supplemental-material"/>
    <w:p>
      <w:pPr>
        <w:pStyle w:val="Heading1"/>
      </w:pPr>
      <w:r>
        <w:rPr>
          <w:rStyle w:val="SectionNumber"/>
        </w:rPr>
        <w:t xml:space="preserve">10</w:t>
      </w:r>
      <w:r>
        <w:tab/>
      </w:r>
      <w:r>
        <w:t xml:space="preserve">Supplemental Material</w:t>
      </w:r>
    </w:p>
    <w:bookmarkStart w:id="130" w:name="supplemental-tables"/>
    <w:p>
      <w:pPr>
        <w:pStyle w:val="Heading2"/>
      </w:pPr>
      <w:r>
        <w:rPr>
          <w:rStyle w:val="SectionNumber"/>
        </w:rPr>
        <w:t xml:space="preserve">10.1</w:t>
      </w:r>
      <w:r>
        <w:tab/>
      </w:r>
      <w:r>
        <w:t xml:space="preserve">Supplemental Tables</w:t>
      </w:r>
    </w:p>
    <w:p>
      <w:pPr>
        <w:pStyle w:val="FirstParagraph"/>
      </w:pPr>
      <w:r>
        <w:rPr>
          <w:b/>
          <w:bCs/>
        </w:rPr>
        <w:t xml:space="preserve">Table: global projected health outcomes by scenario</w:t>
      </w:r>
    </w:p>
    <w:p>
      <w:pPr>
        <w:pStyle w:val="BodyText"/>
      </w:pPr>
      <w:r>
        <w:t xml:space="preserve">See Table 3 (burden of disease summary) and the supplementary Excel workbook exported from aim1_report.Rmd for the full country-level dataset.</w:t>
      </w:r>
    </w:p>
    <w:p>
      <w:pPr>
        <w:pStyle w:val="BodyText"/>
      </w:pPr>
      <w:r>
        <w:rPr>
          <w:b/>
          <w:bCs/>
        </w:rPr>
        <w:t xml:space="preserve">Table: regional and income-group results</w:t>
      </w:r>
    </w:p>
    <w:p>
      <w:pPr>
        <w:pStyle w:val="BodyText"/>
      </w:pPr>
      <w:r>
        <w:t xml:space="preserve">See Tables 4–5 for WHO region and World Bank income group breakdowns.</w:t>
      </w:r>
    </w:p>
    <w:bookmarkEnd w:id="130"/>
    <w:bookmarkStart w:id="166" w:name="supplemental-figures"/>
    <w:p>
      <w:pPr>
        <w:pStyle w:val="Heading2"/>
      </w:pPr>
      <w:r>
        <w:rPr>
          <w:rStyle w:val="SectionNumber"/>
        </w:rPr>
        <w:t xml:space="preserve">10.2</w:t>
      </w:r>
      <w:r>
        <w:tab/>
      </w:r>
      <w:r>
        <w:t xml:space="preserve">Supplemental Figures</w:t>
      </w:r>
    </w:p>
    <w:p>
      <w:pPr>
        <w:pStyle w:val="FirstParagraph"/>
      </w:pPr>
      <w:r>
        <w:rPr>
          <w:b/>
          <w:bCs/>
        </w:rPr>
        <w:t xml:space="preserve">Figure: conceptual framework of the modelling approach</w:t>
      </w:r>
    </w:p>
    <w:p>
      <w:pPr>
        <w:pStyle w:val="BodyText"/>
      </w:pPr>
      <w:r>
        <w:drawing>
          <wp:inline>
            <wp:extent cx="5334000" cy="2057400"/>
            <wp:effectExtent b="0" l="0" r="0" t="0"/>
            <wp:docPr descr="" title="" id="132" name="Picture"/>
            <a:graphic>
              <a:graphicData uri="http://schemas.openxmlformats.org/drawingml/2006/picture">
                <pic:pic>
                  <pic:nvPicPr>
                    <pic:cNvPr descr="who_cvd_targets_paper1_files/figure-docx/state-diagram-1.png" id="133" name="Picture"/>
                    <pic:cNvPicPr>
                      <a:picLocks noChangeArrowheads="1" noChangeAspect="1"/>
                    </pic:cNvPicPr>
                  </pic:nvPicPr>
                  <pic:blipFill>
                    <a:blip r:embed="rId131"/>
                    <a:stretch>
                      <a:fillRect/>
                    </a:stretch>
                  </pic:blipFill>
                  <pic:spPr bwMode="auto">
                    <a:xfrm>
                      <a:off x="0" y="0"/>
                      <a:ext cx="5334000" cy="2057400"/>
                    </a:xfrm>
                    <a:prstGeom prst="rect">
                      <a:avLst/>
                    </a:prstGeom>
                    <a:noFill/>
                    <a:ln w="9525">
                      <a:noFill/>
                      <a:headEnd/>
                      <a:tailEnd/>
                    </a:ln>
                  </pic:spPr>
                </pic:pic>
              </a:graphicData>
            </a:graphic>
          </wp:inline>
        </w:drawing>
      </w:r>
    </w:p>
    <w:p>
      <w:pPr>
        <w:pStyle w:val="BodyText"/>
      </w:pPr>
      <w:r>
        <w:t xml:space="preserve"> </w:t>
      </w:r>
      <m:oMath>
        <m:sSub>
          <m:e>
            <m:r>
              <m:t>ε</m:t>
            </m:r>
          </m:e>
          <m:sub>
            <m:r>
              <m:t>I</m:t>
            </m:r>
            <m:r>
              <m:t>R</m:t>
            </m:r>
          </m:sub>
        </m:sSub>
      </m:oMath>
      <w:r>
        <w:t xml:space="preserve">,</w:t>
      </w:r>
      <w:r>
        <w:t xml:space="preserve"> </w:t>
      </w:r>
      <m:oMath>
        <m:sSub>
          <m:e>
            <m:r>
              <m:t>ε</m:t>
            </m:r>
          </m:e>
          <m:sub>
            <m:r>
              <m:t>C</m:t>
            </m:r>
            <m:r>
              <m:t>F</m:t>
            </m:r>
          </m:sub>
        </m:sSub>
      </m:oMath>
      <w:r>
        <w:t xml:space="preserve"> </w:t>
      </w:r>
      <w:r>
        <w:t xml:space="preserve">= multiplicative effect ratios from the intervention module</w:t>
      </w:r>
      <w:r>
        <w:t xml:space="preserve"> </w:t>
      </w:r>
      <m:oMath>
        <m:r>
          <m:rPr>
            <m:sty m:val="p"/>
          </m:rPr>
          <m:t>⋅</m:t>
        </m:r>
      </m:oMath>
      <w:r>
        <w:t xml:space="preserve"> </w:t>
      </w:r>
      <w:r>
        <w:t xml:space="preserve">BG.mx = background mortality</w:t>
      </w:r>
      <w:r>
        <w:t xml:space="preserve"> </w:t>
      </w:r>
      <m:oMath>
        <m:r>
          <m:rPr>
            <m:sty m:val="p"/>
          </m:rPr>
          <m:t>⋅</m:t>
        </m:r>
      </m:oMath>
      <w:r>
        <w:t xml:space="preserve"> </w:t>
      </w:r>
      <w:r>
        <w:t xml:space="preserve">COVID-19 excess mortality applied 2020–2021 only</w:t>
      </w:r>
    </w:p>
    <w:p>
      <w:pPr>
        <w:pStyle w:val="BodyText"/>
      </w:pPr>
      <w:r>
        <w:rPr>
          <w:b/>
          <w:bCs/>
        </w:rPr>
        <w:t xml:space="preserve">Figure: The pathway from target achievement to risk-factor change to cause-specific outcomes and economic consequences.</w:t>
      </w:r>
    </w:p>
    <w:p>
      <w:pPr>
        <w:pStyle w:val="BodyText"/>
      </w:pPr>
      <w:r>
        <w:rPr>
          <w:b/>
          <w:bCs/>
        </w:rPr>
        <w:t xml:space="preserve">Supplemental Figure S1.</w:t>
      </w:r>
      <w:r>
        <w:t xml:space="preserve"> </w:t>
      </w:r>
      <w:r>
        <w:t xml:space="preserve">Projected cumulative CVD deaths under the business-as-usual scenario, 2026–2050, across 190 countries.</w:t>
      </w:r>
    </w:p>
    <w:p>
      <w:pPr>
        <w:pStyle w:val="CaptionedFigure"/>
      </w:pPr>
      <w:r>
        <w:drawing>
          <wp:inline>
            <wp:extent cx="5334000" cy="2424545"/>
            <wp:effectExtent b="0" l="0" r="0" t="0"/>
            <wp:docPr descr="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 title="" id="135" name="Picture"/>
            <a:graphic>
              <a:graphicData uri="http://schemas.openxmlformats.org/drawingml/2006/picture">
                <pic:pic>
                  <pic:nvPicPr>
                    <pic:cNvPr descr="../output/aim1_disease_trend.png" id="136" name="Picture"/>
                    <pic:cNvPicPr>
                      <a:picLocks noChangeArrowheads="1" noChangeAspect="1"/>
                    </pic:cNvPicPr>
                  </pic:nvPicPr>
                  <pic:blipFill>
                    <a:blip r:embed="rId134"/>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37" w:name="fig:fig1-paper"/>
      <w:bookmarkEnd w:id="137"/>
      <w:r>
        <w:t xml:space="preserve">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w:t>
      </w:r>
    </w:p>
    <w:p>
      <w:r>
        <w:br w:type="page"/>
      </w:r>
    </w:p>
    <w:p>
      <w:pPr>
        <w:pStyle w:val="BodyText"/>
      </w:pPr>
      <w:r>
        <w:rPr>
          <w:b/>
          <w:bCs/>
        </w:rPr>
        <w:t xml:space="preserve">Supplemental Figure S2.</w:t>
      </w:r>
      <w:r>
        <w:t xml:space="preserve"> </w:t>
      </w:r>
      <w:r>
        <w:t xml:space="preserve">Cumulative CVD deaths averted by intervention scenario, 2026-2050.</w:t>
      </w:r>
    </w:p>
    <w:p>
      <w:pPr>
        <w:pStyle w:val="CaptionedFigure"/>
      </w:pPr>
      <w:r>
        <w:drawing>
          <wp:inline>
            <wp:extent cx="5334000" cy="2963333"/>
            <wp:effectExtent b="0" l="0" r="0" t="0"/>
            <wp:docPr descr="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 title="" id="139" name="Picture"/>
            <a:graphic>
              <a:graphicData uri="http://schemas.openxmlformats.org/drawingml/2006/picture">
                <pic:pic>
                  <pic:nvPicPr>
                    <pic:cNvPr descr="../output/aim1_fig1_deaths_intervention.png" id="140" name="Picture"/>
                    <pic:cNvPicPr>
                      <a:picLocks noChangeArrowheads="1" noChangeAspect="1"/>
                    </pic:cNvPicPr>
                  </pic:nvPicPr>
                  <pic:blipFill>
                    <a:blip r:embed="rId13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41" w:name="fig:fig2-paper"/>
      <w:bookmarkEnd w:id="141"/>
      <w:r>
        <w:t xml:space="preserve">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w:t>
      </w:r>
    </w:p>
    <w:p>
      <w:r>
        <w:br w:type="page"/>
      </w:r>
    </w:p>
    <w:p>
      <w:pPr>
        <w:pStyle w:val="BodyText"/>
      </w:pPr>
      <w:r>
        <w:rPr>
          <w:b/>
          <w:bCs/>
        </w:rPr>
        <w:t xml:space="preserve">Supplemental Figure S3.</w:t>
      </w:r>
      <w:r>
        <w:t xml:space="preserve"> </w:t>
      </w:r>
      <w:r>
        <w:t xml:space="preserve">Annual and cumulative CVD deaths averted by intervention over time, 2026-2050.</w:t>
      </w:r>
    </w:p>
    <w:p>
      <w:pPr>
        <w:pStyle w:val="CaptionedFigure"/>
      </w:pPr>
      <w:r>
        <w:drawing>
          <wp:inline>
            <wp:extent cx="5334000" cy="2424545"/>
            <wp:effectExtent b="0" l="0" r="0" t="0"/>
            <wp:docPr descr="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 title="" id="143" name="Picture"/>
            <a:graphic>
              <a:graphicData uri="http://schemas.openxmlformats.org/drawingml/2006/picture">
                <pic:pic>
                  <pic:nvPicPr>
                    <pic:cNvPr descr="../output/aim1_fig3_annual_averted.png" id="144" name="Picture"/>
                    <pic:cNvPicPr>
                      <a:picLocks noChangeArrowheads="1" noChangeAspect="1"/>
                    </pic:cNvPicPr>
                  </pic:nvPicPr>
                  <pic:blipFill>
                    <a:blip r:embed="rId142"/>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45" w:name="fig:fig3-paper"/>
      <w:bookmarkEnd w:id="145"/>
      <w:r>
        <w:t xml:space="preserve">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w:t>
      </w:r>
    </w:p>
    <w:p>
      <w:r>
        <w:br w:type="page"/>
      </w:r>
    </w:p>
    <w:p>
      <w:pPr>
        <w:pStyle w:val="BodyText"/>
      </w:pPr>
      <w:r>
        <w:rPr>
          <w:b/>
          <w:bCs/>
        </w:rPr>
        <w:t xml:space="preserve">Supplemental Figure S4.</w:t>
      </w:r>
      <w:r>
        <w:t xml:space="preserve"> </w:t>
      </w:r>
      <w:r>
        <w:t xml:space="preserve">Age-standardised CVD mortality rate (ASMR) by intervention scenario, 2019–2050.</w:t>
      </w:r>
    </w:p>
    <w:p>
      <w:pPr>
        <w:pStyle w:val="CaptionedFigure"/>
      </w:pPr>
      <w:r>
        <w:drawing>
          <wp:inline>
            <wp:extent cx="5334000" cy="2667000"/>
            <wp:effectExtent b="0" l="0" r="0" t="0"/>
            <wp:docPr descr="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 title="" id="147" name="Picture"/>
            <a:graphic>
              <a:graphicData uri="http://schemas.openxmlformats.org/drawingml/2006/picture">
                <pic:pic>
                  <pic:nvPicPr>
                    <pic:cNvPr descr="../output/aim1_asmr_interventions.png" id="148" name="Picture"/>
                    <pic:cNvPicPr>
                      <a:picLocks noChangeArrowheads="1" noChangeAspect="1"/>
                    </pic:cNvPicPr>
                  </pic:nvPicPr>
                  <pic:blipFill>
                    <a:blip r:embed="rId14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49" w:name="fig:fig7-paper"/>
      <w:bookmarkEnd w:id="149"/>
      <w:r>
        <w:t xml:space="preserve">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w:t>
      </w:r>
    </w:p>
    <w:p>
      <w:r>
        <w:br w:type="page"/>
      </w:r>
    </w:p>
    <w:p>
      <w:pPr>
        <w:pStyle w:val="BodyText"/>
      </w:pPr>
      <w:r>
        <w:rPr>
          <w:b/>
          <w:bCs/>
        </w:rPr>
        <w:t xml:space="preserve">Supplemental Figure S5.</w:t>
      </w:r>
      <w:r>
        <w:t xml:space="preserve"> </w:t>
      </w:r>
      <w:r>
        <w:t xml:space="preserve">Deaths averted by cause of death and intervention scenario, 2026-2050.</w:t>
      </w:r>
    </w:p>
    <w:p>
      <w:pPr>
        <w:pStyle w:val="CaptionedFigure"/>
      </w:pPr>
      <w:r>
        <w:drawing>
          <wp:inline>
            <wp:extent cx="5334000" cy="2963333"/>
            <wp:effectExtent b="0" l="0" r="0" t="0"/>
            <wp:docPr descr="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 title="" id="151" name="Picture"/>
            <a:graphic>
              <a:graphicData uri="http://schemas.openxmlformats.org/drawingml/2006/picture">
                <pic:pic>
                  <pic:nvPicPr>
                    <pic:cNvPr descr="../output/aim1_fig2_deaths_cause.png" id="152" name="Picture"/>
                    <pic:cNvPicPr>
                      <a:picLocks noChangeArrowheads="1" noChangeAspect="1"/>
                    </pic:cNvPicPr>
                  </pic:nvPicPr>
                  <pic:blipFill>
                    <a:blip r:embed="rId15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53" w:name="fig:fig8-paper"/>
      <w:bookmarkEnd w:id="153"/>
      <w:r>
        <w:t xml:space="preserve">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w:t>
      </w:r>
    </w:p>
    <w:p>
      <w:r>
        <w:br w:type="page"/>
      </w:r>
    </w:p>
    <w:p>
      <w:pPr>
        <w:pStyle w:val="BodyText"/>
      </w:pPr>
      <w:r>
        <w:rPr>
          <w:b/>
          <w:bCs/>
        </w:rPr>
        <w:t xml:space="preserve">Supplemental Figure S6.</w:t>
      </w:r>
      <w:r>
        <w:t xml:space="preserve"> </w:t>
      </w:r>
      <w:r>
        <w:t xml:space="preserve">Cumulative DALYs averted by intervention scenario over time, 2026-2050.</w:t>
      </w:r>
    </w:p>
    <w:p>
      <w:pPr>
        <w:pStyle w:val="CaptionedFigure"/>
      </w:pPr>
      <w:r>
        <w:drawing>
          <wp:inline>
            <wp:extent cx="5334000" cy="2667000"/>
            <wp:effectExtent b="0" l="0" r="0" t="0"/>
            <wp:docPr descr="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 title="" id="155" name="Picture"/>
            <a:graphic>
              <a:graphicData uri="http://schemas.openxmlformats.org/drawingml/2006/picture">
                <pic:pic>
                  <pic:nvPicPr>
                    <pic:cNvPr descr="../output/aim1_bod_fig1_dalys_ts.png" id="156" name="Picture"/>
                    <pic:cNvPicPr>
                      <a:picLocks noChangeArrowheads="1" noChangeAspect="1"/>
                    </pic:cNvPicPr>
                  </pic:nvPicPr>
                  <pic:blipFill>
                    <a:blip r:embed="rId15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57" w:name="fig:fig9-paper"/>
      <w:bookmarkEnd w:id="157"/>
      <w:r>
        <w:t xml:space="preserve">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w:t>
      </w:r>
    </w:p>
    <w:p>
      <w:r>
        <w:br w:type="page"/>
      </w:r>
    </w:p>
    <w:p>
      <w:pPr>
        <w:pStyle w:val="BodyText"/>
      </w:pPr>
      <w:r>
        <w:rPr>
          <w:b/>
          <w:bCs/>
        </w:rPr>
        <w:t xml:space="preserve">Supplemental Figure S7.</w:t>
      </w:r>
      <w:r>
        <w:t xml:space="preserve"> </w:t>
      </w:r>
      <w:r>
        <w:t xml:space="preserve">Deaths averted per 100,000 population under the combined intervention scenario, 2026-2050.</w:t>
      </w:r>
    </w:p>
    <w:p>
      <w:pPr>
        <w:pStyle w:val="CaptionedFigure"/>
      </w:pPr>
      <w:r>
        <w:drawing>
          <wp:inline>
            <wp:extent cx="5334000" cy="2424545"/>
            <wp:effectExtent b="0" l="0" r="0" t="0"/>
            <wp:docPr descr="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 title="" id="159" name="Picture"/>
            <a:graphic>
              <a:graphicData uri="http://schemas.openxmlformats.org/drawingml/2006/picture">
                <pic:pic>
                  <pic:nvPicPr>
                    <pic:cNvPr descr="../output/aim1_fig6_map.png" id="160" name="Picture"/>
                    <pic:cNvPicPr>
                      <a:picLocks noChangeArrowheads="1" noChangeAspect="1"/>
                    </pic:cNvPicPr>
                  </pic:nvPicPr>
                  <pic:blipFill>
                    <a:blip r:embed="rId158"/>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61" w:name="fig:fig10-paper"/>
      <w:bookmarkEnd w:id="161"/>
      <w:r>
        <w:t xml:space="preserve">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w:t>
      </w:r>
    </w:p>
    <w:p>
      <w:r>
        <w:br w:type="page"/>
      </w:r>
    </w:p>
    <w:p>
      <w:pPr>
        <w:pStyle w:val="BodyText"/>
      </w:pPr>
      <w:r>
        <w:rPr>
          <w:b/>
          <w:bCs/>
        </w:rPr>
        <w:t xml:space="preserve">Supplemental Figure S8.</w:t>
      </w:r>
      <w:r>
        <w:t xml:space="preserve"> </w:t>
      </w:r>
      <w:r>
        <w:t xml:space="preserve">Economic value of avoidable CVD mortality as a proportion of regional income, by WHO region and period, 2026-2050.</w:t>
      </w:r>
    </w:p>
    <w:p>
      <w:pPr>
        <w:pStyle w:val="CaptionedFigure"/>
      </w:pPr>
      <w:r>
        <w:drawing>
          <wp:inline>
            <wp:extent cx="5334000" cy="3006436"/>
            <wp:effectExtent b="0" l="0" r="0" t="0"/>
            <wp:docPr descr="Figure 10.8: Note: VSLY values as a proportion of discounted GNI, by WHO region and snapshot year (2026, 2030, 2040, 2050) and cumulative 2026–2050. Primary elasticity (differential 0.8 HIC / 1.2 LMIC per Robinson et al. 2019). Discounted at 3%. All Interventions scenario." title="" id="163" name="Picture"/>
            <a:graphic>
              <a:graphicData uri="http://schemas.openxmlformats.org/drawingml/2006/picture">
                <pic:pic>
                  <pic:nvPicPr>
                    <pic:cNvPr descr="../output/slides/sl_econ_dotplot.png" id="164" name="Picture"/>
                    <pic:cNvPicPr>
                      <a:picLocks noChangeArrowheads="1" noChangeAspect="1"/>
                    </pic:cNvPicPr>
                  </pic:nvPicPr>
                  <pic:blipFill>
                    <a:blip r:embed="rId162"/>
                    <a:stretch>
                      <a:fillRect/>
                    </a:stretch>
                  </pic:blipFill>
                  <pic:spPr bwMode="auto">
                    <a:xfrm>
                      <a:off x="0" y="0"/>
                      <a:ext cx="5334000" cy="3006436"/>
                    </a:xfrm>
                    <a:prstGeom prst="rect">
                      <a:avLst/>
                    </a:prstGeom>
                    <a:noFill/>
                    <a:ln w="9525">
                      <a:noFill/>
                      <a:headEnd/>
                      <a:tailEnd/>
                    </a:ln>
                  </pic:spPr>
                </pic:pic>
              </a:graphicData>
            </a:graphic>
          </wp:inline>
        </w:drawing>
      </w:r>
    </w:p>
    <w:p>
      <w:pPr>
        <w:pStyle w:val="ImageCaption"/>
      </w:pPr>
      <w:bookmarkStart w:id="165" w:name="fig:fig-econ-dotplot"/>
      <w:bookmarkEnd w:id="165"/>
      <w:r>
        <w:t xml:space="preserve">Figure 10.8: Note: VSLY values as a proportion of discounted GNI, by WHO region and snapshot year (2026, 2030, 2040, 2050) and cumulative 2026–2050. Primary elasticity (differential 0.8 HIC / 1.2 LMIC per Robinson et al. 2019). Discounted at 3%. All Interventions scenario.</w:t>
      </w:r>
    </w:p>
    <w:p>
      <w:r>
        <w:br w:type="page"/>
      </w:r>
    </w:p>
    <w:bookmarkEnd w:id="166"/>
    <w:bookmarkStart w:id="185" w:name="sec:math-details"/>
    <w:p>
      <w:pPr>
        <w:pStyle w:val="Heading2"/>
      </w:pPr>
      <w:r>
        <w:rPr>
          <w:rStyle w:val="SectionNumber"/>
        </w:rPr>
        <w:t xml:space="preserve">10.3</w:t>
      </w:r>
      <w:r>
        <w:tab/>
      </w:r>
      <w:r>
        <w:t xml:space="preserve">Methodology and Mathematical Details</w:t>
      </w:r>
    </w:p>
    <w:bookmarkStart w:id="167" w:name="sec:math-notation"/>
    <w:p>
      <w:pPr>
        <w:pStyle w:val="Heading3"/>
      </w:pPr>
      <w:r>
        <w:rPr>
          <w:rStyle w:val="SectionNumber"/>
        </w:rPr>
        <w:t xml:space="preserve">10.3.1</w:t>
      </w:r>
      <w:r>
        <w:tab/>
      </w:r>
      <w:r>
        <w:t xml:space="preserve">Mathematical Notation Summary</w:t>
      </w:r>
    </w:p>
    <w:p>
      <w:pPr>
        <w:pStyle w:val="FirstParagraph"/>
      </w:pPr>
      <w:r>
        <w:t xml:space="preserve">All symbols used in subsequent subsections are defined in the table below. R variable names from the implementation code (</w:t>
      </w:r>
      <w:r>
        <w:rPr>
          <w:rStyle w:val="VerbatimChar"/>
        </w:rPr>
        <w:t xml:space="preserve">06_run_scenarios_multiple.R</w:t>
      </w:r>
      <w:r>
        <w:t xml:space="preserve">) are mapped to mathematical symbols as follows:</w:t>
      </w:r>
      <w:r>
        <w:t xml:space="preserve"> </w:t>
      </w:r>
      <w:r>
        <w:rPr>
          <w:rStyle w:val="VerbatimChar"/>
        </w:rPr>
        <w:t xml:space="preserve">well</w:t>
      </w:r>
      <w:r>
        <w:t xml:space="preserve"> </w:t>
      </w:r>
      <m:oMath>
        <m:r>
          <m:rPr>
            <m:sty m:val="p"/>
          </m:rPr>
          <m:t>→</m:t>
        </m:r>
        <m:r>
          <m:t>W</m:t>
        </m:r>
      </m:oMath>
      <w:r>
        <w:t xml:space="preserve">,</w:t>
      </w:r>
      <w:r>
        <w:t xml:space="preserve"> </w:t>
      </w:r>
      <w:r>
        <w:rPr>
          <w:rStyle w:val="VerbatimChar"/>
        </w:rPr>
        <w:t xml:space="preserve">sick</w:t>
      </w:r>
      <w:r>
        <w:t xml:space="preserve"> </w:t>
      </w:r>
      <m:oMath>
        <m:r>
          <m:rPr>
            <m:sty m:val="p"/>
          </m:rPr>
          <m:t>→</m:t>
        </m:r>
        <m:r>
          <m:t>K</m:t>
        </m:r>
      </m:oMath>
      <w:r>
        <w:t xml:space="preserve">,</w:t>
      </w:r>
      <w:r>
        <w:t xml:space="preserve"> </w:t>
      </w:r>
      <w:r>
        <w:rPr>
          <w:rStyle w:val="VerbatimChar"/>
        </w:rPr>
        <w:t xml:space="preserve">dead</w:t>
      </w:r>
      <w:r>
        <w:t xml:space="preserve"> </w:t>
      </w:r>
      <m:oMath>
        <m:r>
          <m:rPr>
            <m:sty m:val="p"/>
          </m:rPr>
          <m:t>→</m:t>
        </m:r>
        <m:r>
          <m:t>D</m:t>
        </m:r>
      </m:oMath>
      <w:r>
        <w:t xml:space="preserve">,</w:t>
      </w:r>
      <w:r>
        <w:t xml:space="preserve"> </w:t>
      </w:r>
      <w:r>
        <w:rPr>
          <w:rStyle w:val="VerbatimChar"/>
        </w:rPr>
        <w:t xml:space="preserve">IR</w:t>
      </w:r>
      <w:r>
        <w:t xml:space="preserve"> </w:t>
      </w:r>
      <m:oMath>
        <m:r>
          <m:rPr>
            <m:sty m:val="p"/>
          </m:rPr>
          <m:t>→</m:t>
        </m:r>
        <m:r>
          <m:t>I</m:t>
        </m:r>
        <m:r>
          <m:t>R</m:t>
        </m:r>
      </m:oMath>
      <w:r>
        <w:t xml:space="preserve">,</w:t>
      </w:r>
      <w:r>
        <w:t xml:space="preserve"> </w:t>
      </w:r>
      <w:r>
        <w:rPr>
          <w:rStyle w:val="VerbatimChar"/>
        </w:rPr>
        <w:t xml:space="preserve">CF</w:t>
      </w:r>
      <w:r>
        <w:t xml:space="preserve"> </w:t>
      </w:r>
      <m:oMath>
        <m:r>
          <m:rPr>
            <m:sty m:val="p"/>
          </m:rPr>
          <m:t>→</m:t>
        </m:r>
        <m:r>
          <m:t>C</m:t>
        </m:r>
        <m:r>
          <m:t>F</m:t>
        </m:r>
      </m:oMath>
      <w:r>
        <w:t xml:space="preserve">,</w:t>
      </w:r>
      <w:r>
        <w:t xml:space="preserve"> </w:t>
      </w:r>
      <w:r>
        <w:rPr>
          <w:rStyle w:val="VerbatimChar"/>
        </w:rPr>
        <w:t xml:space="preserve">eff_ir</w:t>
      </w:r>
      <w:r>
        <w:t xml:space="preserve"> </w:t>
      </w:r>
      <m:oMath>
        <m:r>
          <m:rPr>
            <m:sty m:val="p"/>
          </m:rPr>
          <m:t>→</m:t>
        </m:r>
        <m:sSub>
          <m:e>
            <m:r>
              <m:t>ε</m:t>
            </m:r>
          </m:e>
          <m:sub>
            <m:r>
              <m:t>I</m:t>
            </m:r>
            <m:r>
              <m:t>R</m:t>
            </m:r>
          </m:sub>
        </m:sSub>
      </m:oMath>
      <w:r>
        <w:t xml:space="preserve">,</w:t>
      </w:r>
      <w:r>
        <w:t xml:space="preserve"> </w:t>
      </w:r>
      <w:r>
        <w:rPr>
          <w:rStyle w:val="VerbatimChar"/>
        </w:rPr>
        <w:t xml:space="preserve">eff_cf</w:t>
      </w:r>
      <w:r>
        <w:t xml:space="preserve"> </w:t>
      </w:r>
      <m:oMath>
        <m:r>
          <m:rPr>
            <m:sty m:val="p"/>
          </m:rPr>
          <m:t>→</m:t>
        </m:r>
        <m:sSub>
          <m:e>
            <m:r>
              <m:t>ε</m:t>
            </m:r>
          </m:e>
          <m:sub>
            <m:r>
              <m:t>C</m:t>
            </m:r>
            <m:r>
              <m:t>F</m:t>
            </m:r>
          </m:sub>
        </m:sSub>
      </m:oMath>
      <w:r>
        <w:t xml:space="preserve">,</w:t>
      </w:r>
      <w:r>
        <w:t xml:space="preserve"> </w:t>
      </w:r>
      <w:r>
        <w:rPr>
          <w:rStyle w:val="VerbatimChar"/>
        </w:rPr>
        <w:t xml:space="preserve">BG.mx</w:t>
      </w:r>
      <w:r>
        <w:t xml:space="preserve"> </w:t>
      </w:r>
      <m:oMath>
        <m:r>
          <m:rPr>
            <m:sty m:val="p"/>
          </m:rPr>
          <m:t>→</m:t>
        </m:r>
        <m:r>
          <m:t>B</m:t>
        </m:r>
        <m:r>
          <m:t>G</m:t>
        </m:r>
        <m:r>
          <m:rPr>
            <m:sty m:val="p"/>
          </m:rPr>
          <m:t>.</m:t>
        </m:r>
        <m:r>
          <m:t>m</m:t>
        </m:r>
        <m:r>
          <m:t>x</m:t>
        </m:r>
      </m:oMath>
      <w:r>
        <w:t xml:space="preserve">,</w:t>
      </w:r>
      <w:r>
        <w:t xml:space="preserve"> </w:t>
      </w:r>
      <w:r>
        <w:rPr>
          <w:rStyle w:val="VerbatimChar"/>
        </w:rPr>
        <w:t xml:space="preserve">BG.mx.all</w:t>
      </w:r>
      <w:r>
        <w:t xml:space="preserve"> </w:t>
      </w:r>
      <m:oMath>
        <m:r>
          <m:rPr>
            <m:sty m:val="p"/>
          </m:rPr>
          <m:t>→</m:t>
        </m:r>
        <m:r>
          <m:t>B</m:t>
        </m:r>
        <m:r>
          <m:t>G</m:t>
        </m:r>
        <m:r>
          <m:rPr>
            <m:sty m:val="p"/>
          </m:rPr>
          <m:t>.</m:t>
        </m:r>
        <m:r>
          <m:t>m</m:t>
        </m:r>
        <m:r>
          <m:t>x</m:t>
        </m:r>
        <m:r>
          <m:rPr>
            <m:sty m:val="p"/>
          </m:rPr>
          <m:t>.</m:t>
        </m:r>
        <m:r>
          <m:t>a</m:t>
        </m:r>
        <m:r>
          <m:t>l</m:t>
        </m:r>
        <m:r>
          <m:t>l</m:t>
        </m:r>
      </m:oMath>
      <w:r>
        <w:t xml:space="preserve">,</w:t>
      </w:r>
      <w:r>
        <w:t xml:space="preserve"> </w:t>
      </w:r>
      <w:r>
        <w:rPr>
          <w:rStyle w:val="VerbatimChar"/>
        </w:rPr>
        <w:t xml:space="preserve">Nx</w:t>
      </w:r>
      <w:r>
        <w:t xml:space="preserve"> </w:t>
      </w:r>
      <m:oMath>
        <m:r>
          <m:rPr>
            <m:sty m:val="p"/>
          </m:rPr>
          <m:t>→</m:t>
        </m:r>
        <m:r>
          <m:t>N</m:t>
        </m:r>
      </m:oMath>
      <w:r>
        <w:t xml:space="preserve">,</w:t>
      </w:r>
      <w:r>
        <w:t xml:space="preserve"> </w:t>
      </w:r>
      <w:r>
        <w:rPr>
          <w:rStyle w:val="VerbatimChar"/>
        </w:rPr>
        <w:t xml:space="preserve">PREVt0</w:t>
      </w:r>
      <w:r>
        <w:t xml:space="preserve"> </w:t>
      </w:r>
      <m:oMath>
        <m:r>
          <m:rPr>
            <m:sty m:val="p"/>
          </m:rPr>
          <m:t>→</m:t>
        </m:r>
        <m:r>
          <m:t>P</m:t>
        </m:r>
        <m:r>
          <m:t>R</m:t>
        </m:r>
        <m:r>
          <m:t>E</m:t>
        </m:r>
        <m:r>
          <m:t>V</m:t>
        </m:r>
      </m:oMath>
      <w:r>
        <w:t xml:space="preserve">,</w:t>
      </w:r>
      <w:r>
        <w:t xml:space="preserve"> </w:t>
      </w:r>
      <w:r>
        <w:rPr>
          <w:rStyle w:val="VerbatimChar"/>
        </w:rPr>
        <w:t xml:space="preserve">DIS.mx.t0</w:t>
      </w:r>
      <w:r>
        <w:t xml:space="preserve"> </w:t>
      </w:r>
      <m:oMath>
        <m:r>
          <m:rPr>
            <m:sty m:val="p"/>
          </m:rPr>
          <m:t>→</m:t>
        </m:r>
        <m:r>
          <m:t>D</m:t>
        </m:r>
        <m:r>
          <m:t>I</m:t>
        </m:r>
        <m:r>
          <m:t>S</m:t>
        </m:r>
        <m:r>
          <m:rPr>
            <m:sty m:val="p"/>
          </m:rPr>
          <m:t>.</m:t>
        </m:r>
        <m:r>
          <m:t>m</m:t>
        </m:r>
        <m:r>
          <m:t>x</m:t>
        </m:r>
      </m:oMath>
      <w:r>
        <w:t xml:space="preserve">.</w:t>
      </w:r>
    </w:p>
    <w:tbl>
      <w:tblPr>
        <w:tblStyle w:val="Table"/>
        <w:tblW w:type="pct" w:w="5000"/>
        <w:tblLayout w:type="fixed"/>
        <w:tblLook w:firstRow="1" w:lastRow="0" w:firstColumn="0" w:lastColumn="0" w:noHBand="0" w:noVBand="0" w:val="0020"/>
      </w:tblPr>
      <w:tblGrid>
        <w:gridCol w:w="2572"/>
        <w:gridCol w:w="5347"/>
      </w:tblGrid>
      <w:tr>
        <w:trPr>
          <w:tblHeader w:val="on"/>
        </w:trPr>
        <w:tc>
          <w:tcPr/>
          <w:p>
            <w:pPr>
              <w:pStyle w:val="Compact"/>
              <w:jc w:val="left"/>
            </w:pPr>
            <w:r>
              <w:t xml:space="preserve">Symbol</w:t>
            </w:r>
          </w:p>
        </w:tc>
        <w:tc>
          <w:tcPr/>
          <w:p>
            <w:pPr>
              <w:pStyle w:val="Compact"/>
              <w:jc w:val="left"/>
            </w:pPr>
            <w:r>
              <w:t xml:space="preserve">Definition</w:t>
            </w:r>
          </w:p>
        </w:tc>
      </w:tr>
      <w:tr>
        <w:tc>
          <w:tcPr/>
          <w:p>
            <w:pPr>
              <w:pStyle w:val="Compact"/>
              <w:jc w:val="left"/>
            </w:pPr>
            <w:r>
              <w:t xml:space="preserve">a, s, c, t, l</w:t>
            </w:r>
          </w:p>
        </w:tc>
        <w:tc>
          <w:tcPr/>
          <w:p>
            <w:pPr>
              <w:pStyle w:val="Compact"/>
              <w:jc w:val="left"/>
            </w:pPr>
            <w:r>
              <w:t xml:space="preserve">Age (single year, 20-95), sex, cause, time (year), location (country)</w:t>
            </w:r>
          </w:p>
        </w:tc>
      </w:tr>
      <w:tr>
        <w:tc>
          <w:tcPr/>
          <w:p>
            <w:pPr>
              <w:pStyle w:val="Compact"/>
              <w:jc w:val="left"/>
            </w:pPr>
            <w:r>
              <w:t xml:space="preserve">BP_cat</w:t>
            </w:r>
          </w:p>
        </w:tc>
        <w:tc>
          <w:tcPr/>
          <w:p>
            <w:pPr>
              <w:pStyle w:val="Compact"/>
              <w:jc w:val="left"/>
            </w:pPr>
            <w:r>
              <w:t xml:space="preserve">Blood pressure category (eight bins: &lt;120 through 180+)</w:t>
            </w:r>
          </w:p>
        </w:tc>
      </w:tr>
      <w:tr>
        <w:tc>
          <w:tcPr/>
          <w:p>
            <w:pPr>
              <w:pStyle w:val="Compact"/>
              <w:jc w:val="left"/>
            </w:pPr>
            <w:r>
              <w:t xml:space="preserve">W, K, D</w:t>
            </w:r>
          </w:p>
        </w:tc>
        <w:tc>
          <w:tcPr/>
          <w:p>
            <w:pPr>
              <w:pStyle w:val="Compact"/>
              <w:jc w:val="left"/>
            </w:pPr>
            <w:r>
              <w:t xml:space="preserve">Well (disease-free), Sick (prevalent), and Dead (disease-specific) populations</w:t>
            </w:r>
          </w:p>
        </w:tc>
      </w:tr>
      <w:tr>
        <w:tc>
          <w:tcPr/>
          <w:p>
            <w:pPr>
              <w:pStyle w:val="Compact"/>
              <w:jc w:val="left"/>
            </w:pPr>
            <w:r>
              <w:t xml:space="preserve">N</w:t>
            </w:r>
          </w:p>
        </w:tc>
        <w:tc>
          <w:tcPr/>
          <w:p>
            <w:pPr>
              <w:pStyle w:val="Compact"/>
              <w:jc w:val="left"/>
            </w:pPr>
            <w:r>
              <w:t xml:space="preserve">Total population</w:t>
            </w:r>
          </w:p>
        </w:tc>
      </w:tr>
      <w:tr>
        <w:tc>
          <w:tcPr/>
          <w:p>
            <w:pPr>
              <w:pStyle w:val="Compact"/>
              <w:jc w:val="left"/>
            </w:pPr>
            <w:r>
              <w:t xml:space="preserve">IR</w:t>
            </w:r>
          </w:p>
        </w:tc>
        <w:tc>
          <w:tcPr/>
          <w:p>
            <w:pPr>
              <w:pStyle w:val="Compact"/>
              <w:jc w:val="left"/>
            </w:pPr>
            <w:r>
              <w:t xml:space="preserve">Incidence rate (Well to Sick transition)</w:t>
            </w:r>
          </w:p>
        </w:tc>
      </w:tr>
      <w:tr>
        <w:tc>
          <w:tcPr/>
          <w:p>
            <w:pPr>
              <w:pStyle w:val="Compact"/>
              <w:jc w:val="left"/>
            </w:pPr>
            <w:r>
              <w:t xml:space="preserve">CF</w:t>
            </w:r>
          </w:p>
        </w:tc>
        <w:tc>
          <w:tcPr/>
          <w:p>
            <w:pPr>
              <w:pStyle w:val="Compact"/>
              <w:jc w:val="left"/>
            </w:pPr>
            <w:r>
              <w:t xml:space="preserve">Case fatality rate (Sick to Dead transition)</w:t>
            </w:r>
          </w:p>
        </w:tc>
      </w:tr>
      <w:tr>
        <w:tc>
          <w:tcPr/>
          <w:p>
            <w:pPr>
              <w:pStyle w:val="Compact"/>
              <w:jc w:val="left"/>
            </w:pPr>
            <w:r>
              <w:t xml:space="preserve">BG.mx</w:t>
            </w:r>
          </w:p>
        </w:tc>
        <w:tc>
          <w:tcPr/>
          <w:p>
            <w:pPr>
              <w:pStyle w:val="Compact"/>
              <w:jc w:val="left"/>
            </w:pPr>
            <w:r>
              <w:t xml:space="preserve">Cause-deleted background mortality</w:t>
            </w:r>
          </w:p>
        </w:tc>
      </w:tr>
      <w:tr>
        <w:tc>
          <w:tcPr/>
          <w:p>
            <w:pPr>
              <w:pStyle w:val="Compact"/>
              <w:jc w:val="left"/>
            </w:pPr>
            <w:r>
              <w:t xml:space="preserve">BG.mx.all</w:t>
            </w:r>
          </w:p>
        </w:tc>
        <w:tc>
          <w:tcPr/>
          <w:p>
            <w:pPr>
              <w:pStyle w:val="Compact"/>
              <w:jc w:val="left"/>
            </w:pPr>
            <w:r>
              <w:t xml:space="preserve">All-cause background mortality</w:t>
            </w:r>
          </w:p>
        </w:tc>
      </w:tr>
      <w:tr>
        <w:tc>
          <w:tcPr/>
          <w:p>
            <w:pPr>
              <w:pStyle w:val="Compact"/>
              <w:jc w:val="left"/>
            </w:pPr>
            <w:r>
              <w:t xml:space="preserve">covid.mx</w:t>
            </w:r>
          </w:p>
        </w:tc>
        <w:tc>
          <w:tcPr/>
          <w:p>
            <w:pPr>
              <w:pStyle w:val="Compact"/>
              <w:jc w:val="left"/>
            </w:pPr>
            <w:r>
              <w:t xml:space="preserve">COVID-19 excess mortality (2020-2021 only)</w:t>
            </w:r>
          </w:p>
        </w:tc>
      </w:tr>
      <w:tr>
        <w:tc>
          <w:tcPr/>
          <w:p>
            <w:pPr>
              <w:pStyle w:val="Compact"/>
              <w:jc w:val="left"/>
            </w:pPr>
            <w:r>
              <w:t xml:space="preserve">PREV</w:t>
            </w:r>
          </w:p>
        </w:tc>
        <w:tc>
          <w:tcPr/>
          <w:p>
            <w:pPr>
              <w:pStyle w:val="Compact"/>
              <w:jc w:val="left"/>
            </w:pPr>
            <w:r>
              <w:t xml:space="preserve">Baseline disease prevalence (initial condition)</w:t>
            </w:r>
          </w:p>
        </w:tc>
      </w:tr>
      <w:tr>
        <w:tc>
          <w:tcPr/>
          <w:p>
            <w:pPr>
              <w:pStyle w:val="Compact"/>
              <w:jc w:val="left"/>
            </w:pPr>
            <w:r>
              <w:t xml:space="preserve">DIS.mx</w:t>
            </w:r>
          </w:p>
        </w:tc>
        <w:tc>
          <w:tcPr/>
          <w:p>
            <w:pPr>
              <w:pStyle w:val="Compact"/>
              <w:jc w:val="left"/>
            </w:pPr>
            <w:r>
              <w:t xml:space="preserve">Baseline disease-specific mortality rate (initial condition)</w:t>
            </w:r>
          </w:p>
        </w:tc>
      </w:tr>
      <w:tr>
        <w:tc>
          <w:tcPr/>
          <w:p>
            <w:pPr>
              <w:pStyle w:val="Compact"/>
              <w:jc w:val="left"/>
            </w:pPr>
            <w:r>
              <w:t xml:space="preserve">epsilon_IR, epsilon_CF</w:t>
            </w:r>
          </w:p>
        </w:tc>
        <w:tc>
          <w:tcPr/>
          <w:p>
            <w:pPr>
              <w:pStyle w:val="Compact"/>
              <w:jc w:val="left"/>
            </w:pPr>
            <w:r>
              <w:t xml:space="preserve">Multiplicative effect ratios for incidence and case fatality (&lt;1 = reduction)</w:t>
            </w:r>
          </w:p>
        </w:tc>
      </w:tr>
      <w:tr>
        <w:tc>
          <w:tcPr/>
          <w:p>
            <w:pPr>
              <w:pStyle w:val="Compact"/>
              <w:jc w:val="left"/>
            </w:pPr>
            <w:r>
              <w:t xml:space="preserve">epsilon_IR,BP ; epsilon_CF,BP</w:t>
            </w:r>
          </w:p>
        </w:tc>
        <w:tc>
          <w:tcPr/>
          <w:p>
            <w:pPr>
              <w:pStyle w:val="Compact"/>
              <w:jc w:val="left"/>
            </w:pPr>
            <w:r>
              <w:t xml:space="preserve">Effect ratios from general-population hypertension control</w:t>
            </w:r>
          </w:p>
        </w:tc>
      </w:tr>
      <w:tr>
        <w:tc>
          <w:tcPr/>
          <w:p>
            <w:pPr>
              <w:pStyle w:val="Compact"/>
              <w:jc w:val="left"/>
            </w:pPr>
            <w:r>
              <w:t xml:space="preserve">epsilon_IR,BP,DM ; epsilon_CF,BP,DM</w:t>
            </w:r>
          </w:p>
        </w:tc>
        <w:tc>
          <w:tcPr/>
          <w:p>
            <w:pPr>
              <w:pStyle w:val="Compact"/>
              <w:jc w:val="left"/>
            </w:pPr>
            <w:r>
              <w:t xml:space="preserve">Effect ratios from diabetes-specific hypertension control</w:t>
            </w:r>
          </w:p>
        </w:tc>
      </w:tr>
      <w:tr>
        <w:tc>
          <w:tcPr/>
          <w:p>
            <w:pPr>
              <w:pStyle w:val="Compact"/>
              <w:jc w:val="left"/>
            </w:pPr>
            <w:r>
              <w:t xml:space="preserve">epsilon_IR,statin ; epsilon_CF,statin</w:t>
            </w:r>
          </w:p>
        </w:tc>
        <w:tc>
          <w:tcPr/>
          <w:p>
            <w:pPr>
              <w:pStyle w:val="Compact"/>
              <w:jc w:val="left"/>
            </w:pPr>
            <w:r>
              <w:t xml:space="preserve">Effect ratios from statin therapy</w:t>
            </w:r>
          </w:p>
        </w:tc>
      </w:tr>
      <w:tr>
        <w:tc>
          <w:tcPr/>
          <w:p>
            <w:pPr>
              <w:pStyle w:val="Compact"/>
              <w:jc w:val="left"/>
            </w:pPr>
            <w:r>
              <w:t xml:space="preserve">epsilon_IR,total ; epsilon_CF,total</w:t>
            </w:r>
          </w:p>
        </w:tc>
        <w:tc>
          <w:tcPr/>
          <w:p>
            <w:pPr>
              <w:pStyle w:val="Compact"/>
              <w:jc w:val="left"/>
            </w:pPr>
            <w:r>
              <w:t xml:space="preserve">Combined effect ratios (multiplicative product across interventions)</w:t>
            </w:r>
          </w:p>
        </w:tc>
      </w:tr>
      <w:tr>
        <w:tc>
          <w:tcPr/>
          <w:p>
            <w:pPr>
              <w:pStyle w:val="Compact"/>
              <w:jc w:val="left"/>
            </w:pPr>
            <w:r>
              <w:t xml:space="preserve">C_baseline</w:t>
            </w:r>
          </w:p>
        </w:tc>
        <w:tc>
          <w:tcPr/>
          <w:p>
            <w:pPr>
              <w:pStyle w:val="Compact"/>
              <w:jc w:val="left"/>
            </w:pPr>
            <w:r>
              <w:t xml:space="preserve">Baseline hypertension control rate (country-specific)</w:t>
            </w:r>
          </w:p>
        </w:tc>
      </w:tr>
      <w:tr>
        <w:tc>
          <w:tcPr/>
          <w:p>
            <w:pPr>
              <w:pStyle w:val="Compact"/>
              <w:jc w:val="left"/>
            </w:pPr>
            <w:r>
              <w:t xml:space="preserve">C_target</w:t>
            </w:r>
          </w:p>
        </w:tc>
        <w:tc>
          <w:tcPr/>
          <w:p>
            <w:pPr>
              <w:pStyle w:val="Compact"/>
              <w:jc w:val="left"/>
            </w:pPr>
            <w:r>
              <w:t xml:space="preserve">Target hypertension control rate</w:t>
            </w:r>
          </w:p>
        </w:tc>
      </w:tr>
      <w:tr>
        <w:tc>
          <w:tcPr/>
          <w:p>
            <w:pPr>
              <w:pStyle w:val="Compact"/>
              <w:jc w:val="left"/>
            </w:pPr>
            <w:r>
              <w:t xml:space="preserve">C_0, C_t</w:t>
            </w:r>
          </w:p>
        </w:tc>
        <w:tc>
          <w:tcPr/>
          <w:p>
            <w:pPr>
              <w:pStyle w:val="Compact"/>
              <w:jc w:val="left"/>
            </w:pPr>
            <w:r>
              <w:t xml:space="preserve">Baseline and time-varying coverage for hypertensive BP bins</w:t>
            </w:r>
          </w:p>
        </w:tc>
      </w:tr>
      <w:tr>
        <w:tc>
          <w:tcPr/>
          <w:p>
            <w:pPr>
              <w:pStyle w:val="Compact"/>
              <w:jc w:val="left"/>
            </w:pPr>
            <w:r>
              <w:t xml:space="preserve">Delta C_target</w:t>
            </w:r>
          </w:p>
        </w:tc>
        <w:tc>
          <w:tcPr/>
          <w:p>
            <w:pPr>
              <w:pStyle w:val="Compact"/>
              <w:jc w:val="left"/>
            </w:pPr>
            <w:r>
              <w:t xml:space="preserve">Incremental coverage target (C_target - C_baseline)</w:t>
            </w:r>
          </w:p>
        </w:tc>
      </w:tr>
      <w:tr>
        <w:tc>
          <w:tcPr/>
          <w:p>
            <w:pPr>
              <w:pStyle w:val="Compact"/>
              <w:jc w:val="left"/>
            </w:pPr>
            <w:r>
              <w:t xml:space="preserve">C_agg^Delta</w:t>
            </w:r>
          </w:p>
        </w:tc>
        <w:tc>
          <w:tcPr/>
          <w:p>
            <w:pPr>
              <w:pStyle w:val="Compact"/>
              <w:jc w:val="left"/>
            </w:pPr>
            <w:r>
              <w:t xml:space="preserve">Aggregate incremental coverage (population-weighted over hypertensive bins)</w:t>
            </w:r>
          </w:p>
        </w:tc>
      </w:tr>
      <w:tr>
        <w:tc>
          <w:tcPr/>
          <w:p>
            <w:pPr>
              <w:pStyle w:val="Compact"/>
              <w:jc w:val="left"/>
            </w:pPr>
            <w:r>
              <w:t xml:space="preserve">P(BP_cat)</w:t>
            </w:r>
          </w:p>
        </w:tc>
        <w:tc>
          <w:tcPr/>
          <w:p>
            <w:pPr>
              <w:pStyle w:val="Compact"/>
              <w:jc w:val="left"/>
            </w:pPr>
            <w:r>
              <w:t xml:space="preserve">Population probability distribution across BP categories</w:t>
            </w:r>
          </w:p>
        </w:tc>
      </w:tr>
      <w:tr>
        <w:tc>
          <w:tcPr/>
          <w:p>
            <w:pPr>
              <w:pStyle w:val="Compact"/>
              <w:jc w:val="left"/>
            </w:pPr>
            <w:r>
              <w:t xml:space="preserve">RR_GBD</w:t>
            </w:r>
          </w:p>
        </w:tc>
        <w:tc>
          <w:tcPr/>
          <w:p>
            <w:pPr>
              <w:pStyle w:val="Compact"/>
              <w:jc w:val="left"/>
            </w:pPr>
            <w:r>
              <w:t xml:space="preserve">GBD relative risk per 10 mmHg SBP increase (age- and cause-specific)</w:t>
            </w:r>
          </w:p>
        </w:tc>
      </w:tr>
      <w:tr>
        <w:tc>
          <w:tcPr/>
          <w:p>
            <w:pPr>
              <w:pStyle w:val="Compact"/>
              <w:jc w:val="left"/>
            </w:pPr>
            <w:r>
              <w:t xml:space="preserve">alpha (normalisation)</w:t>
            </w:r>
          </w:p>
        </w:tc>
        <w:tc>
          <w:tcPr/>
          <w:p>
            <w:pPr>
              <w:pStyle w:val="Compact"/>
              <w:jc w:val="left"/>
            </w:pPr>
            <w:r>
              <w:t xml:space="preserve">Normalisation factor = sum of P(BP) x RR_GBD across bins</w:t>
            </w:r>
          </w:p>
        </w:tc>
      </w:tr>
      <w:tr>
        <w:tc>
          <w:tcPr/>
          <w:p>
            <w:pPr>
              <w:pStyle w:val="Compact"/>
              <w:jc w:val="left"/>
            </w:pPr>
            <w:r>
              <w:t xml:space="preserve">IR_bin</w:t>
            </w:r>
          </w:p>
        </w:tc>
        <w:tc>
          <w:tcPr/>
          <w:p>
            <w:pPr>
              <w:pStyle w:val="Compact"/>
              <w:jc w:val="left"/>
            </w:pPr>
            <w:r>
              <w:t xml:space="preserve">Bin-specific baseline incidence</w:t>
            </w:r>
          </w:p>
        </w:tc>
      </w:tr>
      <w:tr>
        <w:tc>
          <w:tcPr/>
          <w:p>
            <w:pPr>
              <w:pStyle w:val="Compact"/>
              <w:jc w:val="left"/>
            </w:pPr>
            <w:r>
              <w:t xml:space="preserve">E_trial</w:t>
            </w:r>
          </w:p>
        </w:tc>
        <w:tc>
          <w:tcPr/>
          <w:p>
            <w:pPr>
              <w:pStyle w:val="Compact"/>
              <w:jc w:val="left"/>
            </w:pPr>
            <w:r>
              <w:t xml:space="preserve">Ettehad trial effect size (diabetes-weighted, per BP bin and cause)</w:t>
            </w:r>
          </w:p>
        </w:tc>
      </w:tr>
      <w:tr>
        <w:tc>
          <w:tcPr/>
          <w:p>
            <w:pPr>
              <w:pStyle w:val="Compact"/>
              <w:jc w:val="left"/>
            </w:pPr>
            <w:r>
              <w:t xml:space="preserve">E_adj</w:t>
            </w:r>
          </w:p>
        </w:tc>
        <w:tc>
          <w:tcPr/>
          <w:p>
            <w:pPr>
              <w:pStyle w:val="Compact"/>
              <w:jc w:val="left"/>
            </w:pPr>
            <w:r>
              <w:t xml:space="preserve">Coverage-adjusted effect size</w:t>
            </w:r>
          </w:p>
        </w:tc>
      </w:tr>
      <w:tr>
        <w:tc>
          <w:tcPr/>
          <w:p>
            <w:pPr>
              <w:pStyle w:val="Compact"/>
              <w:jc w:val="left"/>
            </w:pPr>
            <w:r>
              <w:t xml:space="preserve">w_DM</w:t>
            </w:r>
          </w:p>
        </w:tc>
        <w:tc>
          <w:tcPr/>
          <w:p>
            <w:pPr>
              <w:pStyle w:val="Compact"/>
              <w:jc w:val="left"/>
            </w:pPr>
            <w:r>
              <w:t xml:space="preserve">Diabetes prevalence weight (country-specific)</w:t>
            </w:r>
          </w:p>
        </w:tc>
      </w:tr>
      <w:tr>
        <w:tc>
          <w:tcPr/>
          <w:p>
            <w:pPr>
              <w:pStyle w:val="Compact"/>
              <w:jc w:val="left"/>
            </w:pPr>
            <w:r>
              <w:t xml:space="preserve">rho_CF,c</w:t>
            </w:r>
          </w:p>
        </w:tc>
        <w:tc>
          <w:tcPr/>
          <w:p>
            <w:pPr>
              <w:pStyle w:val="Compact"/>
              <w:jc w:val="left"/>
            </w:pPr>
            <w:r>
              <w:t xml:space="preserve">Case-fatality reduction factor per unit coverage (cause-specific)</w:t>
            </w:r>
          </w:p>
        </w:tc>
      </w:tr>
      <w:tr>
        <w:tc>
          <w:tcPr/>
          <w:p>
            <w:pPr>
              <w:pStyle w:val="Compact"/>
              <w:jc w:val="left"/>
            </w:pPr>
            <w:r>
              <w:t xml:space="preserve">T_start, T_end</w:t>
            </w:r>
          </w:p>
        </w:tc>
        <w:tc>
          <w:tcPr/>
          <w:p>
            <w:pPr>
              <w:pStyle w:val="Compact"/>
              <w:jc w:val="left"/>
            </w:pPr>
            <w:r>
              <w:t xml:space="preserve">Scale-up start and end years</w:t>
            </w:r>
          </w:p>
        </w:tc>
      </w:tr>
      <w:tr>
        <w:tc>
          <w:tcPr/>
          <w:p>
            <w:pPr>
              <w:pStyle w:val="Compact"/>
              <w:jc w:val="left"/>
            </w:pPr>
            <w:r>
              <w:t xml:space="preserve">U_0,l</w:t>
            </w:r>
          </w:p>
        </w:tc>
        <w:tc>
          <w:tcPr/>
          <w:p>
            <w:pPr>
              <w:pStyle w:val="Compact"/>
              <w:jc w:val="left"/>
            </w:pPr>
            <w:r>
              <w:t xml:space="preserve">Baseline statin coverage at start year (country-specific)</w:t>
            </w:r>
          </w:p>
        </w:tc>
      </w:tr>
      <w:tr>
        <w:tc>
          <w:tcPr/>
          <w:p>
            <w:pPr>
              <w:pStyle w:val="Compact"/>
              <w:jc w:val="left"/>
            </w:pPr>
            <w:r>
              <w:t xml:space="preserve">U_target</w:t>
            </w:r>
          </w:p>
        </w:tc>
        <w:tc>
          <w:tcPr/>
          <w:p>
            <w:pPr>
              <w:pStyle w:val="Compact"/>
              <w:jc w:val="left"/>
            </w:pPr>
            <w:r>
              <w:t xml:space="preserve">Target total statin coverage</w:t>
            </w:r>
          </w:p>
        </w:tc>
      </w:tr>
      <w:tr>
        <w:tc>
          <w:tcPr/>
          <w:p>
            <w:pPr>
              <w:pStyle w:val="Compact"/>
              <w:jc w:val="left"/>
            </w:pPr>
            <w:r>
              <w:t xml:space="preserve">Delta U(t,l)</w:t>
            </w:r>
          </w:p>
        </w:tc>
        <w:tc>
          <w:tcPr/>
          <w:p>
            <w:pPr>
              <w:pStyle w:val="Compact"/>
              <w:jc w:val="left"/>
            </w:pPr>
            <w:r>
              <w:t xml:space="preserve">Incremental statin coverage above baseline at time t</w:t>
            </w:r>
          </w:p>
        </w:tc>
      </w:tr>
      <w:tr>
        <w:tc>
          <w:tcPr/>
          <w:p>
            <w:pPr>
              <w:pStyle w:val="Compact"/>
              <w:jc w:val="left"/>
            </w:pPr>
            <w:r>
              <w:t xml:space="preserve">RR^IR_c, RR^CF_c</w:t>
            </w:r>
          </w:p>
        </w:tc>
        <w:tc>
          <w:tcPr/>
          <w:p>
            <w:pPr>
              <w:pStyle w:val="Compact"/>
              <w:jc w:val="left"/>
            </w:pPr>
            <w:r>
              <w:t xml:space="preserve">Trial-based relative risks for incidence and case fatality</w:t>
            </w:r>
          </w:p>
        </w:tc>
      </w:tr>
      <w:tr>
        <w:tc>
          <w:tcPr/>
          <w:p>
            <w:pPr>
              <w:pStyle w:val="Compact"/>
              <w:jc w:val="left"/>
            </w:pPr>
            <w:r>
              <w:t xml:space="preserve">delta^IR_c, delta^CF_c</w:t>
            </w:r>
          </w:p>
        </w:tc>
        <w:tc>
          <w:tcPr/>
          <w:p>
            <w:pPr>
              <w:pStyle w:val="Compact"/>
              <w:jc w:val="left"/>
            </w:pPr>
            <w:r>
              <w:t xml:space="preserve">Risk reductions (= 1 - RR) for incidence and case fatality</w:t>
            </w:r>
          </w:p>
        </w:tc>
      </w:tr>
      <w:tr>
        <w:tc>
          <w:tcPr/>
          <w:p>
            <w:pPr>
              <w:pStyle w:val="Compact"/>
              <w:jc w:val="left"/>
            </w:pPr>
            <w:r>
              <w:t xml:space="preserve">AF_c,l</w:t>
            </w:r>
          </w:p>
        </w:tc>
        <w:tc>
          <w:tcPr/>
          <w:p>
            <w:pPr>
              <w:pStyle w:val="Compact"/>
              <w:jc w:val="left"/>
            </w:pPr>
            <w:r>
              <w:t xml:space="preserve">Attributable fraction (cause- and location-specific; used for IR only)</w:t>
            </w:r>
          </w:p>
        </w:tc>
      </w:tr>
      <w:tr>
        <w:tc>
          <w:tcPr/>
          <w:p>
            <w:pPr>
              <w:pStyle w:val="Compact"/>
              <w:jc w:val="left"/>
            </w:pPr>
            <w:r>
              <w:t xml:space="preserve">psi_athero</w:t>
            </w:r>
          </w:p>
        </w:tc>
        <w:tc>
          <w:tcPr/>
          <w:p>
            <w:pPr>
              <w:pStyle w:val="Compact"/>
              <w:jc w:val="left"/>
            </w:pPr>
            <w:r>
              <w:t xml:space="preserve">Proportion of ischaemic stroke that is atherosclerotic (CF only)</w:t>
            </w:r>
          </w:p>
        </w:tc>
      </w:tr>
      <w:tr>
        <w:tc>
          <w:tcPr/>
          <w:p>
            <w:pPr>
              <w:pStyle w:val="Compact"/>
              <w:jc w:val="left"/>
            </w:pPr>
            <w:r>
              <w:t xml:space="preserve">alpha_IR, alpha_CF</w:t>
            </w:r>
          </w:p>
        </w:tc>
        <w:tc>
          <w:tcPr/>
          <w:p>
            <w:pPr>
              <w:pStyle w:val="Compact"/>
              <w:jc w:val="left"/>
            </w:pPr>
            <w:r>
              <w:t xml:space="preserve">Adherence for primary (IR) and secondary (CF) prevention</w:t>
            </w:r>
          </w:p>
        </w:tc>
      </w:tr>
      <w:tr>
        <w:tc>
          <w:tcPr/>
          <w:p>
            <w:pPr>
              <w:pStyle w:val="Compact"/>
              <w:jc w:val="left"/>
            </w:pPr>
            <w:r>
              <w:t xml:space="preserve">E^IR_c,l(t), E^CF_c,l(t)</w:t>
            </w:r>
          </w:p>
        </w:tc>
        <w:tc>
          <w:tcPr/>
          <w:p>
            <w:pPr>
              <w:pStyle w:val="Compact"/>
              <w:jc w:val="left"/>
            </w:pPr>
            <w:r>
              <w:t xml:space="preserve">Incremental statin effect sizes for IR and CF</w:t>
            </w:r>
          </w:p>
        </w:tc>
      </w:tr>
      <w:tr>
        <w:tc>
          <w:tcPr/>
          <w:p>
            <w:pPr>
              <w:pStyle w:val="Compact"/>
              <w:jc w:val="left"/>
            </w:pPr>
            <w:r>
              <w:t xml:space="preserve">Deaths averted</w:t>
            </w:r>
          </w:p>
        </w:tc>
        <w:tc>
          <w:tcPr/>
          <w:p>
            <w:pPr>
              <w:pStyle w:val="Compact"/>
              <w:jc w:val="left"/>
            </w:pPr>
            <w:r>
              <w:t xml:space="preserve">Cumulative difference: D_BAU - D_intervention, summed over a, s, c, t</w:t>
            </w:r>
          </w:p>
        </w:tc>
      </w:tr>
    </w:tbl>
    <w:p>
      <w:r>
        <w:br w:type="page"/>
      </w:r>
    </w:p>
    <w:bookmarkEnd w:id="167"/>
    <w:bookmarkStart w:id="168" w:name="sec:param-appendix"/>
    <w:p>
      <w:pPr>
        <w:pStyle w:val="Heading3"/>
      </w:pPr>
      <w:r>
        <w:rPr>
          <w:rStyle w:val="SectionNumber"/>
        </w:rPr>
        <w:t xml:space="preserve">10.3.2</w:t>
      </w:r>
      <w:r>
        <w:tab/>
      </w:r>
      <w:r>
        <w:t xml:space="preserve">Key Parameter Appendix</w:t>
      </w:r>
    </w:p>
    <w:p>
      <w:pPr>
        <w:pStyle w:val="FirstParagraph"/>
      </w:pPr>
      <w:r>
        <w:t xml:space="preserve">The table below lists all base parameter values used in the analysis. All parameters are deterministic in the present analysis; formal probabilistic sensitivity analysis is planned as a subsequent extension.</w:t>
      </w:r>
    </w:p>
    <w:tbl>
      <w:tblPr>
        <w:tblStyle w:val="Table"/>
        <w:tblW w:type="pct" w:w="5000"/>
        <w:tblLayout w:type="fixed"/>
        <w:tblLook w:firstRow="1" w:lastRow="0" w:firstColumn="0" w:lastColumn="0" w:noHBand="0" w:noVBand="0" w:val="0020"/>
      </w:tblPr>
      <w:tblGrid>
        <w:gridCol w:w="149"/>
        <w:gridCol w:w="2092"/>
        <w:gridCol w:w="647"/>
        <w:gridCol w:w="1344"/>
        <w:gridCol w:w="1195"/>
        <w:gridCol w:w="1793"/>
        <w:gridCol w:w="697"/>
      </w:tblGrid>
      <w:tr>
        <w:trPr>
          <w:tblHeader w:val="on"/>
        </w:trPr>
        <w:tc>
          <w:tcPr/>
          <w:p>
            <w:pPr>
              <w:pStyle w:val="Compact"/>
            </w:pPr>
          </w:p>
        </w:tc>
        <w:tc>
          <w:tcPr/>
          <w:p>
            <w:pPr>
              <w:pStyle w:val="Compact"/>
              <w:jc w:val="left"/>
            </w:pPr>
            <w:r>
              <w:t xml:space="preserve">Parameter</w:t>
            </w:r>
          </w:p>
        </w:tc>
        <w:tc>
          <w:tcPr/>
          <w:p>
            <w:pPr>
              <w:pStyle w:val="Compact"/>
              <w:jc w:val="left"/>
            </w:pPr>
            <w:r>
              <w:t xml:space="preserve">Symbol</w:t>
            </w:r>
          </w:p>
        </w:tc>
        <w:tc>
          <w:tcPr/>
          <w:p>
            <w:pPr>
              <w:pStyle w:val="Compact"/>
              <w:jc w:val="left"/>
            </w:pPr>
            <w:r>
              <w:t xml:space="preserve">Base Value</w:t>
            </w:r>
          </w:p>
        </w:tc>
        <w:tc>
          <w:tcPr/>
          <w:p>
            <w:pPr>
              <w:pStyle w:val="Compact"/>
              <w:jc w:val="left"/>
            </w:pPr>
            <w:r>
              <w:t xml:space="preserve">Data Source</w:t>
            </w:r>
          </w:p>
        </w:tc>
        <w:tc>
          <w:tcPr/>
          <w:p>
            <w:pPr>
              <w:pStyle w:val="Compact"/>
              <w:jc w:val="left"/>
            </w:pPr>
            <w:r>
              <w:t xml:space="preserve">Transformation</w:t>
            </w:r>
          </w:p>
        </w:tc>
        <w:tc>
          <w:tcPr/>
          <w:p>
            <w:pPr>
              <w:pStyle w:val="Compact"/>
              <w:jc w:val="left"/>
            </w:pPr>
            <w:r>
              <w:t xml:space="preserve">Uncertainty</w:t>
            </w:r>
          </w:p>
        </w:tc>
      </w:tr>
      <w:tr>
        <w:tc>
          <w:tcPr/>
          <w:p>
            <w:pPr>
              <w:pStyle w:val="Compact"/>
              <w:jc w:val="left"/>
            </w:pPr>
            <w:r>
              <w:t xml:space="preserve">1</w:t>
            </w:r>
          </w:p>
        </w:tc>
        <w:tc>
          <w:tcPr/>
          <w:p>
            <w:pPr>
              <w:pStyle w:val="Compact"/>
              <w:jc w:val="left"/>
            </w:pPr>
            <w:r>
              <w:t xml:space="preserve">Time step</w:t>
            </w:r>
          </w:p>
        </w:tc>
        <w:tc>
          <w:tcPr/>
          <w:p>
            <w:pPr>
              <w:pStyle w:val="Compact"/>
              <w:jc w:val="left"/>
            </w:pPr>
            <w:r>
              <w:t xml:space="preserve">–</w:t>
            </w:r>
          </w:p>
        </w:tc>
        <w:tc>
          <w:tcPr/>
          <w:p>
            <w:pPr>
              <w:pStyle w:val="Compact"/>
              <w:jc w:val="left"/>
            </w:pPr>
            <w:r>
              <w:t xml:space="preserve">1 year</w:t>
            </w:r>
          </w:p>
        </w:tc>
        <w:tc>
          <w:tcPr/>
          <w:p>
            <w:pPr>
              <w:pStyle w:val="Compact"/>
              <w:jc w:val="left"/>
            </w:pPr>
            <w:r>
              <w:t xml:space="preserve">Model structure</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w:t>
            </w:r>
          </w:p>
        </w:tc>
        <w:tc>
          <w:tcPr/>
          <w:p>
            <w:pPr>
              <w:pStyle w:val="Compact"/>
              <w:jc w:val="left"/>
            </w:pPr>
            <w:r>
              <w:t xml:space="preserve">Age range</w:t>
            </w:r>
          </w:p>
        </w:tc>
        <w:tc>
          <w:tcPr/>
          <w:p>
            <w:pPr>
              <w:pStyle w:val="Compact"/>
              <w:jc w:val="left"/>
            </w:pPr>
            <w:r>
              <w:t xml:space="preserve">a</w:t>
            </w:r>
          </w:p>
        </w:tc>
        <w:tc>
          <w:tcPr/>
          <w:p>
            <w:pPr>
              <w:pStyle w:val="Compact"/>
              <w:jc w:val="left"/>
            </w:pPr>
            <w:r>
              <w:t xml:space="preserve">20-95</w:t>
            </w:r>
          </w:p>
        </w:tc>
        <w:tc>
          <w:tcPr/>
          <w:p>
            <w:pPr>
              <w:pStyle w:val="Compact"/>
              <w:jc w:val="left"/>
            </w:pPr>
            <w:r>
              <w:t xml:space="preserve">UNWPP 2024</w:t>
            </w:r>
          </w:p>
        </w:tc>
        <w:tc>
          <w:tcPr/>
          <w:p>
            <w:pPr>
              <w:pStyle w:val="Compact"/>
              <w:jc w:val="left"/>
            </w:pPr>
            <w:r>
              <w:t xml:space="preserve">Single-year ages; 95+ collapsed</w:t>
            </w:r>
          </w:p>
        </w:tc>
        <w:tc>
          <w:tcPr/>
          <w:p>
            <w:pPr>
              <w:pStyle w:val="Compact"/>
              <w:jc w:val="left"/>
            </w:pPr>
            <w:r>
              <w:t xml:space="preserve">Deterministic</w:t>
            </w:r>
          </w:p>
        </w:tc>
      </w:tr>
      <w:tr>
        <w:tc>
          <w:tcPr/>
          <w:p>
            <w:pPr>
              <w:pStyle w:val="Compact"/>
              <w:jc w:val="left"/>
            </w:pPr>
            <w:r>
              <w:t xml:space="preserve">3</w:t>
            </w:r>
          </w:p>
        </w:tc>
        <w:tc>
          <w:tcPr/>
          <w:p>
            <w:pPr>
              <w:pStyle w:val="Compact"/>
              <w:jc w:val="left"/>
            </w:pPr>
            <w:r>
              <w:t xml:space="preserve">Causes modelled</w:t>
            </w:r>
          </w:p>
        </w:tc>
        <w:tc>
          <w:tcPr/>
          <w:p>
            <w:pPr>
              <w:pStyle w:val="Compact"/>
              <w:jc w:val="left"/>
            </w:pPr>
            <w:r>
              <w:t xml:space="preserve">c</w:t>
            </w:r>
          </w:p>
        </w:tc>
        <w:tc>
          <w:tcPr/>
          <w:p>
            <w:pPr>
              <w:pStyle w:val="Compact"/>
              <w:jc w:val="left"/>
            </w:pPr>
            <w:r>
              <w:t xml:space="preserve">IHD, IS, HS, HHD</w:t>
            </w:r>
          </w:p>
        </w:tc>
        <w:tc>
          <w:tcPr/>
          <w:p>
            <w:pPr>
              <w:pStyle w:val="Compact"/>
              <w:jc w:val="left"/>
            </w:pPr>
            <w:r>
              <w:t xml:space="preserve">GBD 2023</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4</w:t>
            </w:r>
          </w:p>
        </w:tc>
        <w:tc>
          <w:tcPr/>
          <w:p>
            <w:pPr>
              <w:pStyle w:val="Compact"/>
              <w:jc w:val="left"/>
            </w:pPr>
            <w:r>
              <w:t xml:space="preserve">Incidence rate (IR)</w:t>
            </w:r>
          </w:p>
        </w:tc>
        <w:tc>
          <w:tcPr/>
          <w:p>
            <w:pPr>
              <w:pStyle w:val="Compact"/>
              <w:jc w:val="left"/>
            </w:pPr>
            <w:r>
              <w:t xml:space="preserve">IR</w:t>
            </w:r>
          </w:p>
        </w:tc>
        <w:tc>
          <w:tcPr/>
          <w:p>
            <w:pPr>
              <w:pStyle w:val="Compact"/>
              <w:jc w:val="left"/>
            </w:pPr>
            <w:r>
              <w:t xml:space="preserve">Country-specific</w:t>
            </w:r>
          </w:p>
        </w:tc>
        <w:tc>
          <w:tcPr/>
          <w:p>
            <w:pPr>
              <w:pStyle w:val="Compact"/>
              <w:jc w:val="left"/>
            </w:pPr>
            <w:r>
              <w:t xml:space="preserve">GBD 2023 / WHO GHE</w:t>
            </w:r>
          </w:p>
        </w:tc>
        <w:tc>
          <w:tcPr/>
          <w:p>
            <w:pPr>
              <w:pStyle w:val="Compact"/>
              <w:jc w:val="left"/>
            </w:pPr>
            <w:r>
              <w:t xml:space="preserve">Calibrated jointly with CF</w:t>
            </w:r>
          </w:p>
        </w:tc>
        <w:tc>
          <w:tcPr/>
          <w:p>
            <w:pPr>
              <w:pStyle w:val="Compact"/>
              <w:jc w:val="left"/>
            </w:pPr>
            <w:r>
              <w:t xml:space="preserve">Deterministic</w:t>
            </w:r>
          </w:p>
        </w:tc>
      </w:tr>
      <w:tr>
        <w:tc>
          <w:tcPr/>
          <w:p>
            <w:pPr>
              <w:pStyle w:val="Compact"/>
              <w:jc w:val="left"/>
            </w:pPr>
            <w:r>
              <w:t xml:space="preserve">5</w:t>
            </w:r>
          </w:p>
        </w:tc>
        <w:tc>
          <w:tcPr/>
          <w:p>
            <w:pPr>
              <w:pStyle w:val="Compact"/>
              <w:jc w:val="left"/>
            </w:pPr>
            <w:r>
              <w:t xml:space="preserve">Case fatality rate (CF)</w:t>
            </w:r>
          </w:p>
        </w:tc>
        <w:tc>
          <w:tcPr/>
          <w:p>
            <w:pPr>
              <w:pStyle w:val="Compact"/>
              <w:jc w:val="left"/>
            </w:pPr>
            <w:r>
              <w:t xml:space="preserve">CF</w:t>
            </w:r>
          </w:p>
        </w:tc>
        <w:tc>
          <w:tcPr/>
          <w:p>
            <w:pPr>
              <w:pStyle w:val="Compact"/>
              <w:jc w:val="left"/>
            </w:pPr>
            <w:r>
              <w:t xml:space="preserve">Country-specific</w:t>
            </w:r>
          </w:p>
        </w:tc>
        <w:tc>
          <w:tcPr/>
          <w:p>
            <w:pPr>
              <w:pStyle w:val="Compact"/>
              <w:jc w:val="left"/>
            </w:pPr>
            <w:r>
              <w:t xml:space="preserve">GBD 2023 / WHO GHE</w:t>
            </w:r>
          </w:p>
        </w:tc>
        <w:tc>
          <w:tcPr/>
          <w:p>
            <w:pPr>
              <w:pStyle w:val="Compact"/>
              <w:jc w:val="left"/>
            </w:pPr>
            <w:r>
              <w:t xml:space="preserve">Calibrated to WHO GHE deaths</w:t>
            </w:r>
          </w:p>
        </w:tc>
        <w:tc>
          <w:tcPr/>
          <w:p>
            <w:pPr>
              <w:pStyle w:val="Compact"/>
              <w:jc w:val="left"/>
            </w:pPr>
            <w:r>
              <w:t xml:space="preserve">Deterministic</w:t>
            </w:r>
          </w:p>
        </w:tc>
      </w:tr>
      <w:tr>
        <w:tc>
          <w:tcPr/>
          <w:p>
            <w:pPr>
              <w:pStyle w:val="Compact"/>
              <w:jc w:val="left"/>
            </w:pPr>
            <w:r>
              <w:t xml:space="preserve">6</w:t>
            </w:r>
          </w:p>
        </w:tc>
        <w:tc>
          <w:tcPr/>
          <w:p>
            <w:pPr>
              <w:pStyle w:val="Compact"/>
              <w:jc w:val="left"/>
            </w:pPr>
            <w:r>
              <w:t xml:space="preserve">Background mortality (BG.mx)</w:t>
            </w:r>
          </w:p>
        </w:tc>
        <w:tc>
          <w:tcPr/>
          <w:p>
            <w:pPr>
              <w:pStyle w:val="Compact"/>
              <w:jc w:val="left"/>
            </w:pPr>
            <w:r>
              <w:t xml:space="preserve">BG.mx</w:t>
            </w:r>
          </w:p>
        </w:tc>
        <w:tc>
          <w:tcPr/>
          <w:p>
            <w:pPr>
              <w:pStyle w:val="Compact"/>
              <w:jc w:val="left"/>
            </w:pPr>
            <w:r>
              <w:t xml:space="preserve">Country-specific</w:t>
            </w:r>
          </w:p>
        </w:tc>
        <w:tc>
          <w:tcPr/>
          <w:p>
            <w:pPr>
              <w:pStyle w:val="Compact"/>
              <w:jc w:val="left"/>
            </w:pPr>
            <w:r>
              <w:t xml:space="preserve">WHO GHE</w:t>
            </w:r>
          </w:p>
        </w:tc>
        <w:tc>
          <w:tcPr/>
          <w:p>
            <w:pPr>
              <w:pStyle w:val="Compact"/>
              <w:jc w:val="left"/>
            </w:pPr>
            <w:r>
              <w:t xml:space="preserve">Cause-deleted from all-cause</w:t>
            </w:r>
          </w:p>
        </w:tc>
        <w:tc>
          <w:tcPr/>
          <w:p>
            <w:pPr>
              <w:pStyle w:val="Compact"/>
              <w:jc w:val="left"/>
            </w:pPr>
            <w:r>
              <w:t xml:space="preserve">Deterministic</w:t>
            </w:r>
          </w:p>
        </w:tc>
      </w:tr>
      <w:tr>
        <w:tc>
          <w:tcPr/>
          <w:p>
            <w:pPr>
              <w:pStyle w:val="Compact"/>
              <w:jc w:val="left"/>
            </w:pPr>
            <w:r>
              <w:t xml:space="preserve">7</w:t>
            </w:r>
          </w:p>
        </w:tc>
        <w:tc>
          <w:tcPr/>
          <w:p>
            <w:pPr>
              <w:pStyle w:val="Compact"/>
              <w:jc w:val="left"/>
            </w:pPr>
            <w:r>
              <w:t xml:space="preserve">Population (N)</w:t>
            </w:r>
          </w:p>
        </w:tc>
        <w:tc>
          <w:tcPr/>
          <w:p>
            <w:pPr>
              <w:pStyle w:val="Compact"/>
              <w:jc w:val="left"/>
            </w:pPr>
            <w:r>
              <w:t xml:space="preserve">N</w:t>
            </w:r>
          </w:p>
        </w:tc>
        <w:tc>
          <w:tcPr/>
          <w:p>
            <w:pPr>
              <w:pStyle w:val="Compact"/>
              <w:jc w:val="left"/>
            </w:pPr>
            <w:r>
              <w:t xml:space="preserve">Country-specific</w:t>
            </w:r>
          </w:p>
        </w:tc>
        <w:tc>
          <w:tcPr/>
          <w:p>
            <w:pPr>
              <w:pStyle w:val="Compact"/>
              <w:jc w:val="left"/>
            </w:pPr>
            <w:r>
              <w:t xml:space="preserve">UNWPP 2024</w:t>
            </w:r>
          </w:p>
        </w:tc>
        <w:tc>
          <w:tcPr/>
          <w:p>
            <w:pPr>
              <w:pStyle w:val="Compact"/>
              <w:jc w:val="left"/>
            </w:pPr>
            <w:r>
              <w:t xml:space="preserve">Single-year age projections</w:t>
            </w:r>
          </w:p>
        </w:tc>
        <w:tc>
          <w:tcPr/>
          <w:p>
            <w:pPr>
              <w:pStyle w:val="Compact"/>
              <w:jc w:val="left"/>
            </w:pPr>
            <w:r>
              <w:t xml:space="preserve">Deterministic</w:t>
            </w:r>
          </w:p>
        </w:tc>
      </w:tr>
      <w:tr>
        <w:tc>
          <w:tcPr/>
          <w:p>
            <w:pPr>
              <w:pStyle w:val="Compact"/>
              <w:jc w:val="left"/>
            </w:pPr>
            <w:r>
              <w:t xml:space="preserve">9</w:t>
            </w:r>
          </w:p>
        </w:tc>
        <w:tc>
          <w:tcPr/>
          <w:p>
            <w:pPr>
              <w:pStyle w:val="Compact"/>
              <w:jc w:val="left"/>
            </w:pPr>
            <w:r>
              <w:t xml:space="preserve">HTN target control (general)</w:t>
            </w:r>
          </w:p>
        </w:tc>
        <w:tc>
          <w:tcPr/>
          <w:p>
            <w:pPr>
              <w:pStyle w:val="Compact"/>
              <w:jc w:val="left"/>
            </w:pPr>
            <w:r>
              <w:t xml:space="preserve">C_target</w:t>
            </w:r>
          </w:p>
        </w:tc>
        <w:tc>
          <w:tcPr/>
          <w:p>
            <w:pPr>
              <w:pStyle w:val="Compact"/>
              <w:jc w:val="left"/>
            </w:pPr>
            <w:r>
              <w:t xml:space="preserve">0.50</w:t>
            </w:r>
          </w:p>
        </w:tc>
        <w:tc>
          <w:tcPr/>
          <w:p>
            <w:pPr>
              <w:pStyle w:val="Compact"/>
              <w:jc w:val="left"/>
            </w:pPr>
            <w:r>
              <w:t xml:space="preserve">WHO NCD targets</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10</w:t>
            </w:r>
          </w:p>
        </w:tc>
        <w:tc>
          <w:tcPr/>
          <w:p>
            <w:pPr>
              <w:pStyle w:val="Compact"/>
              <w:jc w:val="left"/>
            </w:pPr>
            <w:r>
              <w:t xml:space="preserve">HTN target control (diabetes)</w:t>
            </w:r>
          </w:p>
        </w:tc>
        <w:tc>
          <w:tcPr/>
          <w:p>
            <w:pPr>
              <w:pStyle w:val="Compact"/>
              <w:jc w:val="left"/>
            </w:pPr>
            <w:r>
              <w:t xml:space="preserve">C_target,DM</w:t>
            </w:r>
          </w:p>
        </w:tc>
        <w:tc>
          <w:tcPr/>
          <w:p>
            <w:pPr>
              <w:pStyle w:val="Compact"/>
              <w:jc w:val="left"/>
            </w:pPr>
            <w:r>
              <w:t xml:space="preserve">0.80</w:t>
            </w:r>
          </w:p>
        </w:tc>
        <w:tc>
          <w:tcPr/>
          <w:p>
            <w:pPr>
              <w:pStyle w:val="Compact"/>
              <w:jc w:val="left"/>
            </w:pPr>
            <w:r>
              <w:t xml:space="preserve">Global Diabetes Compact</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11</w:t>
            </w:r>
          </w:p>
        </w:tc>
        <w:tc>
          <w:tcPr/>
          <w:p>
            <w:pPr>
              <w:pStyle w:val="Compact"/>
              <w:jc w:val="left"/>
            </w:pPr>
            <w:r>
              <w:t xml:space="preserve">HTN scale-up start year</w:t>
            </w:r>
          </w:p>
        </w:tc>
        <w:tc>
          <w:tcPr/>
          <w:p>
            <w:pPr>
              <w:pStyle w:val="Compact"/>
              <w:jc w:val="left"/>
            </w:pPr>
            <w:r>
              <w:t xml:space="preserve">T_start</w:t>
            </w:r>
          </w:p>
        </w:tc>
        <w:tc>
          <w:tcPr/>
          <w:p>
            <w:pPr>
              <w:pStyle w:val="Compact"/>
              <w:jc w:val="left"/>
            </w:pPr>
            <w:r>
              <w:t xml:space="preserve">2026</w:t>
            </w:r>
          </w:p>
        </w:tc>
        <w:tc>
          <w:tcPr/>
          <w:p>
            <w:pPr>
              <w:pStyle w:val="Compact"/>
              <w:jc w:val="left"/>
            </w:pPr>
            <w:r>
              <w:t xml:space="preserve">Model assumption</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12</w:t>
            </w:r>
          </w:p>
        </w:tc>
        <w:tc>
          <w:tcPr/>
          <w:p>
            <w:pPr>
              <w:pStyle w:val="Compact"/>
              <w:jc w:val="left"/>
            </w:pPr>
            <w:r>
              <w:t xml:space="preserve">HTN scale-up target year</w:t>
            </w:r>
          </w:p>
        </w:tc>
        <w:tc>
          <w:tcPr/>
          <w:p>
            <w:pPr>
              <w:pStyle w:val="Compact"/>
              <w:jc w:val="left"/>
            </w:pPr>
            <w:r>
              <w:t xml:space="preserve">T_end</w:t>
            </w:r>
          </w:p>
        </w:tc>
        <w:tc>
          <w:tcPr/>
          <w:p>
            <w:pPr>
              <w:pStyle w:val="Compact"/>
              <w:jc w:val="left"/>
            </w:pPr>
            <w:r>
              <w:t xml:space="preserve">2030</w:t>
            </w:r>
          </w:p>
        </w:tc>
        <w:tc>
          <w:tcPr/>
          <w:p>
            <w:pPr>
              <w:pStyle w:val="Compact"/>
              <w:jc w:val="left"/>
            </w:pPr>
            <w:r>
              <w:t xml:space="preserve">WHO target year</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13</w:t>
            </w:r>
          </w:p>
        </w:tc>
        <w:tc>
          <w:tcPr/>
          <w:p>
            <w:pPr>
              <w:pStyle w:val="Compact"/>
              <w:jc w:val="left"/>
            </w:pPr>
            <w:r>
              <w:t xml:space="preserve">HTN baseline control</w:t>
            </w:r>
          </w:p>
        </w:tc>
        <w:tc>
          <w:tcPr/>
          <w:p>
            <w:pPr>
              <w:pStyle w:val="Compact"/>
              <w:jc w:val="left"/>
            </w:pPr>
            <w:r>
              <w:t xml:space="preserve">C_baseline</w:t>
            </w:r>
          </w:p>
        </w:tc>
        <w:tc>
          <w:tcPr/>
          <w:p>
            <w:pPr>
              <w:pStyle w:val="Compact"/>
              <w:jc w:val="left"/>
            </w:pPr>
            <w:r>
              <w:t xml:space="preserve">Country-specific</w:t>
            </w:r>
          </w:p>
        </w:tc>
        <w:tc>
          <w:tcPr/>
          <w:p>
            <w:pPr>
              <w:pStyle w:val="Compact"/>
              <w:jc w:val="left"/>
            </w:pPr>
            <w:r>
              <w:t xml:space="preserve">WHO / country data</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14</w:t>
            </w:r>
          </w:p>
        </w:tc>
        <w:tc>
          <w:tcPr/>
          <w:p>
            <w:pPr>
              <w:pStyle w:val="Compact"/>
              <w:jc w:val="left"/>
            </w:pPr>
            <w:r>
              <w:t xml:space="preserve">CF reduction factor: IHD</w:t>
            </w:r>
          </w:p>
        </w:tc>
        <w:tc>
          <w:tcPr/>
          <w:p>
            <w:pPr>
              <w:pStyle w:val="Compact"/>
              <w:jc w:val="left"/>
            </w:pPr>
            <w:r>
              <w:t xml:space="preserve">rho_CF,IHD</w:t>
            </w:r>
          </w:p>
        </w:tc>
        <w:tc>
          <w:tcPr/>
          <w:p>
            <w:pPr>
              <w:pStyle w:val="Compact"/>
              <w:jc w:val="left"/>
            </w:pPr>
            <w:r>
              <w:t xml:space="preserve">0.24</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15</w:t>
            </w:r>
          </w:p>
        </w:tc>
        <w:tc>
          <w:tcPr/>
          <w:p>
            <w:pPr>
              <w:pStyle w:val="Compact"/>
              <w:jc w:val="left"/>
            </w:pPr>
            <w:r>
              <w:t xml:space="preserve">CF reduction factor: Ischaemic stroke</w:t>
            </w:r>
          </w:p>
        </w:tc>
        <w:tc>
          <w:tcPr/>
          <w:p>
            <w:pPr>
              <w:pStyle w:val="Compact"/>
              <w:jc w:val="left"/>
            </w:pPr>
            <w:r>
              <w:t xml:space="preserve">rho_CF,IS</w:t>
            </w:r>
          </w:p>
        </w:tc>
        <w:tc>
          <w:tcPr/>
          <w:p>
            <w:pPr>
              <w:pStyle w:val="Compact"/>
              <w:jc w:val="left"/>
            </w:pPr>
            <w:r>
              <w:t xml:space="preserve">0.36</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16</w:t>
            </w:r>
          </w:p>
        </w:tc>
        <w:tc>
          <w:tcPr/>
          <w:p>
            <w:pPr>
              <w:pStyle w:val="Compact"/>
              <w:jc w:val="left"/>
            </w:pPr>
            <w:r>
              <w:t xml:space="preserve">CF reduction factor: Haemorrhagic stroke</w:t>
            </w:r>
          </w:p>
        </w:tc>
        <w:tc>
          <w:tcPr/>
          <w:p>
            <w:pPr>
              <w:pStyle w:val="Compact"/>
              <w:jc w:val="left"/>
            </w:pPr>
            <w:r>
              <w:t xml:space="preserve">rho_CF,HS</w:t>
            </w:r>
          </w:p>
        </w:tc>
        <w:tc>
          <w:tcPr/>
          <w:p>
            <w:pPr>
              <w:pStyle w:val="Compact"/>
              <w:jc w:val="left"/>
            </w:pPr>
            <w:r>
              <w:t xml:space="preserve">0.76</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17</w:t>
            </w:r>
          </w:p>
        </w:tc>
        <w:tc>
          <w:tcPr/>
          <w:p>
            <w:pPr>
              <w:pStyle w:val="Compact"/>
              <w:jc w:val="left"/>
            </w:pPr>
            <w:r>
              <w:t xml:space="preserve">CF reduction factor: HHD</w:t>
            </w:r>
          </w:p>
        </w:tc>
        <w:tc>
          <w:tcPr/>
          <w:p>
            <w:pPr>
              <w:pStyle w:val="Compact"/>
              <w:jc w:val="left"/>
            </w:pPr>
            <w:r>
              <w:t xml:space="preserve">rho_CF,HHD</w:t>
            </w:r>
          </w:p>
        </w:tc>
        <w:tc>
          <w:tcPr/>
          <w:p>
            <w:pPr>
              <w:pStyle w:val="Compact"/>
              <w:jc w:val="left"/>
            </w:pPr>
            <w:r>
              <w:t xml:space="preserve">0.20</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18</w:t>
            </w:r>
          </w:p>
        </w:tc>
        <w:tc>
          <w:tcPr/>
          <w:p>
            <w:pPr>
              <w:pStyle w:val="Compact"/>
              <w:jc w:val="left"/>
            </w:pPr>
            <w:r>
              <w:t xml:space="preserve">Ettehad RR per 10 mmHg</w:t>
            </w:r>
          </w:p>
        </w:tc>
        <w:tc>
          <w:tcPr/>
          <w:p>
            <w:pPr>
              <w:pStyle w:val="Compact"/>
              <w:jc w:val="left"/>
            </w:pPr>
            <w:r>
              <w:t xml:space="preserve">RR_trial</w:t>
            </w:r>
          </w:p>
        </w:tc>
        <w:tc>
          <w:tcPr/>
          <w:p>
            <w:pPr>
              <w:pStyle w:val="Compact"/>
              <w:jc w:val="left"/>
            </w:pPr>
            <w:r>
              <w:t xml:space="preserve">Cause- and BP-bin-specific</w:t>
            </w:r>
          </w:p>
        </w:tc>
        <w:tc>
          <w:tcPr/>
          <w:p>
            <w:pPr>
              <w:pStyle w:val="Compact"/>
              <w:jc w:val="left"/>
            </w:pPr>
            <w:r>
              <w:t xml:space="preserve">Ettehad et al. 2016</w:t>
            </w:r>
          </w:p>
        </w:tc>
        <w:tc>
          <w:tcPr/>
          <w:p>
            <w:pPr>
              <w:pStyle w:val="Compact"/>
              <w:jc w:val="left"/>
            </w:pPr>
            <w:r>
              <w:t xml:space="preserve">Cumulative effect per BP bin step</w:t>
            </w:r>
          </w:p>
        </w:tc>
        <w:tc>
          <w:tcPr/>
          <w:p>
            <w:pPr>
              <w:pStyle w:val="Compact"/>
              <w:jc w:val="left"/>
            </w:pPr>
            <w:r>
              <w:t xml:space="preserve">Deterministic</w:t>
            </w:r>
          </w:p>
        </w:tc>
      </w:tr>
      <w:tr>
        <w:tc>
          <w:tcPr/>
          <w:p>
            <w:pPr>
              <w:pStyle w:val="Compact"/>
              <w:jc w:val="left"/>
            </w:pPr>
            <w:r>
              <w:t xml:space="preserve">19</w:t>
            </w:r>
          </w:p>
        </w:tc>
        <w:tc>
          <w:tcPr/>
          <w:p>
            <w:pPr>
              <w:pStyle w:val="Compact"/>
              <w:jc w:val="left"/>
            </w:pPr>
            <w:r>
              <w:t xml:space="preserve">GBD RR per 10 mmHg</w:t>
            </w:r>
          </w:p>
        </w:tc>
        <w:tc>
          <w:tcPr/>
          <w:p>
            <w:pPr>
              <w:pStyle w:val="Compact"/>
              <w:jc w:val="left"/>
            </w:pPr>
            <w:r>
              <w:t xml:space="preserve">RR_GBD</w:t>
            </w:r>
          </w:p>
        </w:tc>
        <w:tc>
          <w:tcPr/>
          <w:p>
            <w:pPr>
              <w:pStyle w:val="Compact"/>
              <w:jc w:val="left"/>
            </w:pPr>
            <w:r>
              <w:t xml:space="preserve">Age- and cause-specific</w:t>
            </w:r>
          </w:p>
        </w:tc>
        <w:tc>
          <w:tcPr/>
          <w:p>
            <w:pPr>
              <w:pStyle w:val="Compact"/>
              <w:jc w:val="left"/>
            </w:pPr>
            <w:r>
              <w:t xml:space="preserve">GBD 2019</w:t>
            </w:r>
          </w:p>
        </w:tc>
        <w:tc>
          <w:tcPr/>
          <w:p>
            <w:pPr>
              <w:pStyle w:val="Compact"/>
              <w:jc w:val="left"/>
            </w:pPr>
            <w:r>
              <w:t xml:space="preserve">RR^(Delta/10) from reference</w:t>
            </w:r>
          </w:p>
        </w:tc>
        <w:tc>
          <w:tcPr/>
          <w:p>
            <w:pPr>
              <w:pStyle w:val="Compact"/>
              <w:jc w:val="left"/>
            </w:pPr>
            <w:r>
              <w:t xml:space="preserve">Deterministic</w:t>
            </w:r>
          </w:p>
        </w:tc>
      </w:tr>
      <w:tr>
        <w:tc>
          <w:tcPr/>
          <w:p>
            <w:pPr>
              <w:pStyle w:val="Compact"/>
              <w:jc w:val="left"/>
            </w:pPr>
            <w:r>
              <w:t xml:space="preserve">20</w:t>
            </w:r>
          </w:p>
        </w:tc>
        <w:tc>
          <w:tcPr/>
          <w:p>
            <w:pPr>
              <w:pStyle w:val="Compact"/>
              <w:jc w:val="left"/>
            </w:pPr>
            <w:r>
              <w:t xml:space="preserve">Diabetes prevalence weight</w:t>
            </w:r>
          </w:p>
        </w:tc>
        <w:tc>
          <w:tcPr/>
          <w:p>
            <w:pPr>
              <w:pStyle w:val="Compact"/>
              <w:jc w:val="left"/>
            </w:pPr>
            <w:r>
              <w:t xml:space="preserve">w_DM</w:t>
            </w:r>
          </w:p>
        </w:tc>
        <w:tc>
          <w:tcPr/>
          <w:p>
            <w:pPr>
              <w:pStyle w:val="Compact"/>
              <w:jc w:val="left"/>
            </w:pPr>
            <w:r>
              <w:t xml:space="preserve">Country-specific</w:t>
            </w:r>
          </w:p>
        </w:tc>
        <w:tc>
          <w:tcPr/>
          <w:p>
            <w:pPr>
              <w:pStyle w:val="Compact"/>
              <w:jc w:val="left"/>
            </w:pPr>
            <w:r>
              <w:t xml:space="preserve">Country-level estimates</w:t>
            </w:r>
          </w:p>
        </w:tc>
        <w:tc>
          <w:tcPr/>
          <w:p>
            <w:pPr>
              <w:pStyle w:val="Compact"/>
              <w:jc w:val="left"/>
            </w:pPr>
            <w:r>
              <w:t xml:space="preserve">Weighted blend of DM/non-DM effects</w:t>
            </w:r>
          </w:p>
        </w:tc>
        <w:tc>
          <w:tcPr/>
          <w:p>
            <w:pPr>
              <w:pStyle w:val="Compact"/>
              <w:jc w:val="left"/>
            </w:pPr>
            <w:r>
              <w:t xml:space="preserve">Deterministic</w:t>
            </w:r>
          </w:p>
        </w:tc>
      </w:tr>
      <w:tr>
        <w:tc>
          <w:tcPr/>
          <w:p>
            <w:pPr>
              <w:pStyle w:val="Compact"/>
              <w:jc w:val="left"/>
            </w:pPr>
            <w:r>
              <w:t xml:space="preserve">22</w:t>
            </w:r>
          </w:p>
        </w:tc>
        <w:tc>
          <w:tcPr/>
          <w:p>
            <w:pPr>
              <w:pStyle w:val="Compact"/>
              <w:jc w:val="left"/>
            </w:pPr>
            <w:r>
              <w:t xml:space="preserve">Statin target coverage</w:t>
            </w:r>
          </w:p>
        </w:tc>
        <w:tc>
          <w:tcPr/>
          <w:p>
            <w:pPr>
              <w:pStyle w:val="Compact"/>
              <w:jc w:val="left"/>
            </w:pPr>
            <w:r>
              <w:t xml:space="preserve">U_target</w:t>
            </w:r>
          </w:p>
        </w:tc>
        <w:tc>
          <w:tcPr/>
          <w:p>
            <w:pPr>
              <w:pStyle w:val="Compact"/>
              <w:jc w:val="left"/>
            </w:pPr>
            <w:r>
              <w:t xml:space="preserve">0.50</w:t>
            </w:r>
          </w:p>
        </w:tc>
        <w:tc>
          <w:tcPr/>
          <w:p>
            <w:pPr>
              <w:pStyle w:val="Compact"/>
              <w:jc w:val="left"/>
            </w:pPr>
            <w:r>
              <w:t xml:space="preserve">WHO NCD targets</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23</w:t>
            </w:r>
          </w:p>
        </w:tc>
        <w:tc>
          <w:tcPr/>
          <w:p>
            <w:pPr>
              <w:pStyle w:val="Compact"/>
              <w:jc w:val="left"/>
            </w:pPr>
            <w:r>
              <w:t xml:space="preserve">Statin scale-up start year</w:t>
            </w:r>
          </w:p>
        </w:tc>
        <w:tc>
          <w:tcPr/>
          <w:p>
            <w:pPr>
              <w:pStyle w:val="Compact"/>
              <w:jc w:val="left"/>
            </w:pPr>
            <w:r>
              <w:t xml:space="preserve">T_stat,start</w:t>
            </w:r>
          </w:p>
        </w:tc>
        <w:tc>
          <w:tcPr/>
          <w:p>
            <w:pPr>
              <w:pStyle w:val="Compact"/>
              <w:jc w:val="left"/>
            </w:pPr>
            <w:r>
              <w:t xml:space="preserve">2026</w:t>
            </w:r>
          </w:p>
        </w:tc>
        <w:tc>
          <w:tcPr/>
          <w:p>
            <w:pPr>
              <w:pStyle w:val="Compact"/>
              <w:jc w:val="left"/>
            </w:pPr>
            <w:r>
              <w:t xml:space="preserve">Model assumption</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24</w:t>
            </w:r>
          </w:p>
        </w:tc>
        <w:tc>
          <w:tcPr/>
          <w:p>
            <w:pPr>
              <w:pStyle w:val="Compact"/>
              <w:jc w:val="left"/>
            </w:pPr>
            <w:r>
              <w:t xml:space="preserve">Statin scale-up target year</w:t>
            </w:r>
          </w:p>
        </w:tc>
        <w:tc>
          <w:tcPr/>
          <w:p>
            <w:pPr>
              <w:pStyle w:val="Compact"/>
              <w:jc w:val="left"/>
            </w:pPr>
            <w:r>
              <w:t xml:space="preserve">T_stat,end</w:t>
            </w:r>
          </w:p>
        </w:tc>
        <w:tc>
          <w:tcPr/>
          <w:p>
            <w:pPr>
              <w:pStyle w:val="Compact"/>
              <w:jc w:val="left"/>
            </w:pPr>
            <w:r>
              <w:t xml:space="preserve">2030</w:t>
            </w:r>
          </w:p>
        </w:tc>
        <w:tc>
          <w:tcPr/>
          <w:p>
            <w:pPr>
              <w:pStyle w:val="Compact"/>
              <w:jc w:val="left"/>
            </w:pPr>
            <w:r>
              <w:t xml:space="preserve">WHO target year</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25</w:t>
            </w:r>
          </w:p>
        </w:tc>
        <w:tc>
          <w:tcPr/>
          <w:p>
            <w:pPr>
              <w:pStyle w:val="Compact"/>
              <w:jc w:val="left"/>
            </w:pPr>
            <w:r>
              <w:t xml:space="preserve">Statin RR incidence: IHD</w:t>
            </w:r>
          </w:p>
        </w:tc>
        <w:tc>
          <w:tcPr/>
          <w:p>
            <w:pPr>
              <w:pStyle w:val="Compact"/>
              <w:jc w:val="left"/>
            </w:pPr>
            <w:r>
              <w:t xml:space="preserve">RR^IR_IHD</w:t>
            </w:r>
          </w:p>
        </w:tc>
        <w:tc>
          <w:tcPr/>
          <w:p>
            <w:pPr>
              <w:pStyle w:val="Compact"/>
              <w:jc w:val="left"/>
            </w:pPr>
            <w:r>
              <w:t xml:space="preserve">0.74</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26</w:t>
            </w:r>
          </w:p>
        </w:tc>
        <w:tc>
          <w:tcPr/>
          <w:p>
            <w:pPr>
              <w:pStyle w:val="Compact"/>
              <w:jc w:val="left"/>
            </w:pPr>
            <w:r>
              <w:t xml:space="preserve">Statin RR incidence: Ischaemic stroke</w:t>
            </w:r>
          </w:p>
        </w:tc>
        <w:tc>
          <w:tcPr/>
          <w:p>
            <w:pPr>
              <w:pStyle w:val="Compact"/>
              <w:jc w:val="left"/>
            </w:pPr>
            <w:r>
              <w:t xml:space="preserve">RR^IR_IS</w:t>
            </w:r>
          </w:p>
        </w:tc>
        <w:tc>
          <w:tcPr/>
          <w:p>
            <w:pPr>
              <w:pStyle w:val="Compact"/>
              <w:jc w:val="left"/>
            </w:pPr>
            <w:r>
              <w:t xml:space="preserve">0.80</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27</w:t>
            </w:r>
          </w:p>
        </w:tc>
        <w:tc>
          <w:tcPr/>
          <w:p>
            <w:pPr>
              <w:pStyle w:val="Compact"/>
              <w:jc w:val="left"/>
            </w:pPr>
            <w:r>
              <w:t xml:space="preserve">Statin RR case fatality: IHD</w:t>
            </w:r>
          </w:p>
        </w:tc>
        <w:tc>
          <w:tcPr/>
          <w:p>
            <w:pPr>
              <w:pStyle w:val="Compact"/>
              <w:jc w:val="left"/>
            </w:pPr>
            <w:r>
              <w:t xml:space="preserve">RR^CF_IHD</w:t>
            </w:r>
          </w:p>
        </w:tc>
        <w:tc>
          <w:tcPr/>
          <w:p>
            <w:pPr>
              <w:pStyle w:val="Compact"/>
              <w:jc w:val="left"/>
            </w:pPr>
            <w:r>
              <w:t xml:space="preserve">0.80</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28</w:t>
            </w:r>
          </w:p>
        </w:tc>
        <w:tc>
          <w:tcPr/>
          <w:p>
            <w:pPr>
              <w:pStyle w:val="Compact"/>
              <w:jc w:val="left"/>
            </w:pPr>
            <w:r>
              <w:t xml:space="preserve">Statin RR case fatality: Ischaemic stroke</w:t>
            </w:r>
          </w:p>
        </w:tc>
        <w:tc>
          <w:tcPr/>
          <w:p>
            <w:pPr>
              <w:pStyle w:val="Compact"/>
              <w:jc w:val="left"/>
            </w:pPr>
            <w:r>
              <w:t xml:space="preserve">RR^CF_IS</w:t>
            </w:r>
          </w:p>
        </w:tc>
        <w:tc>
          <w:tcPr/>
          <w:p>
            <w:pPr>
              <w:pStyle w:val="Compact"/>
              <w:jc w:val="left"/>
            </w:pPr>
            <w:r>
              <w:t xml:space="preserve">0.96</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29</w:t>
            </w:r>
          </w:p>
        </w:tc>
        <w:tc>
          <w:tcPr/>
          <w:p>
            <w:pPr>
              <w:pStyle w:val="Compact"/>
              <w:jc w:val="left"/>
            </w:pPr>
            <w:r>
              <w:t xml:space="preserve">Attributable fraction: IHD</w:t>
            </w:r>
          </w:p>
        </w:tc>
        <w:tc>
          <w:tcPr/>
          <w:p>
            <w:pPr>
              <w:pStyle w:val="Compact"/>
              <w:jc w:val="left"/>
            </w:pPr>
            <w:r>
              <w:t xml:space="preserve">AF_IHD</w:t>
            </w:r>
          </w:p>
        </w:tc>
        <w:tc>
          <w:tcPr/>
          <w:p>
            <w:pPr>
              <w:pStyle w:val="Compact"/>
              <w:jc w:val="left"/>
            </w:pPr>
            <w:r>
              <w:t xml:space="preserve">0.15 (default)</w:t>
            </w:r>
          </w:p>
        </w:tc>
        <w:tc>
          <w:tcPr/>
          <w:p>
            <w:pPr>
              <w:pStyle w:val="Compact"/>
              <w:jc w:val="left"/>
            </w:pPr>
            <w:r>
              <w:t xml:space="preserve">GBD 2021</w:t>
            </w:r>
          </w:p>
        </w:tc>
        <w:tc>
          <w:tcPr/>
          <w:p>
            <w:pPr>
              <w:pStyle w:val="Compact"/>
              <w:jc w:val="left"/>
            </w:pPr>
            <w:r>
              <w:t xml:space="preserve">Country-specific where available</w:t>
            </w:r>
          </w:p>
        </w:tc>
        <w:tc>
          <w:tcPr/>
          <w:p>
            <w:pPr>
              <w:pStyle w:val="Compact"/>
              <w:jc w:val="left"/>
            </w:pPr>
            <w:r>
              <w:t xml:space="preserve">Deterministic</w:t>
            </w:r>
          </w:p>
        </w:tc>
      </w:tr>
      <w:tr>
        <w:tc>
          <w:tcPr/>
          <w:p>
            <w:pPr>
              <w:pStyle w:val="Compact"/>
              <w:jc w:val="left"/>
            </w:pPr>
            <w:r>
              <w:t xml:space="preserve">30</w:t>
            </w:r>
          </w:p>
        </w:tc>
        <w:tc>
          <w:tcPr/>
          <w:p>
            <w:pPr>
              <w:pStyle w:val="Compact"/>
              <w:jc w:val="left"/>
            </w:pPr>
            <w:r>
              <w:t xml:space="preserve">Attributable fraction: Ischaemic stroke</w:t>
            </w:r>
          </w:p>
        </w:tc>
        <w:tc>
          <w:tcPr/>
          <w:p>
            <w:pPr>
              <w:pStyle w:val="Compact"/>
              <w:jc w:val="left"/>
            </w:pPr>
            <w:r>
              <w:t xml:space="preserve">AF_IS</w:t>
            </w:r>
          </w:p>
        </w:tc>
        <w:tc>
          <w:tcPr/>
          <w:p>
            <w:pPr>
              <w:pStyle w:val="Compact"/>
              <w:jc w:val="left"/>
            </w:pPr>
            <w:r>
              <w:t xml:space="preserve">0.12 (default)</w:t>
            </w:r>
          </w:p>
        </w:tc>
        <w:tc>
          <w:tcPr/>
          <w:p>
            <w:pPr>
              <w:pStyle w:val="Compact"/>
              <w:jc w:val="left"/>
            </w:pPr>
            <w:r>
              <w:t xml:space="preserve">GBD 2021</w:t>
            </w:r>
          </w:p>
        </w:tc>
        <w:tc>
          <w:tcPr/>
          <w:p>
            <w:pPr>
              <w:pStyle w:val="Compact"/>
              <w:jc w:val="left"/>
            </w:pPr>
            <w:r>
              <w:t xml:space="preserve">Country-specific where available</w:t>
            </w:r>
          </w:p>
        </w:tc>
        <w:tc>
          <w:tcPr/>
          <w:p>
            <w:pPr>
              <w:pStyle w:val="Compact"/>
              <w:jc w:val="left"/>
            </w:pPr>
            <w:r>
              <w:t xml:space="preserve">Deterministic</w:t>
            </w:r>
          </w:p>
        </w:tc>
      </w:tr>
      <w:tr>
        <w:tc>
          <w:tcPr/>
          <w:p>
            <w:pPr>
              <w:pStyle w:val="Compact"/>
              <w:jc w:val="left"/>
            </w:pPr>
            <w:r>
              <w:t xml:space="preserve">31</w:t>
            </w:r>
          </w:p>
        </w:tc>
        <w:tc>
          <w:tcPr/>
          <w:p>
            <w:pPr>
              <w:pStyle w:val="Compact"/>
              <w:jc w:val="left"/>
            </w:pPr>
            <w:r>
              <w:t xml:space="preserve">Atherosclerotic stroke proportion</w:t>
            </w:r>
          </w:p>
        </w:tc>
        <w:tc>
          <w:tcPr/>
          <w:p>
            <w:pPr>
              <w:pStyle w:val="Compact"/>
              <w:jc w:val="left"/>
            </w:pPr>
            <w:r>
              <w:t xml:space="preserve">psi_athero</w:t>
            </w:r>
          </w:p>
        </w:tc>
        <w:tc>
          <w:tcPr/>
          <w:p>
            <w:pPr>
              <w:pStyle w:val="Compact"/>
              <w:jc w:val="left"/>
            </w:pPr>
            <w:r>
              <w:t xml:space="preserve">0.60</w:t>
            </w:r>
          </w:p>
        </w:tc>
        <w:tc>
          <w:tcPr/>
          <w:p>
            <w:pPr>
              <w:pStyle w:val="Compact"/>
              <w:jc w:val="left"/>
            </w:pPr>
            <w:r>
              <w:t xml:space="preserve">Literature estimate</w:t>
            </w:r>
          </w:p>
        </w:tc>
        <w:tc>
          <w:tcPr/>
          <w:p>
            <w:pPr>
              <w:pStyle w:val="Compact"/>
              <w:jc w:val="left"/>
            </w:pPr>
            <w:r>
              <w:t xml:space="preserve">Applied to IS CF effect only</w:t>
            </w:r>
          </w:p>
        </w:tc>
        <w:tc>
          <w:tcPr/>
          <w:p>
            <w:pPr>
              <w:pStyle w:val="Compact"/>
              <w:jc w:val="left"/>
            </w:pPr>
            <w:r>
              <w:t xml:space="preserve">Deterministic</w:t>
            </w:r>
          </w:p>
        </w:tc>
      </w:tr>
      <w:tr>
        <w:tc>
          <w:tcPr/>
          <w:p>
            <w:pPr>
              <w:pStyle w:val="Compact"/>
              <w:jc w:val="left"/>
            </w:pPr>
            <w:r>
              <w:t xml:space="preserve">32</w:t>
            </w:r>
          </w:p>
        </w:tc>
        <w:tc>
          <w:tcPr/>
          <w:p>
            <w:pPr>
              <w:pStyle w:val="Compact"/>
              <w:jc w:val="left"/>
            </w:pPr>
            <w:r>
              <w:t xml:space="preserve">Adherence (primary prevention)</w:t>
            </w:r>
          </w:p>
        </w:tc>
        <w:tc>
          <w:tcPr/>
          <w:p>
            <w:pPr>
              <w:pStyle w:val="Compact"/>
              <w:jc w:val="left"/>
            </w:pPr>
            <w:r>
              <w:t xml:space="preserve">alpha_IR</w:t>
            </w:r>
          </w:p>
        </w:tc>
        <w:tc>
          <w:tcPr/>
          <w:p>
            <w:pPr>
              <w:pStyle w:val="Compact"/>
              <w:jc w:val="left"/>
            </w:pPr>
            <w:r>
              <w:t xml:space="preserve">1.0</w:t>
            </w:r>
          </w:p>
        </w:tc>
        <w:tc>
          <w:tcPr/>
          <w:p>
            <w:pPr>
              <w:pStyle w:val="Compact"/>
              <w:jc w:val="left"/>
            </w:pPr>
            <w:r>
              <w:t xml:space="preserve">Model assumption</w:t>
            </w:r>
          </w:p>
        </w:tc>
        <w:tc>
          <w:tcPr/>
          <w:p>
            <w:pPr>
              <w:pStyle w:val="Compact"/>
              <w:jc w:val="left"/>
            </w:pPr>
            <w:r>
              <w:t xml:space="preserve">Full adherence assumed</w:t>
            </w:r>
          </w:p>
        </w:tc>
        <w:tc>
          <w:tcPr/>
          <w:p>
            <w:pPr>
              <w:pStyle w:val="Compact"/>
              <w:jc w:val="left"/>
            </w:pPr>
            <w:r>
              <w:t xml:space="preserve">Deterministic</w:t>
            </w:r>
          </w:p>
        </w:tc>
      </w:tr>
      <w:tr>
        <w:tc>
          <w:tcPr/>
          <w:p>
            <w:pPr>
              <w:pStyle w:val="Compact"/>
              <w:jc w:val="left"/>
            </w:pPr>
            <w:r>
              <w:t xml:space="preserve">33</w:t>
            </w:r>
          </w:p>
        </w:tc>
        <w:tc>
          <w:tcPr/>
          <w:p>
            <w:pPr>
              <w:pStyle w:val="Compact"/>
              <w:jc w:val="left"/>
            </w:pPr>
            <w:r>
              <w:t xml:space="preserve">Adherence (secondary prevention)</w:t>
            </w:r>
          </w:p>
        </w:tc>
        <w:tc>
          <w:tcPr/>
          <w:p>
            <w:pPr>
              <w:pStyle w:val="Compact"/>
              <w:jc w:val="left"/>
            </w:pPr>
            <w:r>
              <w:t xml:space="preserve">alpha_CF</w:t>
            </w:r>
          </w:p>
        </w:tc>
        <w:tc>
          <w:tcPr/>
          <w:p>
            <w:pPr>
              <w:pStyle w:val="Compact"/>
              <w:jc w:val="left"/>
            </w:pPr>
            <w:r>
              <w:t xml:space="preserve">1.0</w:t>
            </w:r>
          </w:p>
        </w:tc>
        <w:tc>
          <w:tcPr/>
          <w:p>
            <w:pPr>
              <w:pStyle w:val="Compact"/>
              <w:jc w:val="left"/>
            </w:pPr>
            <w:r>
              <w:t xml:space="preserve">Model assumption</w:t>
            </w:r>
          </w:p>
        </w:tc>
        <w:tc>
          <w:tcPr/>
          <w:p>
            <w:pPr>
              <w:pStyle w:val="Compact"/>
              <w:jc w:val="left"/>
            </w:pPr>
            <w:r>
              <w:t xml:space="preserve">Full adherence assumed</w:t>
            </w:r>
          </w:p>
        </w:tc>
        <w:tc>
          <w:tcPr/>
          <w:p>
            <w:pPr>
              <w:pStyle w:val="Compact"/>
              <w:jc w:val="left"/>
            </w:pPr>
            <w:r>
              <w:t xml:space="preserve">Deterministic</w:t>
            </w:r>
          </w:p>
        </w:tc>
      </w:tr>
      <w:tr>
        <w:tc>
          <w:tcPr/>
          <w:p>
            <w:pPr>
              <w:pStyle w:val="Compact"/>
              <w:jc w:val="left"/>
            </w:pPr>
            <w:r>
              <w:t xml:space="preserve">34</w:t>
            </w:r>
          </w:p>
        </w:tc>
        <w:tc>
          <w:tcPr/>
          <w:p>
            <w:pPr>
              <w:pStyle w:val="Compact"/>
              <w:jc w:val="left"/>
            </w:pPr>
            <w:r>
              <w:t xml:space="preserve">Statin age eligibility</w:t>
            </w:r>
          </w:p>
        </w:tc>
        <w:tc>
          <w:tcPr/>
          <w:p>
            <w:pPr>
              <w:pStyle w:val="Compact"/>
              <w:jc w:val="left"/>
            </w:pPr>
            <w:r>
              <w:t xml:space="preserve">–</w:t>
            </w:r>
          </w:p>
        </w:tc>
        <w:tc>
          <w:tcPr/>
          <w:p>
            <w:pPr>
              <w:pStyle w:val="Compact"/>
              <w:jc w:val="left"/>
            </w:pPr>
            <w:r>
              <w:t xml:space="preserve">&gt;= 40 years</w:t>
            </w:r>
          </w:p>
        </w:tc>
        <w:tc>
          <w:tcPr/>
          <w:p>
            <w:pPr>
              <w:pStyle w:val="Compact"/>
              <w:jc w:val="left"/>
            </w:pPr>
            <w:r>
              <w:t xml:space="preserve">WHO guidelines</w:t>
            </w:r>
          </w:p>
        </w:tc>
        <w:tc>
          <w:tcPr/>
          <w:p>
            <w:pPr>
              <w:pStyle w:val="Compact"/>
              <w:jc w:val="left"/>
            </w:pPr>
            <w:r>
              <w:t xml:space="preserve">Effects = 0 for age &lt; 40</w:t>
            </w:r>
          </w:p>
        </w:tc>
        <w:tc>
          <w:tcPr/>
          <w:p>
            <w:pPr>
              <w:pStyle w:val="Compact"/>
              <w:jc w:val="left"/>
            </w:pPr>
            <w:r>
              <w:t xml:space="preserve">Deterministic</w:t>
            </w:r>
          </w:p>
        </w:tc>
      </w:tr>
    </w:tbl>
    <w:p>
      <w:pPr>
        <w:pStyle w:val="BodyText"/>
      </w:pPr>
      <w:r>
        <w:rPr>
          <w:i/>
          <w:iCs/>
        </w:rPr>
        <w:t xml:space="preserve">Data sources: Ettehad et al.</w:t>
      </w:r>
      <w:r>
        <w:rPr>
          <w:i/>
          <w:iCs/>
        </w:rPr>
        <w:t xml:space="preserve"> </w:t>
      </w:r>
      <w:r>
        <w:rPr>
          <w:i/>
          <w:iCs/>
        </w:rPr>
        <w:t xml:space="preserve">(2016)</w:t>
      </w:r>
      <w:r>
        <w:rPr>
          <w:i/>
          <w:iCs/>
        </w:rPr>
        <w:t xml:space="preserve">; CTT Collaboration: Fulcher et al.</w:t>
      </w:r>
      <w:r>
        <w:rPr>
          <w:i/>
          <w:iCs/>
        </w:rPr>
        <w:t xml:space="preserve"> </w:t>
      </w:r>
      <w:r>
        <w:rPr>
          <w:i/>
          <w:iCs/>
        </w:rPr>
        <w:t xml:space="preserve">(2015)</w:t>
      </w:r>
      <w:r>
        <w:rPr>
          <w:i/>
          <w:iCs/>
        </w:rPr>
        <w:t xml:space="preserve">; GBD 2023: Chong et al.</w:t>
      </w:r>
      <w:r>
        <w:rPr>
          <w:i/>
          <w:iCs/>
        </w:rPr>
        <w:t xml:space="preserve"> </w:t>
      </w:r>
      <w:r>
        <w:rPr>
          <w:i/>
          <w:iCs/>
        </w:rPr>
        <w:t xml:space="preserve">(2024)</w:t>
      </w:r>
      <w:r>
        <w:rPr>
          <w:i/>
          <w:iCs/>
        </w:rPr>
        <w:t xml:space="preserve">; UNWPP 2024: United Nations World Population Prospects 2024 revision.</w:t>
      </w:r>
    </w:p>
    <w:bookmarkEnd w:id="168"/>
    <w:bookmarkStart w:id="169" w:name="sec:transition-model"/>
    <w:p>
      <w:pPr>
        <w:pStyle w:val="Heading3"/>
      </w:pPr>
      <w:r>
        <w:rPr>
          <w:rStyle w:val="SectionNumber"/>
        </w:rPr>
        <w:t xml:space="preserve">10.3.3</w:t>
      </w:r>
      <w:r>
        <w:tab/>
      </w:r>
      <w:r>
        <w:t xml:space="preserve">Multi-State Transition Model</w:t>
      </w:r>
    </w:p>
    <w:p>
      <w:pPr>
        <w:pStyle w:val="FirstParagraph"/>
      </w:pPr>
      <w:r>
        <w:t xml:space="preserve">The model comprises three mutually exclusive health states for each cause</w:t>
      </w:r>
      <w:r>
        <w:t xml:space="preserve"> </w:t>
      </w:r>
      <m:oMath>
        <m:r>
          <m:t>c</m:t>
        </m:r>
        <m:r>
          <m:rPr>
            <m:sty m:val="p"/>
          </m:rPr>
          <m:t>∈</m:t>
        </m:r>
        <m:r>
          <m:rPr>
            <m:sty m:val="p"/>
          </m:rPr>
          <m:t>{</m:t>
        </m:r>
        <m:r>
          <m:rPr>
            <m:nor/>
            <m:sty m:val="p"/>
          </m:rPr>
          <m:t>IHD</m:t>
        </m:r>
        <m:r>
          <m:rPr>
            <m:sty m:val="p"/>
          </m:rPr>
          <m:t>,</m:t>
        </m:r>
        <m:r>
          <m:rPr>
            <m:nor/>
            <m:sty m:val="p"/>
          </m:rPr>
          <m:t>ischaemic stroke</m:t>
        </m:r>
        <m:r>
          <m:rPr>
            <m:sty m:val="p"/>
          </m:rPr>
          <m:t>,</m:t>
        </m:r>
        <m:r>
          <m:rPr>
            <m:nor/>
            <m:sty m:val="p"/>
          </m:rPr>
          <m:t>haemorrhagic stroke</m:t>
        </m:r>
        <m:r>
          <m:rPr>
            <m:sty m:val="p"/>
          </m:rPr>
          <m:t>,</m:t>
        </m:r>
        <m:r>
          <m:rPr>
            <m:nor/>
            <m:sty m:val="p"/>
          </m:rPr>
          <m:t>HHD</m:t>
        </m:r>
        <m:r>
          <m:rPr>
            <m:sty m:val="p"/>
          </m:rPr>
          <m:t>}</m:t>
        </m:r>
      </m:oMath>
      <w:r>
        <w:t xml:space="preserve">:</w:t>
      </w:r>
    </w:p>
    <w:p>
      <w:pPr>
        <w:pStyle w:val="Compact"/>
        <w:numPr>
          <w:ilvl w:val="0"/>
          <w:numId w:val="1002"/>
        </w:numPr>
      </w:pPr>
      <w:r>
        <w:rPr>
          <w:b/>
          <w:bCs/>
        </w:rPr>
        <w:t xml:space="preserve">Well</w:t>
      </w:r>
      <w:r>
        <w:t xml:space="preserve"> </w:t>
      </w:r>
      <w:r>
        <w:t xml:space="preserve">(</w:t>
      </w:r>
      <m:oMath>
        <m:sSub>
          <m:e>
            <m:r>
              <m:t>W</m:t>
            </m:r>
          </m:e>
          <m:sub>
            <m:r>
              <m:t>a</m:t>
            </m:r>
            <m:r>
              <m:rPr>
                <m:sty m:val="p"/>
              </m:rPr>
              <m:t>,</m:t>
            </m:r>
            <m:r>
              <m:t>s</m:t>
            </m:r>
            <m:r>
              <m:rPr>
                <m:sty m:val="p"/>
              </m:rPr>
              <m:t>,</m:t>
            </m:r>
            <m:r>
              <m:t>c</m:t>
            </m:r>
            <m:r>
              <m:rPr>
                <m:sty m:val="p"/>
              </m:rPr>
              <m:t>,</m:t>
            </m:r>
            <m:r>
              <m:t>t</m:t>
            </m:r>
          </m:sub>
        </m:sSub>
      </m:oMath>
      <w:r>
        <w:t xml:space="preserve">): Disease-free individuals at risk of developing cause</w:t>
      </w:r>
      <w:r>
        <w:t xml:space="preserve"> </w:t>
      </w:r>
      <m:oMath>
        <m:r>
          <m:t>c</m:t>
        </m:r>
      </m:oMath>
    </w:p>
    <w:p>
      <w:pPr>
        <w:pStyle w:val="Compact"/>
        <w:numPr>
          <w:ilvl w:val="0"/>
          <w:numId w:val="1002"/>
        </w:numPr>
      </w:pPr>
      <w:r>
        <w:rPr>
          <w:b/>
          <w:bCs/>
        </w:rPr>
        <w:t xml:space="preserve">Sick</w:t>
      </w:r>
      <w:r>
        <w:t xml:space="preserve"> </w:t>
      </w:r>
      <w:r>
        <w:t xml:space="preserve">(</w:t>
      </w:r>
      <m:oMath>
        <m:sSub>
          <m:e>
            <m:r>
              <m:t>K</m:t>
            </m:r>
          </m:e>
          <m:sub>
            <m:r>
              <m:t>a</m:t>
            </m:r>
            <m:r>
              <m:rPr>
                <m:sty m:val="p"/>
              </m:rPr>
              <m:t>,</m:t>
            </m:r>
            <m:r>
              <m:t>s</m:t>
            </m:r>
            <m:r>
              <m:rPr>
                <m:sty m:val="p"/>
              </m:rPr>
              <m:t>,</m:t>
            </m:r>
            <m:r>
              <m:t>c</m:t>
            </m:r>
            <m:r>
              <m:rPr>
                <m:sty m:val="p"/>
              </m:rPr>
              <m:t>,</m:t>
            </m:r>
            <m:r>
              <m:t>t</m:t>
            </m:r>
          </m:sub>
        </m:sSub>
      </m:oMath>
      <w:r>
        <w:t xml:space="preserve">): Individuals living with prevalent disease</w:t>
      </w:r>
      <w:r>
        <w:t xml:space="preserve"> </w:t>
      </w:r>
      <m:oMath>
        <m:r>
          <m:t>c</m:t>
        </m:r>
      </m:oMath>
    </w:p>
    <w:p>
      <w:pPr>
        <w:pStyle w:val="Compact"/>
        <w:numPr>
          <w:ilvl w:val="0"/>
          <w:numId w:val="1002"/>
        </w:numPr>
      </w:pPr>
      <w:r>
        <w:rPr>
          <w:b/>
          <w:bCs/>
        </w:rPr>
        <w:t xml:space="preserve">Dead</w:t>
      </w:r>
      <w:r>
        <w:t xml:space="preserve"> </w:t>
      </w:r>
      <w:r>
        <w:t xml:space="preserve">(</w:t>
      </w:r>
      <m:oMath>
        <m:sSub>
          <m:e>
            <m:r>
              <m:t>D</m:t>
            </m:r>
          </m:e>
          <m:sub>
            <m:r>
              <m:t>a</m:t>
            </m:r>
            <m:r>
              <m:rPr>
                <m:sty m:val="p"/>
              </m:rPr>
              <m:t>,</m:t>
            </m:r>
            <m:r>
              <m:t>s</m:t>
            </m:r>
            <m:r>
              <m:rPr>
                <m:sty m:val="p"/>
              </m:rPr>
              <m:t>,</m:t>
            </m:r>
            <m:r>
              <m:t>c</m:t>
            </m:r>
            <m:r>
              <m:rPr>
                <m:sty m:val="p"/>
              </m:rPr>
              <m:t>,</m:t>
            </m:r>
            <m:r>
              <m:t>t</m:t>
            </m:r>
          </m:sub>
        </m:sSub>
      </m:oMath>
      <w:r>
        <w:t xml:space="preserve">): Individuals who have died from cause</w:t>
      </w:r>
      <w:r>
        <w:t xml:space="preserve"> </w:t>
      </w:r>
      <m:oMath>
        <m:r>
          <m:t>c</m:t>
        </m:r>
      </m:oMath>
    </w:p>
    <w:p>
      <w:pPr>
        <w:pStyle w:val="FirstParagraph"/>
      </w:pPr>
      <w:r>
        <w:t xml:space="preserve">Individuals transition between states according to cause-specific incidence rates (</w:t>
      </w:r>
      <m:oMath>
        <m:r>
          <m:t>I</m:t>
        </m:r>
        <m:r>
          <m:t>R</m:t>
        </m:r>
      </m:oMath>
      <w:r>
        <w:t xml:space="preserve">: Well</w:t>
      </w:r>
      <w:r>
        <w:t xml:space="preserve"> </w:t>
      </w:r>
      <m:oMath>
        <m:r>
          <m:rPr>
            <m:sty m:val="p"/>
          </m:rPr>
          <m:t>→</m:t>
        </m:r>
      </m:oMath>
      <w:r>
        <w:t xml:space="preserve"> </w:t>
      </w:r>
      <w:r>
        <w:t xml:space="preserve">Sick), case fatality rates (</w:t>
      </w:r>
      <m:oMath>
        <m:r>
          <m:t>C</m:t>
        </m:r>
        <m:r>
          <m:t>F</m:t>
        </m:r>
      </m:oMath>
      <w:r>
        <w:t xml:space="preserve">: Sick</w:t>
      </w:r>
      <w:r>
        <w:t xml:space="preserve"> </w:t>
      </w:r>
      <m:oMath>
        <m:r>
          <m:rPr>
            <m:sty m:val="p"/>
          </m:rPr>
          <m:t>→</m:t>
        </m:r>
      </m:oMath>
      <w:r>
        <w:t xml:space="preserve"> </w:t>
      </w:r>
      <w:r>
        <w:t xml:space="preserve">Dead), and background mortality (</w:t>
      </w:r>
      <m:oMath>
        <m:r>
          <m:t>B</m:t>
        </m:r>
        <m:r>
          <m:t>G</m:t>
        </m:r>
        <m:r>
          <m:rPr>
            <m:sty m:val="p"/>
          </m:rPr>
          <m:t>.</m:t>
        </m:r>
        <m:r>
          <m:t>m</m:t>
        </m:r>
        <m:r>
          <m:t>x</m:t>
        </m:r>
      </m:oMath>
      <w:r>
        <w:t xml:space="preserve">: exits from Sick;</w:t>
      </w:r>
      <w:r>
        <w:t xml:space="preserve"> </w:t>
      </w:r>
      <m:oMath>
        <m:r>
          <m:t>B</m:t>
        </m:r>
        <m:r>
          <m:t>G</m:t>
        </m:r>
        <m:r>
          <m:rPr>
            <m:sty m:val="p"/>
          </m:rPr>
          <m:t>.</m:t>
        </m:r>
        <m:r>
          <m:t>m</m:t>
        </m:r>
        <m:r>
          <m:t>x</m:t>
        </m:r>
        <m:r>
          <m:rPr>
            <m:sty m:val="p"/>
          </m:rPr>
          <m:t>.</m:t>
        </m:r>
        <m:r>
          <m:t>a</m:t>
        </m:r>
        <m:r>
          <m:t>l</m:t>
        </m:r>
        <m:r>
          <m:t>l</m:t>
        </m:r>
      </m:oMath>
      <w:r>
        <w:t xml:space="preserve">: all-cause mortality applied to the total population). The four causes are modelled jointly but independently within each country–age–sex stratum; population-level accounting is maintained through all-cause mortality applied to the total population.</w:t>
      </w:r>
    </w:p>
    <w:p>
      <w:pPr>
        <w:pStyle w:val="BodyText"/>
      </w:pPr>
      <w:r>
        <w:t xml:space="preserve">The model operates in discrete annual time steps with simultaneous age advancement: at each step, individuals at age</w:t>
      </w:r>
      <w:r>
        <w:t xml:space="preserve"> </w:t>
      </w:r>
      <m:oMath>
        <m:r>
          <m:t>a</m:t>
        </m:r>
      </m:oMath>
      <w:r>
        <w:t xml:space="preserve"> </w:t>
      </w:r>
      <w:r>
        <w:t xml:space="preserve">in year</w:t>
      </w:r>
      <w:r>
        <w:t xml:space="preserve"> </w:t>
      </w:r>
      <m:oMath>
        <m:r>
          <m:t>t</m:t>
        </m:r>
      </m:oMath>
      <w:r>
        <w:t xml:space="preserve"> </w:t>
      </w:r>
      <w:r>
        <w:t xml:space="preserve">advance to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New cohorts enter at age 20 each year. The projection period runs from 2017 (calibration start) through 2050.</w:t>
      </w:r>
    </w:p>
    <w:p>
      <w:pPr>
        <w:pStyle w:val="BodyText"/>
      </w:pPr>
      <w:r>
        <w:rPr>
          <w:b/>
          <w:bCs/>
        </w:rPr>
        <w:t xml:space="preserve">State transition equations.</w:t>
      </w:r>
      <w:r>
        <w:t xml:space="preserve"> </w:t>
      </w:r>
      <w:r>
        <w:t xml:space="preserve">For each location</w:t>
      </w:r>
      <w:r>
        <w:t xml:space="preserve"> </w:t>
      </w:r>
      <m:oMath>
        <m:r>
          <m:rPr>
            <m:sty m:val="p"/>
          </m:rPr>
          <m:t>ℓ</m:t>
        </m:r>
      </m:oMath>
      <w:r>
        <w:t xml:space="preserve">, sex</w:t>
      </w:r>
      <w:r>
        <w:t xml:space="preserve"> </w:t>
      </w:r>
      <m:oMath>
        <m:r>
          <m:t>s</m:t>
        </m:r>
      </m:oMath>
      <w:r>
        <w:t xml:space="preserve">, cause</w:t>
      </w:r>
      <w:r>
        <w:t xml:space="preserve"> </w:t>
      </w:r>
      <m:oMath>
        <m:r>
          <m:t>c</m:t>
        </m:r>
      </m:oMath>
      <w:r>
        <w:t xml:space="preserve">, at age</w:t>
      </w:r>
      <w:r>
        <w:t xml:space="preserve"> </w:t>
      </w:r>
      <m:oMath>
        <m:r>
          <m:t>a</m:t>
        </m:r>
      </m:oMath>
      <w:r>
        <w:t xml:space="preserve"> </w:t>
      </w:r>
      <w:r>
        <w:t xml:space="preserve">in year</w:t>
      </w:r>
      <w:r>
        <w:t xml:space="preserve"> </w:t>
      </w:r>
      <m:oMath>
        <m:r>
          <m:t>t</m:t>
        </m:r>
      </m:oMath>
      <w:r>
        <w:t xml:space="preserve">, the state occupancies at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w:t>
      </w:r>
      <w:r>
        <w:t xml:space="preserve">are:</w:t>
      </w:r>
    </w:p>
    <w:p>
      <w:pPr>
        <w:pStyle w:val="BodyText"/>
      </w:pPr>
      <w:r>
        <w:rPr>
          <w:i/>
          <w:iCs/>
        </w:rPr>
        <w:t xml:space="preserve">New cases:</w:t>
      </w:r>
    </w:p>
    <w:p>
      <w:pPr>
        <w:pStyle w:val="BodyText"/>
      </w:pPr>
      <m:oMathPara>
        <m:oMathParaPr>
          <m:jc m:val="center"/>
        </m:oMathParaPr>
        <m:oMath>
          <m:sSub>
            <m:e>
              <m:r>
                <m:rPr>
                  <m:nor/>
                  <m:sty m:val="p"/>
                </m:rPr>
                <m:t>NewCases</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Sick population:</w:t>
      </w:r>
    </w:p>
    <w:p>
      <w:pPr>
        <w:pStyle w:val="BodyText"/>
      </w:pPr>
      <m:oMathPara>
        <m:oMathParaPr>
          <m:jc m:val="center"/>
        </m:oMathParaPr>
        <m:oMath>
          <m:sSub>
            <m:e>
              <m:r>
                <m:t>K</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d>
            <m:dPr>
              <m:begChr m:val="["/>
              <m:sepChr m:val=""/>
              <m:endChr m:val="]"/>
              <m:grow/>
            </m:dPr>
            <m:e>
              <m:r>
                <m:t>1</m:t>
              </m:r>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r>
                <m:rPr>
                  <m:sty m:val="p"/>
                </m:rPr>
                <m:t>−</m:t>
              </m:r>
              <m:r>
                <m:t>B</m:t>
              </m:r>
              <m:r>
                <m:t>G</m:t>
              </m:r>
              <m:r>
                <m:rPr>
                  <m:sty m:val="p"/>
                </m:rPr>
                <m:t>.</m:t>
              </m:r>
              <m:r>
                <m:t>m</m:t>
              </m:r>
              <m:sSub>
                <m:e>
                  <m:r>
                    <m:t>x</m:t>
                  </m:r>
                </m:e>
                <m:sub>
                  <m:r>
                    <m:t>a</m:t>
                  </m:r>
                  <m:r>
                    <m:rPr>
                      <m:sty m:val="p"/>
                    </m:rPr>
                    <m:t>,</m:t>
                  </m:r>
                  <m:r>
                    <m:t>s</m:t>
                  </m:r>
                  <m:r>
                    <m:rPr>
                      <m:sty m:val="p"/>
                    </m:rPr>
                    <m:t>,</m:t>
                  </m:r>
                  <m:r>
                    <m:t>c</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Disease-specific deaths:</w:t>
      </w:r>
    </w:p>
    <w:p>
      <w:pPr>
        <w:pStyle w:val="BodyText"/>
      </w:pPr>
      <m:oMathPara>
        <m:oMathParaPr>
          <m:jc m:val="center"/>
        </m:oMathParaPr>
        <m:oMath>
          <m:sSub>
            <m:e>
              <m:r>
                <m:t>D</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Total population (updated from external demographic projection):</w:t>
      </w:r>
    </w:p>
    <w:p>
      <w:pPr>
        <w:pStyle w:val="BodyText"/>
      </w:pPr>
      <m:oMathPara>
        <m:oMathParaPr>
          <m:jc m:val="center"/>
        </m:oMathParaPr>
        <m:oMath>
          <m:sSub>
            <m:e>
              <m:r>
                <m:t>N</m:t>
              </m:r>
            </m:e>
            <m:sub>
              <m:r>
                <m:t>a</m:t>
              </m:r>
              <m:r>
                <m:rPr>
                  <m:sty m:val="p"/>
                </m:rPr>
                <m:t>+</m:t>
              </m:r>
              <m:r>
                <m:t>1</m:t>
              </m:r>
              <m:r>
                <m:rPr>
                  <m:sty m:val="p"/>
                </m:rPr>
                <m:t>,</m:t>
              </m:r>
              <m:r>
                <m:t>s</m:t>
              </m:r>
              <m:r>
                <m:rPr>
                  <m:sty m:val="p"/>
                </m:rPr>
                <m:t>,</m:t>
              </m:r>
              <m:r>
                <m:t>t</m:t>
              </m:r>
              <m:r>
                <m:rPr>
                  <m:sty m:val="p"/>
                </m:rPr>
                <m:t>+</m:t>
              </m:r>
              <m:r>
                <m:t>1</m:t>
              </m:r>
            </m:sub>
          </m:sSub>
          <m:r>
            <m:rPr>
              <m:sty m:val="p"/>
            </m:rPr>
            <m:t>=</m:t>
          </m:r>
          <m:sSub>
            <m:e>
              <m:r>
                <m:t>N</m:t>
              </m:r>
            </m:e>
            <m:sub>
              <m:r>
                <m:t>a</m:t>
              </m:r>
              <m:r>
                <m:rPr>
                  <m:sty m:val="p"/>
                </m:rPr>
                <m:t>,</m:t>
              </m:r>
              <m:r>
                <m:t>s</m:t>
              </m:r>
              <m:r>
                <m:rPr>
                  <m:sty m:val="p"/>
                </m:rPr>
                <m:t>,</m:t>
              </m:r>
              <m:r>
                <m:t>t</m:t>
              </m:r>
            </m:sub>
          </m:sSub>
          <m:r>
            <m:rPr>
              <m:sty m:val="p"/>
            </m:rPr>
            <m:t>−</m:t>
          </m:r>
          <m:r>
            <m:t>A</m:t>
          </m:r>
          <m:r>
            <m:t>L</m:t>
          </m:r>
          <m:r>
            <m:t>L</m:t>
          </m:r>
          <m:r>
            <m:rPr>
              <m:sty m:val="p"/>
            </m:rPr>
            <m:t>.</m:t>
          </m:r>
          <m:r>
            <m:t>m</m:t>
          </m:r>
          <m:sSub>
            <m:e>
              <m:r>
                <m:t>x</m:t>
              </m:r>
            </m:e>
            <m:sub>
              <m:r>
                <m:t>a</m:t>
              </m:r>
              <m:r>
                <m:rPr>
                  <m:sty m:val="p"/>
                </m:rPr>
                <m:t>,</m:t>
              </m:r>
              <m:r>
                <m:t>s</m:t>
              </m:r>
              <m:r>
                <m:rPr>
                  <m:sty m:val="p"/>
                </m:rPr>
                <m:t>,</m:t>
              </m:r>
              <m:r>
                <m:t>t</m:t>
              </m:r>
            </m:sub>
          </m:sSub>
        </m:oMath>
      </m:oMathPara>
    </w:p>
    <w:p>
      <w:pPr>
        <w:pStyle w:val="FirstParagraph"/>
      </w:pPr>
      <w:r>
        <w:rPr>
          <w:i/>
          <w:iCs/>
        </w:rPr>
        <w:t xml:space="preserve">All-cause mortality:</w:t>
      </w:r>
    </w:p>
    <w:p>
      <w:pPr>
        <w:pStyle w:val="BodyText"/>
      </w:pPr>
      <m:oMathPara>
        <m:oMathParaPr>
          <m:jc m:val="center"/>
        </m:oMathParaPr>
        <m:oMath>
          <m:r>
            <m:t>A</m:t>
          </m:r>
          <m:r>
            <m:t>L</m:t>
          </m:r>
          <m:r>
            <m:t>L</m:t>
          </m:r>
          <m:r>
            <m:rPr>
              <m:sty m:val="p"/>
            </m:rPr>
            <m:t>.</m:t>
          </m:r>
          <m:r>
            <m:t>m</m:t>
          </m:r>
          <m:sSub>
            <m:e>
              <m:r>
                <m:t>x</m:t>
              </m:r>
            </m:e>
            <m:sub>
              <m:r>
                <m:t>a</m:t>
              </m:r>
              <m:r>
                <m:rPr>
                  <m:sty m:val="p"/>
                </m:rPr>
                <m:t>,</m:t>
              </m:r>
              <m:r>
                <m:t>s</m:t>
              </m:r>
              <m:r>
                <m:rPr>
                  <m:sty m:val="p"/>
                </m:rPr>
                <m:t>,</m:t>
              </m:r>
              <m:r>
                <m:t>t</m:t>
              </m:r>
            </m:sub>
          </m:sSub>
          <m:r>
            <m:rPr>
              <m:sty m:val="p"/>
            </m:rPr>
            <m:t>=</m:t>
          </m:r>
          <m:nary>
            <m:naryPr>
              <m:chr m:val="∑"/>
              <m:limLoc m:val="undOvr"/>
              <m:subHide m:val="off"/>
              <m:supHide m:val="on"/>
            </m:naryPr>
            <m:sub>
              <m:r>
                <m:t>c</m:t>
              </m:r>
            </m:sub>
            <m:sup>
              <m:r>
                <m:t>​</m:t>
              </m:r>
            </m:sup>
            <m:e>
              <m:sSub>
                <m:e>
                  <m:r>
                    <m:t>D</m:t>
                  </m:r>
                </m:e>
                <m:sub>
                  <m:r>
                    <m:t>a</m:t>
                  </m:r>
                  <m:r>
                    <m:rPr>
                      <m:sty m:val="p"/>
                    </m:rPr>
                    <m:t>+</m:t>
                  </m:r>
                  <m:r>
                    <m:t>1</m:t>
                  </m:r>
                  <m:r>
                    <m:rPr>
                      <m:sty m:val="p"/>
                    </m:rPr>
                    <m:t>,</m:t>
                  </m:r>
                  <m:r>
                    <m:t>s</m:t>
                  </m:r>
                  <m:r>
                    <m:rPr>
                      <m:sty m:val="p"/>
                    </m:rPr>
                    <m:t>,</m:t>
                  </m:r>
                  <m:r>
                    <m:t>c</m:t>
                  </m:r>
                  <m:r>
                    <m:rPr>
                      <m:sty m:val="p"/>
                    </m:rPr>
                    <m:t>,</m:t>
                  </m:r>
                  <m:r>
                    <m:t>t</m:t>
                  </m:r>
                  <m:r>
                    <m:rPr>
                      <m:sty m:val="p"/>
                    </m:rPr>
                    <m:t>+</m:t>
                  </m:r>
                  <m:r>
                    <m:t>1</m:t>
                  </m:r>
                </m:sub>
              </m:sSub>
            </m:e>
          </m:nary>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d>
            <m:dPr>
              <m:begChr m:val="("/>
              <m:sepChr m:val=""/>
              <m:endChr m:val=")"/>
              <m:grow/>
            </m:dPr>
            <m:e>
              <m:r>
                <m:t>B</m:t>
              </m:r>
              <m:r>
                <m:t>G</m:t>
              </m:r>
              <m:r>
                <m:rPr>
                  <m:sty m:val="p"/>
                </m:rPr>
                <m:t>.</m:t>
              </m:r>
              <m:r>
                <m:t>m</m:t>
              </m:r>
              <m:r>
                <m:t>x</m:t>
              </m:r>
              <m:r>
                <m:rPr>
                  <m:sty m:val="p"/>
                </m:rPr>
                <m:t>.</m:t>
              </m:r>
              <m:r>
                <m:t>a</m:t>
              </m:r>
              <m:r>
                <m:t>l</m:t>
              </m:r>
              <m:sSub>
                <m:e>
                  <m:r>
                    <m:t>l</m:t>
                  </m:r>
                </m:e>
                <m:sub>
                  <m:r>
                    <m:t>a</m:t>
                  </m:r>
                  <m:r>
                    <m:rPr>
                      <m:sty m:val="p"/>
                    </m:rPr>
                    <m:t>,</m:t>
                  </m:r>
                  <m:r>
                    <m:t>s</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oMath>
      </m:oMathPara>
    </w:p>
    <w:p>
      <w:pPr>
        <w:pStyle w:val="FirstParagraph"/>
      </w:pPr>
      <w:r>
        <w:rPr>
          <w:i/>
          <w:iCs/>
        </w:rPr>
        <w:t xml:space="preserve">Well population (computed as residual):</w:t>
      </w:r>
    </w:p>
    <w:p>
      <w:pPr>
        <w:pStyle w:val="BodyText"/>
      </w:pPr>
      <m:oMathPara>
        <m:oMathParaPr>
          <m:jc m:val="center"/>
        </m:oMathParaPr>
        <m:oMath>
          <m:sSub>
            <m:e>
              <m:r>
                <m:t>W</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r>
            <m:t>A</m:t>
          </m:r>
          <m:r>
            <m:t>L</m:t>
          </m:r>
          <m:r>
            <m:t>L</m:t>
          </m:r>
          <m:r>
            <m:rPr>
              <m:sty m:val="p"/>
            </m:rPr>
            <m:t>.</m:t>
          </m:r>
          <m:r>
            <m:t>m</m:t>
          </m:r>
          <m:sSub>
            <m:e>
              <m:r>
                <m:t>x</m:t>
              </m:r>
            </m:e>
            <m:sub>
              <m:r>
                <m:t>a</m:t>
              </m:r>
              <m:r>
                <m:rPr>
                  <m:sty m:val="p"/>
                </m:rPr>
                <m:t>+</m:t>
              </m:r>
              <m:r>
                <m:t>1</m:t>
              </m:r>
              <m:r>
                <m:rPr>
                  <m:sty m:val="p"/>
                </m:rPr>
                <m:t>,</m:t>
              </m:r>
              <m:r>
                <m:t>s</m:t>
              </m:r>
              <m:r>
                <m:rPr>
                  <m:sty m:val="p"/>
                </m:rPr>
                <m:t>,</m:t>
              </m:r>
              <m:r>
                <m:t>t</m:t>
              </m:r>
              <m:r>
                <m:rPr>
                  <m:sty m:val="p"/>
                </m:rPr>
                <m:t>+</m:t>
              </m:r>
              <m:r>
                <m:t>1</m:t>
              </m:r>
            </m:sub>
          </m:sSub>
          <m:r>
            <m:rPr>
              <m:sty m:val="p"/>
            </m:rPr>
            <m:t>−</m:t>
          </m:r>
          <m:sSub>
            <m:e>
              <m:r>
                <m:t>K</m:t>
              </m:r>
            </m:e>
            <m:sub>
              <m:r>
                <m:t>a</m:t>
              </m:r>
              <m:r>
                <m:rPr>
                  <m:sty m:val="p"/>
                </m:rPr>
                <m:t>+</m:t>
              </m:r>
              <m:r>
                <m:t>1</m:t>
              </m:r>
              <m:r>
                <m:rPr>
                  <m:sty m:val="p"/>
                </m:rPr>
                <m:t>,</m:t>
              </m:r>
              <m:r>
                <m:t>s</m:t>
              </m:r>
              <m:r>
                <m:rPr>
                  <m:sty m:val="p"/>
                </m:rPr>
                <m:t>,</m:t>
              </m:r>
              <m:r>
                <m:t>c</m:t>
              </m:r>
              <m:r>
                <m:rPr>
                  <m:sty m:val="p"/>
                </m:rPr>
                <m:t>,</m:t>
              </m:r>
              <m:r>
                <m:t>t</m:t>
              </m:r>
              <m:r>
                <m:rPr>
                  <m:sty m:val="p"/>
                </m:rPr>
                <m:t>+</m:t>
              </m:r>
              <m:r>
                <m:t>1</m:t>
              </m:r>
            </m:sub>
          </m:sSub>
        </m:oMath>
      </m:oMathPara>
    </w:p>
    <w:p>
      <w:pPr>
        <w:pStyle w:val="FirstParagraph"/>
      </w:pPr>
      <w:r>
        <w:t xml:space="preserve">where</w:t>
      </w:r>
      <w:r>
        <w:t xml:space="preserve"> </w:t>
      </w:r>
      <m:oMath>
        <m:sSub>
          <m:e>
            <m:r>
              <m:t>ε</m:t>
            </m:r>
          </m:e>
          <m:sub>
            <m:r>
              <m:t>I</m:t>
            </m:r>
            <m:r>
              <m:t>R</m:t>
            </m:r>
          </m:sub>
        </m:sSub>
      </m:oMath>
      <w:r>
        <w:t xml:space="preserve"> </w:t>
      </w:r>
      <w:r>
        <w:t xml:space="preserve">and</w:t>
      </w:r>
      <w:r>
        <w:t xml:space="preserve"> </w:t>
      </w:r>
      <m:oMath>
        <m:sSub>
          <m:e>
            <m:r>
              <m:t>ε</m:t>
            </m:r>
          </m:e>
          <m:sub>
            <m:r>
              <m:t>C</m:t>
            </m:r>
            <m:r>
              <m:t>F</m:t>
            </m:r>
          </m:sub>
        </m:sSub>
      </m:oMath>
      <w:r>
        <w:t xml:space="preserve"> </w:t>
      </w:r>
      <w:r>
        <w:t xml:space="preserve">are the multiplicative effect ratios from the intervention modules (equal to 1 under the business-as-usual scenario). COVID-19 excess mortality (</w:t>
      </w:r>
      <m:oMath>
        <m:r>
          <m:t>c</m:t>
        </m:r>
        <m:r>
          <m:t>o</m:t>
        </m:r>
        <m:r>
          <m:t>v</m:t>
        </m:r>
        <m:r>
          <m:t>i</m:t>
        </m:r>
        <m:r>
          <m:t>d</m:t>
        </m:r>
        <m:r>
          <m:rPr>
            <m:sty m:val="p"/>
          </m:rPr>
          <m:t>.</m:t>
        </m:r>
        <m:r>
          <m:t>m</m:t>
        </m:r>
        <m:r>
          <m:t>x</m:t>
        </m:r>
      </m:oMath>
      <w:r>
        <w:t xml:space="preserve">) is applied only for 2020–2021. All state occupancies are bounded below at zero, and transition rates are capped:</w:t>
      </w:r>
      <w:r>
        <w:t xml:space="preserve"> </w:t>
      </w:r>
      <m:oMath>
        <m:r>
          <m:t>C</m:t>
        </m:r>
        <m:r>
          <m:t>F</m:t>
        </m:r>
        <m:r>
          <m:rPr>
            <m:sty m:val="p"/>
          </m:rPr>
          <m:t>≤</m:t>
        </m:r>
        <m:r>
          <m:t>0.99</m:t>
        </m:r>
      </m:oMath>
      <w:r>
        <w:t xml:space="preserve">,</w:t>
      </w:r>
      <w:r>
        <w:t xml:space="preserve"> </w:t>
      </w:r>
      <m:oMath>
        <m:r>
          <m:t>I</m:t>
        </m:r>
        <m:r>
          <m:t>R</m:t>
        </m:r>
        <m:r>
          <m:rPr>
            <m:sty m:val="p"/>
          </m:rPr>
          <m:t>≤</m:t>
        </m:r>
        <m:r>
          <m:t>0.99</m:t>
        </m:r>
      </m:oMath>
      <w:r>
        <w:t xml:space="preserve">.</w:t>
      </w:r>
    </w:p>
    <w:p>
      <w:pPr>
        <w:pStyle w:val="BodyText"/>
      </w:pPr>
      <w:r>
        <w:rPr>
          <w:b/>
          <w:bCs/>
        </w:rPr>
        <w:t xml:space="preserve">Initial conditions.</w:t>
      </w:r>
      <w:r>
        <w:t xml:space="preserve"> </w:t>
      </w:r>
      <w:r>
        <w:t xml:space="preserve">At the model start year (2017) and for each new cohort entering at age 20:</w:t>
      </w:r>
    </w:p>
    <w:p>
      <w:pPr>
        <w:pStyle w:val="BodyText"/>
      </w:pPr>
      <m:oMathPara>
        <m:oMathParaPr>
          <m:jc m:val="center"/>
        </m:oMathParaPr>
        <m:oMath>
          <m:sSub>
            <m:e>
              <m:r>
                <m:t>K</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P</m:t>
          </m:r>
          <m:r>
            <m:t>R</m:t>
          </m:r>
          <m:r>
            <m:t>E</m:t>
          </m:r>
          <m:sSub>
            <m:e>
              <m:r>
                <m:t>V</m:t>
              </m:r>
            </m:e>
            <m:sub>
              <m:r>
                <m:t>20</m:t>
              </m:r>
              <m:r>
                <m:rPr>
                  <m:sty m:val="p"/>
                </m:rPr>
                <m:t>,</m:t>
              </m:r>
              <m:r>
                <m:t>s</m:t>
              </m:r>
              <m:r>
                <m:rPr>
                  <m:sty m:val="p"/>
                </m:rPr>
                <m:t>,</m:t>
              </m:r>
              <m:r>
                <m:t>c</m:t>
              </m:r>
            </m:sub>
          </m:sSub>
        </m:oMath>
      </m:oMathPara>
    </w:p>
    <w:p>
      <w:pPr>
        <w:pStyle w:val="FirstParagraph"/>
      </w:pPr>
      <m:oMathPara>
        <m:oMathParaPr>
          <m:jc m:val="center"/>
        </m:oMathParaPr>
        <m:oMath>
          <m:sSub>
            <m:e>
              <m:r>
                <m:t>D</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D</m:t>
          </m:r>
          <m:r>
            <m:t>I</m:t>
          </m:r>
          <m:r>
            <m:t>S</m:t>
          </m:r>
          <m:r>
            <m:rPr>
              <m:sty m:val="p"/>
            </m:rPr>
            <m:t>.</m:t>
          </m:r>
          <m:r>
            <m:t>m</m:t>
          </m:r>
          <m:sSub>
            <m:e>
              <m:r>
                <m:t>x</m:t>
              </m:r>
            </m:e>
            <m:sub>
              <m:r>
                <m:t>20</m:t>
              </m:r>
              <m:r>
                <m:rPr>
                  <m:sty m:val="p"/>
                </m:rPr>
                <m:t>,</m:t>
              </m:r>
              <m:r>
                <m:t>s</m:t>
              </m:r>
              <m:r>
                <m:rPr>
                  <m:sty m:val="p"/>
                </m:rPr>
                <m:t>,</m:t>
              </m:r>
              <m:r>
                <m:t>c</m:t>
              </m:r>
            </m:sub>
          </m:sSub>
        </m:oMath>
      </m:oMathPara>
    </w:p>
    <w:p>
      <w:pPr>
        <w:pStyle w:val="FirstParagraph"/>
      </w:pPr>
      <m:oMathPara>
        <m:oMathParaPr>
          <m:jc m:val="center"/>
        </m:oMathParaPr>
        <m:oMath>
          <m:sSub>
            <m:e>
              <m:r>
                <m:t>W</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d>
            <m:dPr>
              <m:begChr m:val="("/>
              <m:sepChr m:val=""/>
              <m:endChr m:val=")"/>
              <m:grow/>
            </m:dPr>
            <m:e>
              <m:r>
                <m:t>1</m:t>
              </m:r>
              <m:r>
                <m:rPr>
                  <m:sty m:val="p"/>
                </m:rPr>
                <m:t>−</m:t>
              </m:r>
              <m:r>
                <m:t>P</m:t>
              </m:r>
              <m:r>
                <m:t>R</m:t>
              </m:r>
              <m:r>
                <m:t>E</m:t>
              </m:r>
              <m:sSub>
                <m:e>
                  <m:r>
                    <m:t>V</m:t>
                  </m:r>
                </m:e>
                <m:sub>
                  <m:r>
                    <m:t>20</m:t>
                  </m:r>
                  <m:r>
                    <m:rPr>
                      <m:sty m:val="p"/>
                    </m:rPr>
                    <m:t>,</m:t>
                  </m:r>
                  <m:r>
                    <m:t>s</m:t>
                  </m:r>
                  <m:r>
                    <m:rPr>
                      <m:sty m:val="p"/>
                    </m:rPr>
                    <m:t>,</m:t>
                  </m:r>
                  <m:r>
                    <m:t>c</m:t>
                  </m:r>
                </m:sub>
              </m:sSub>
              <m:r>
                <m:rPr>
                  <m:sty m:val="p"/>
                </m:rPr>
                <m:t>−</m:t>
              </m:r>
              <m:r>
                <m:t>B</m:t>
              </m:r>
              <m:r>
                <m:t>G</m:t>
              </m:r>
              <m:r>
                <m:rPr>
                  <m:sty m:val="p"/>
                </m:rPr>
                <m:t>.</m:t>
              </m:r>
              <m:r>
                <m:t>m</m:t>
              </m:r>
              <m:sSub>
                <m:e>
                  <m:r>
                    <m:t>x</m:t>
                  </m:r>
                </m:e>
                <m:sub>
                  <m:r>
                    <m:t>20</m:t>
                  </m:r>
                  <m:r>
                    <m:rPr>
                      <m:sty m:val="p"/>
                    </m:rPr>
                    <m:t>,</m:t>
                  </m:r>
                  <m:r>
                    <m:t>s</m:t>
                  </m:r>
                  <m:r>
                    <m:rPr>
                      <m:sty m:val="p"/>
                    </m:rPr>
                    <m:t>,</m:t>
                  </m:r>
                  <m:r>
                    <m:t>c</m:t>
                  </m:r>
                </m:sub>
              </m:sSub>
            </m:e>
          </m:d>
        </m:oMath>
      </m:oMathPara>
    </w:p>
    <w:p>
      <w:pPr>
        <w:pStyle w:val="FirstParagraph"/>
      </w:pPr>
      <w:r>
        <w:rPr>
          <w:b/>
          <w:bCs/>
        </w:rPr>
        <w:t xml:space="preserve">Intervention combination.</w:t>
      </w:r>
      <w:r>
        <w:t xml:space="preserve"> </w:t>
      </w:r>
      <w:r>
        <w:t xml:space="preserve">When multiple interventions are applied simultaneously, their effect ratios combine multiplicatively:</w:t>
      </w:r>
    </w:p>
    <w:p>
      <w:pPr>
        <w:pStyle w:val="BodyText"/>
      </w:pPr>
      <m:oMathPara>
        <m:oMathParaPr>
          <m:jc m:val="center"/>
        </m:oMathParaPr>
        <m:oMath>
          <m:sSub>
            <m:e>
              <m:r>
                <m:t>ε</m:t>
              </m:r>
            </m:e>
            <m:sub>
              <m:r>
                <m:t>I</m:t>
              </m:r>
              <m:r>
                <m:t>R</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m:oMathPara>
        <m:oMathParaPr>
          <m:jc m:val="center"/>
        </m:oMathParaPr>
        <m:oMath>
          <m:sSub>
            <m:e>
              <m:r>
                <m:t>ε</m:t>
              </m:r>
            </m:e>
            <m:sub>
              <m:r>
                <m:t>C</m:t>
              </m:r>
              <m:r>
                <m:t>F</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Each intervention effect ratio defaults to 1 when the intervention is not active, so single-intervention and combined scenarios use the same multiplicative framework.</w:t>
      </w:r>
    </w:p>
    <w:p>
      <w:pPr>
        <w:pStyle w:val="BodyText"/>
      </w:pPr>
      <w:r>
        <w:rPr>
          <w:b/>
          <w:bCs/>
        </w:rPr>
        <w:t xml:space="preserve">Primary outcome.</w:t>
      </w:r>
      <w:r>
        <w:t xml:space="preserve"> </w:t>
      </w:r>
      <w:r>
        <w:t xml:space="preserve">Cumulative CVD deaths averted over the study period are computed as:</w:t>
      </w:r>
    </w:p>
    <w:p>
      <w:pPr>
        <w:pStyle w:val="BodyText"/>
      </w:pPr>
      <m:oMathPara>
        <m:oMathParaPr>
          <m:jc m:val="center"/>
        </m:oMathParaPr>
        <m:oMath>
          <m:r>
            <m:rPr>
              <m:nor/>
              <m:sty m:val="p"/>
            </m:rPr>
            <m:t>Deaths averted</m:t>
          </m:r>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BAU</m:t>
                  </m:r>
                </m:sup>
              </m:sSubSup>
            </m:e>
          </m:nary>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intervention</m:t>
                  </m:r>
                </m:sup>
              </m:sSubSup>
            </m:e>
          </m:nary>
        </m:oMath>
      </m:oMathPara>
    </w:p>
    <w:p>
      <w:pPr>
        <w:pStyle w:val="FirstParagraph"/>
      </w:pPr>
      <w:r>
        <w:t xml:space="preserve">(Parameter values for all transition rates are listed in the Key Parameter Appendix.)</w:t>
      </w:r>
    </w:p>
    <w:bookmarkEnd w:id="169"/>
    <w:bookmarkStart w:id="171" w:name="sec:htn-model"/>
    <w:p>
      <w:pPr>
        <w:pStyle w:val="Heading3"/>
      </w:pPr>
      <w:r>
        <w:rPr>
          <w:rStyle w:val="SectionNumber"/>
        </w:rPr>
        <w:t xml:space="preserve">10.3.4</w:t>
      </w:r>
      <w:r>
        <w:tab/>
      </w:r>
      <w:r>
        <w:t xml:space="preserve">Hypertension Control Intervention Model</w:t>
      </w:r>
    </w:p>
    <w:p>
      <w:pPr>
        <w:pStyle w:val="FirstParagraph"/>
      </w:pPr>
      <w:r>
        <w:t xml:space="preserve">The hypertension control intervention modifies incidence and case fatality rates through a multi-step pipeline that integrates blood pressure distributions, GBD relative risks, Ettehad trial effect sizes, and linear coverage scale-up. Only</w:t>
      </w:r>
      <w:r>
        <w:t xml:space="preserve"> </w:t>
      </w:r>
      <w:r>
        <w:rPr>
          <w:i/>
          <w:iCs/>
        </w:rPr>
        <w:t xml:space="preserve">incremental</w:t>
      </w:r>
      <w:r>
        <w:t xml:space="preserve"> </w:t>
      </w:r>
      <w:r>
        <w:t xml:space="preserve">coverage above country-specific baseline control is credited with new effects, preventing double-counting of existing treatment benefits.</w:t>
      </w:r>
    </w:p>
    <w:p>
      <w:pPr>
        <w:pStyle w:val="BodyText"/>
      </w:pPr>
      <w:r>
        <w:rPr>
          <w:b/>
          <w:bCs/>
        </w:rPr>
        <w:t xml:space="preserve">Coverage scale-up.</w:t>
      </w:r>
      <w:r>
        <w:t xml:space="preserve"> </w:t>
      </w:r>
      <w:r>
        <w:t xml:space="preserve">Treatment coverage increases linearly from baseline to target over a specified period. The incremental coverage target above baseline is:</w:t>
      </w:r>
    </w:p>
    <w:p>
      <w:pPr>
        <w:pStyle w:val="BodyText"/>
      </w:pPr>
      <m:oMathPara>
        <m:oMathParaPr>
          <m:jc m:val="center"/>
        </m:oMathParaPr>
        <m:oMath>
          <m:r>
            <m:t>Δ</m:t>
          </m:r>
          <m:sSub>
            <m:e>
              <m:r>
                <m:t>C</m:t>
              </m:r>
            </m:e>
            <m:sub>
              <m:r>
                <m:rPr>
                  <m:nor/>
                  <m:sty m:val="p"/>
                </m:rPr>
                <m:t>target</m:t>
              </m:r>
            </m:sub>
          </m:sSub>
          <m:r>
            <m:rPr>
              <m:sty m:val="p"/>
            </m:rPr>
            <m:t>=</m:t>
          </m:r>
          <m:r>
            <m:rPr>
              <m:sty m:val="p"/>
            </m:rPr>
            <m:t>max</m:t>
          </m:r>
          <m:d>
            <m:dPr>
              <m:begChr m:val="("/>
              <m:sepChr m:val=""/>
              <m:endChr m:val=")"/>
              <m:grow/>
            </m:dPr>
            <m:e>
              <m:sSub>
                <m:e>
                  <m:r>
                    <m:t>C</m:t>
                  </m:r>
                </m:e>
                <m:sub>
                  <m:r>
                    <m:rPr>
                      <m:nor/>
                      <m:sty m:val="p"/>
                    </m:rPr>
                    <m:t>target</m:t>
                  </m:r>
                </m:sub>
              </m:sSub>
              <m:r>
                <m:rPr>
                  <m:sty m:val="p"/>
                </m:rPr>
                <m:t>−</m:t>
              </m:r>
              <m:sSub>
                <m:e>
                  <m:r>
                    <m:t>C</m:t>
                  </m:r>
                </m:e>
                <m:sub>
                  <m:r>
                    <m:rPr>
                      <m:nor/>
                      <m:sty m:val="p"/>
                    </m:rPr>
                    <m:t>baseline</m:t>
                  </m:r>
                </m:sub>
              </m:sSub>
              <m:r>
                <m:rPr>
                  <m:sty m:val="p"/>
                </m:rPr>
                <m:t>,</m:t>
              </m:r>
              <m:r>
                <m:t>0</m:t>
              </m:r>
            </m:e>
          </m:d>
        </m:oMath>
      </m:oMathPara>
    </w:p>
    <w:p>
      <w:pPr>
        <w:pStyle w:val="FirstParagraph"/>
      </w:pPr>
      <w:r>
        <w:t xml:space="preserve">The time-varying incremental coverage is:</w:t>
      </w:r>
    </w:p>
    <w:p>
      <w:pPr>
        <w:pStyle w:val="BodyText"/>
      </w:pPr>
      <m:oMathPara>
        <m:oMathParaPr>
          <m:jc m:val="center"/>
        </m:oMathParaPr>
        <m:oMath>
          <m:r>
            <m:t>Δ</m:t>
          </m:r>
          <m:r>
            <m:t>C</m:t>
          </m:r>
          <m:d>
            <m:dPr>
              <m:begChr m:val="("/>
              <m:sepChr m:val=""/>
              <m:endChr m:val=")"/>
              <m:grow/>
            </m:dPr>
            <m:e>
              <m:r>
                <m:t>t</m:t>
              </m:r>
            </m:e>
          </m:d>
          <m:r>
            <m:rPr>
              <m:sty m:val="p"/>
            </m:rPr>
            <m:t>=</m:t>
          </m:r>
          <m:r>
            <m:t>Δ</m:t>
          </m:r>
          <m:sSub>
            <m:e>
              <m:r>
                <m:t>C</m:t>
              </m:r>
            </m:e>
            <m:sub>
              <m:r>
                <m:rPr>
                  <m:nor/>
                  <m:sty m:val="p"/>
                </m:rPr>
                <m:t>target</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start</m:t>
                      </m:r>
                    </m:sub>
                  </m:sSub>
                  <m:r>
                    <m:rPr>
                      <m:sty m:val="p"/>
                    </m:rPr>
                    <m:t>+</m:t>
                  </m:r>
                  <m:r>
                    <m:t>1</m:t>
                  </m:r>
                </m:num>
                <m:den>
                  <m:sSub>
                    <m:e>
                      <m:r>
                        <m:t>T</m:t>
                      </m:r>
                    </m:e>
                    <m:sub>
                      <m:r>
                        <m:rPr>
                          <m:nor/>
                          <m:sty m:val="p"/>
                        </m:rPr>
                        <m:t>end</m:t>
                      </m:r>
                    </m:sub>
                  </m:sSub>
                  <m:r>
                    <m:rPr>
                      <m:sty m:val="p"/>
                    </m:rPr>
                    <m:t>−</m:t>
                  </m:r>
                  <m:sSub>
                    <m:e>
                      <m:r>
                        <m:t>T</m:t>
                      </m:r>
                    </m:e>
                    <m:sub>
                      <m:r>
                        <m:rPr>
                          <m:nor/>
                          <m:sty m:val="p"/>
                        </m:rPr>
                        <m:t>start</m:t>
                      </m:r>
                    </m:sub>
                  </m:sSub>
                  <m:r>
                    <m:rPr>
                      <m:sty m:val="p"/>
                    </m:rPr>
                    <m:t>+</m:t>
                  </m:r>
                  <m:r>
                    <m:t>1</m:t>
                  </m:r>
                </m:den>
              </m:f>
              <m:r>
                <m:rPr>
                  <m:sty m:val="p"/>
                </m:rPr>
                <m:t>,</m:t>
              </m:r>
              <m:r>
                <m:t> </m:t>
              </m:r>
              <m:r>
                <m:t>1</m:t>
              </m:r>
            </m:e>
          </m:d>
        </m:oMath>
      </m:oMathPara>
    </w:p>
    <w:p>
      <w:pPr>
        <w:pStyle w:val="FirstParagraph"/>
      </w:pPr>
      <w:r>
        <w:t xml:space="preserve">with boundary conditions:</w:t>
      </w:r>
      <w:r>
        <w:t xml:space="preserve"> </w:t>
      </w:r>
      <m:oMath>
        <m:r>
          <m:t>Δ</m:t>
        </m:r>
        <m:r>
          <m:t>C</m:t>
        </m:r>
        <m:d>
          <m:dPr>
            <m:begChr m:val="("/>
            <m:sepChr m:val=""/>
            <m:endChr m:val=")"/>
            <m:grow/>
          </m:dPr>
          <m:e>
            <m:r>
              <m:t>t</m:t>
            </m:r>
          </m:e>
        </m:d>
        <m:r>
          <m:rPr>
            <m:sty m:val="p"/>
          </m:rPr>
          <m:t>=</m:t>
        </m:r>
        <m:r>
          <m:t>0</m:t>
        </m:r>
      </m:oMath>
      <w:r>
        <w:t xml:space="preserve"> </w:t>
      </w:r>
      <w:r>
        <w:t xml:space="preserve">for</w:t>
      </w:r>
      <w:r>
        <w:t xml:space="preserve"> </w:t>
      </w:r>
      <m:oMath>
        <m:r>
          <m:t>t</m:t>
        </m:r>
        <m:r>
          <m:rPr>
            <m:sty m:val="p"/>
          </m:rPr>
          <m:t>&lt;</m:t>
        </m:r>
        <m:sSub>
          <m:e>
            <m:r>
              <m:t>T</m:t>
            </m:r>
          </m:e>
          <m:sub>
            <m:r>
              <m:rPr>
                <m:nor/>
                <m:sty m:val="p"/>
              </m:rPr>
              <m:t>start</m:t>
            </m:r>
          </m:sub>
        </m:sSub>
      </m:oMath>
      <w:r>
        <w:t xml:space="preserve"> </w:t>
      </w:r>
      <w:r>
        <w:t xml:space="preserve">and</w:t>
      </w:r>
      <w:r>
        <w:t xml:space="preserve"> </w:t>
      </w:r>
      <m:oMath>
        <m:r>
          <m:t>Δ</m:t>
        </m:r>
        <m:r>
          <m:t>C</m:t>
        </m:r>
        <m:d>
          <m:dPr>
            <m:begChr m:val="("/>
            <m:sepChr m:val=""/>
            <m:endChr m:val=")"/>
            <m:grow/>
          </m:dPr>
          <m:e>
            <m:r>
              <m:t>t</m:t>
            </m:r>
          </m:e>
        </m:d>
        <m:r>
          <m:rPr>
            <m:sty m:val="p"/>
          </m:rPr>
          <m:t>=</m:t>
        </m:r>
        <m:r>
          <m:t>Δ</m:t>
        </m:r>
        <m:sSub>
          <m:e>
            <m:r>
              <m:t>C</m:t>
            </m:r>
          </m:e>
          <m:sub>
            <m:r>
              <m:rPr>
                <m:nor/>
                <m:sty m:val="p"/>
              </m:rPr>
              <m:t>target</m:t>
            </m:r>
          </m:sub>
        </m:sSub>
      </m:oMath>
      <w:r>
        <w:t xml:space="preserve"> </w:t>
      </w:r>
      <w:r>
        <w:t xml:space="preserve">for</w:t>
      </w:r>
      <w:r>
        <w:t xml:space="preserve"> </w:t>
      </w:r>
      <m:oMath>
        <m:r>
          <m:t>t</m:t>
        </m:r>
        <m:r>
          <m:rPr>
            <m:sty m:val="p"/>
          </m:rPr>
          <m:t>&gt;</m:t>
        </m:r>
        <m:sSub>
          <m:e>
            <m:r>
              <m:t>T</m:t>
            </m:r>
          </m:e>
          <m:sub>
            <m:r>
              <m:rPr>
                <m:nor/>
                <m:sty m:val="p"/>
              </m:rPr>
              <m:t>end</m:t>
            </m:r>
          </m:sub>
        </m:sSub>
      </m:oMath>
      <w:r>
        <w:t xml:space="preserve">.</w:t>
      </w:r>
    </w:p>
    <w:p>
      <w:pPr>
        <w:pStyle w:val="BodyText"/>
      </w:pPr>
      <w:r>
        <w:t xml:space="preserve">Coverage is applied only to hypertensive blood pressure bins (</w:t>
      </w:r>
      <m:oMath>
        <m:r>
          <m:rPr>
            <m:sty m:val="p"/>
          </m:rPr>
          <m:t>≥</m:t>
        </m:r>
      </m:oMath>
      <w:r>
        <w:t xml:space="preserve"> </w:t>
      </w:r>
      <w:r>
        <w:t xml:space="preserve">140 mmHg). For hypertensive bins:</w:t>
      </w:r>
      <w:r>
        <w:t xml:space="preserve"> </w:t>
      </w:r>
      <m:oMath>
        <m:sSub>
          <m:e>
            <m:r>
              <m:t>C</m:t>
            </m:r>
          </m:e>
          <m:sub>
            <m:r>
              <m:t>0</m:t>
            </m:r>
          </m:sub>
        </m:sSub>
        <m:r>
          <m:rPr>
            <m:sty m:val="p"/>
          </m:rPr>
          <m:t>=</m:t>
        </m:r>
        <m:sSub>
          <m:e>
            <m:r>
              <m:t>C</m:t>
            </m:r>
          </m:e>
          <m:sub>
            <m:r>
              <m:rPr>
                <m:nor/>
                <m:sty m:val="p"/>
              </m:rPr>
              <m:t>baseline</m:t>
            </m:r>
          </m:sub>
        </m:sSub>
      </m:oMath>
      <w:r>
        <w:t xml:space="preserve"> </w:t>
      </w:r>
      <w:r>
        <w:t xml:space="preserve">and</w:t>
      </w:r>
      <w:r>
        <w:t xml:space="preserve"> </w:t>
      </w:r>
      <m:oMath>
        <m:sSub>
          <m:e>
            <m:r>
              <m:t>C</m:t>
            </m:r>
          </m:e>
          <m:sub>
            <m:r>
              <m:t>t</m:t>
            </m:r>
          </m:sub>
        </m:sSub>
        <m:d>
          <m:dPr>
            <m:begChr m:val="("/>
            <m:sepChr m:val=""/>
            <m:endChr m:val=")"/>
            <m:grow/>
          </m:dPr>
          <m:e>
            <m:r>
              <m:t>t</m:t>
            </m:r>
          </m:e>
        </m:d>
        <m:r>
          <m:rPr>
            <m:sty m:val="p"/>
          </m:rPr>
          <m:t>=</m:t>
        </m:r>
        <m:sSub>
          <m:e>
            <m:r>
              <m:t>C</m:t>
            </m:r>
          </m:e>
          <m:sub>
            <m:r>
              <m:rPr>
                <m:nor/>
                <m:sty m:val="p"/>
              </m:rPr>
              <m:t>baseline</m:t>
            </m:r>
          </m:sub>
        </m:sSub>
        <m:r>
          <m:rPr>
            <m:sty m:val="p"/>
          </m:rPr>
          <m:t>+</m:t>
        </m:r>
        <m:r>
          <m:t>Δ</m:t>
        </m:r>
        <m:r>
          <m:t>C</m:t>
        </m:r>
        <m:d>
          <m:dPr>
            <m:begChr m:val="("/>
            <m:sepChr m:val=""/>
            <m:endChr m:val=")"/>
            <m:grow/>
          </m:dPr>
          <m:e>
            <m:r>
              <m:t>t</m:t>
            </m:r>
          </m:e>
        </m:d>
      </m:oMath>
      <w:r>
        <w:t xml:space="preserve">. For non-hypertensive bins (</w:t>
      </w:r>
      <m:oMath>
        <m:r>
          <m:rPr>
            <m:sty m:val="p"/>
          </m:rPr>
          <m:t>&lt;</m:t>
        </m:r>
      </m:oMath>
      <w:r>
        <w:t xml:space="preserve"> </w:t>
      </w:r>
      <w:r>
        <w:t xml:space="preserve">140 mmHg):</w:t>
      </w:r>
      <w:r>
        <w:t xml:space="preserve"> </w:t>
      </w:r>
      <m:oMath>
        <m:sSub>
          <m:e>
            <m:r>
              <m:t>C</m:t>
            </m:r>
          </m:e>
          <m:sub>
            <m:r>
              <m:t>0</m:t>
            </m:r>
          </m:sub>
        </m:sSub>
        <m:r>
          <m:rPr>
            <m:sty m:val="p"/>
          </m:rPr>
          <m:t>=</m:t>
        </m:r>
        <m:sSub>
          <m:e>
            <m:r>
              <m:t>C</m:t>
            </m:r>
          </m:e>
          <m:sub>
            <m:r>
              <m:t>t</m:t>
            </m:r>
          </m:sub>
        </m:sSub>
        <m:r>
          <m:rPr>
            <m:sty m:val="p"/>
          </m:rPr>
          <m:t>=</m:t>
        </m:r>
        <m:r>
          <m:t>0</m:t>
        </m:r>
      </m:oMath>
      <w:r>
        <w:t xml:space="preserve">.</w:t>
      </w:r>
    </w:p>
    <w:p>
      <w:pPr>
        <w:pStyle w:val="BodyText"/>
      </w:pPr>
      <w:r>
        <w:rPr>
          <w:b/>
          <w:bCs/>
        </w:rPr>
        <w:t xml:space="preserve">Step 1: Baseline blood pressure distribution.</w:t>
      </w:r>
      <w:r>
        <w:t xml:space="preserve"> </w:t>
      </w:r>
      <w:r>
        <w:t xml:space="preserve">The untreated population distribution across eight BP bins ($&lt;$120, 120–129, …, 180+) is obtained for each age–sex–location stratum:</w:t>
      </w:r>
      <w:r>
        <w:t xml:space="preserve"> </w:t>
      </w:r>
      <m:oMath>
        <m:r>
          <m:t>P</m:t>
        </m:r>
        <m:d>
          <m:dPr>
            <m:begChr m:val="("/>
            <m:sepChr m:val=""/>
            <m:endChr m:val=")"/>
            <m:grow/>
          </m:dPr>
          <m:e>
            <m:sSub>
              <m:e>
                <m:r>
                  <m:rPr>
                    <m:nor/>
                    <m:sty m:val="p"/>
                  </m:rPr>
                  <m:t>BP</m:t>
                </m:r>
              </m:e>
              <m:sub>
                <m:r>
                  <m:rPr>
                    <m:nor/>
                    <m:sty m:val="p"/>
                  </m:rPr>
                  <m:t>cat</m:t>
                </m:r>
              </m:sub>
            </m:sSub>
            <m:r>
              <m:rPr>
                <m:sty m:val="p"/>
              </m:rPr>
              <m:t>∣</m:t>
            </m:r>
            <m:r>
              <m:t>a</m:t>
            </m:r>
            <m:r>
              <m:rPr>
                <m:sty m:val="p"/>
              </m:rPr>
              <m:t>,</m:t>
            </m:r>
            <m:r>
              <m:t>s</m:t>
            </m:r>
            <m:r>
              <m:rPr>
                <m:sty m:val="p"/>
              </m:rPr>
              <m:t>,</m:t>
            </m:r>
            <m:r>
              <m:rPr>
                <m:sty m:val="p"/>
              </m:rPr>
              <m:t>ℓ</m:t>
            </m:r>
          </m:e>
        </m:d>
      </m:oMath>
      <w:r>
        <w:t xml:space="preserve">.</w:t>
      </w:r>
    </w:p>
    <w:p>
      <w:pPr>
        <w:pStyle w:val="BodyText"/>
      </w:pPr>
      <w:r>
        <w:rPr>
          <w:b/>
          <w:bCs/>
        </w:rPr>
        <w:t xml:space="preserve">Step 2: Bin-specific baseline incidence via GBD relative risks.</w:t>
      </w:r>
      <w:r>
        <w:t xml:space="preserve"> </w:t>
      </w:r>
      <w:r>
        <w:t xml:space="preserve">GBD relative risks per 10 mmHg SBP increase above the reference ($&lt;$120 mmHg) are applied as a power function of the distance from reference:</w:t>
      </w:r>
    </w:p>
    <w:p>
      <w:pPr>
        <w:pStyle w:val="BodyText"/>
      </w:pPr>
      <m:oMathPara>
        <m:oMathParaPr>
          <m:jc m:val="center"/>
        </m:oMathParaPr>
        <m:oMath>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R</m:t>
          </m:r>
          <m:sSubSup>
            <m:e>
              <m:r>
                <m:t>R</m:t>
              </m:r>
            </m:e>
            <m:sub>
              <m:r>
                <m:rPr>
                  <m:nor/>
                  <m:sty m:val="p"/>
                </m:rPr>
                <m:t>per10</m:t>
              </m:r>
            </m:sub>
            <m:sup>
              <m:d>
                <m:dPr>
                  <m:begChr m:val="("/>
                  <m:sepChr m:val=""/>
                  <m:endChr m:val=")"/>
                  <m:grow/>
                </m:dPr>
                <m:e>
                  <m:sSub>
                    <m:e>
                      <m:r>
                        <m:rPr>
                          <m:nor/>
                          <m:sty m:val="p"/>
                        </m:rPr>
                        <m:t>SBP</m:t>
                      </m:r>
                    </m:e>
                    <m:sub>
                      <m:r>
                        <m:rPr>
                          <m:nor/>
                          <m:sty m:val="p"/>
                        </m:rPr>
                        <m:t>mid</m:t>
                      </m:r>
                    </m:sub>
                  </m:sSub>
                  <m:r>
                    <m:rPr>
                      <m:sty m:val="p"/>
                    </m:rPr>
                    <m:t>−</m:t>
                  </m:r>
                  <m:r>
                    <m:t>120</m:t>
                  </m:r>
                </m:e>
              </m:d>
              <m:r>
                <m:rPr>
                  <m:sty m:val="p"/>
                </m:rPr>
                <m:t>/</m:t>
              </m:r>
              <m:r>
                <m:t>10</m:t>
              </m:r>
            </m:sup>
          </m:sSubSup>
        </m:oMath>
      </m:oMathPara>
    </w:p>
    <w:p>
      <w:pPr>
        <w:pStyle w:val="FirstParagraph"/>
      </w:pPr>
      <w:r>
        <w:t xml:space="preserve">where</w:t>
      </w:r>
      <w:r>
        <w:t xml:space="preserve"> </w:t>
      </w:r>
      <m:oMath>
        <m:sSub>
          <m:e>
            <m:r>
              <m:rPr>
                <m:nor/>
                <m:sty m:val="p"/>
              </m:rPr>
              <m:t>SBP</m:t>
            </m:r>
          </m:e>
          <m:sub>
            <m:r>
              <m:rPr>
                <m:nor/>
                <m:sty m:val="p"/>
              </m:rPr>
              <m:t>mid</m:t>
            </m:r>
          </m:sub>
        </m:sSub>
      </m:oMath>
      <w:r>
        <w:t xml:space="preserve"> </w:t>
      </w:r>
      <w:r>
        <w:t xml:space="preserve">is the midpoint of the BP bin. A normalisation factor anchors bin-level rates to the overall incidence:</w:t>
      </w:r>
    </w:p>
    <w:p>
      <w:pPr>
        <w:pStyle w:val="BodyText"/>
      </w:pPr>
      <m:oMathPara>
        <m:oMathParaPr>
          <m:jc m:val="center"/>
        </m:oMathParaPr>
        <m:oMath>
          <m:sSub>
            <m:e>
              <m:r>
                <m:t>α</m:t>
              </m:r>
            </m:e>
            <m:sub>
              <m:r>
                <m:t>a</m:t>
              </m:r>
              <m:r>
                <m:rPr>
                  <m:sty m:val="p"/>
                </m:rPr>
                <m:t>,</m:t>
              </m:r>
              <m:r>
                <m:t>s</m:t>
              </m:r>
              <m:r>
                <m:rPr>
                  <m:sty m:val="p"/>
                </m:rPr>
                <m:t>,</m:t>
              </m:r>
              <m:r>
                <m:t>c</m:t>
              </m:r>
              <m:r>
                <m:rPr>
                  <m:sty m:val="p"/>
                </m:rPr>
                <m:t>,</m:t>
              </m:r>
              <m:r>
                <m:t>t</m:t>
              </m:r>
            </m:sub>
          </m:sSub>
          <m:r>
            <m:rPr>
              <m:sty m:val="p"/>
            </m:rPr>
            <m:t>=</m:t>
          </m:r>
          <m:nary>
            <m:naryPr>
              <m:chr m:val="∑"/>
              <m:limLoc m:val="undOvr"/>
              <m:subHide m:val="off"/>
              <m:supHide m:val="on"/>
            </m:naryPr>
            <m:sub>
              <m:sSub>
                <m:e>
                  <m:r>
                    <m:rPr>
                      <m:nor/>
                      <m:sty m:val="p"/>
                    </m:rPr>
                    <m:t>BP</m:t>
                  </m:r>
                </m:e>
                <m:sub>
                  <m:r>
                    <m:rPr>
                      <m:nor/>
                      <m:sty m:val="p"/>
                    </m:rPr>
                    <m:t>cat</m:t>
                  </m:r>
                </m:sub>
              </m:sSub>
            </m:sub>
            <m:sup>
              <m:r>
                <m:t>​</m:t>
              </m:r>
            </m:sup>
            <m:e>
              <m:r>
                <m:t>P</m:t>
              </m:r>
            </m:e>
          </m:nary>
          <m:d>
            <m:dPr>
              <m:begChr m:val="("/>
              <m:sepChr m:val=""/>
              <m:endChr m:val=")"/>
              <m:grow/>
            </m:dPr>
            <m:e>
              <m:sSub>
                <m:e>
                  <m:r>
                    <m:rPr>
                      <m:nor/>
                      <m:sty m:val="p"/>
                    </m:rPr>
                    <m:t>BP</m:t>
                  </m:r>
                </m:e>
                <m:sub>
                  <m:r>
                    <m:rPr>
                      <m:nor/>
                      <m:sty m:val="p"/>
                    </m:rPr>
                    <m:t>cat</m:t>
                  </m:r>
                </m:sub>
              </m:sSub>
            </m:e>
          </m:d>
          <m:r>
            <m:rPr>
              <m:sty m:val="p"/>
            </m:rPr>
            <m:t>×</m:t>
          </m:r>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oMath>
      </m:oMathPara>
    </w:p>
    <w:p>
      <w:pPr>
        <w:pStyle w:val="FirstParagraph"/>
      </w:pPr>
      <w:r>
        <w:t xml:space="preserve">Bin-specific incidence is then:</w:t>
      </w:r>
    </w:p>
    <w:p>
      <w:pPr>
        <w:pStyle w:val="BodyText"/>
      </w:pPr>
      <m:oMathPara>
        <m:oMathParaPr>
          <m:jc m:val="center"/>
        </m:oMathParaPr>
        <m:oMath>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f>
            <m:fPr>
              <m:type m:val="bar"/>
            </m:fPr>
            <m:num>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I</m:t>
              </m:r>
              <m:sSub>
                <m:e>
                  <m:r>
                    <m:t>R</m:t>
                  </m:r>
                </m:e>
                <m:sub>
                  <m:r>
                    <m:t>a</m:t>
                  </m:r>
                  <m:r>
                    <m:rPr>
                      <m:sty m:val="p"/>
                    </m:rPr>
                    <m:t>,</m:t>
                  </m:r>
                  <m:r>
                    <m:t>s</m:t>
                  </m:r>
                  <m:r>
                    <m:rPr>
                      <m:sty m:val="p"/>
                    </m:rPr>
                    <m:t>,</m:t>
                  </m:r>
                  <m:r>
                    <m:t>c</m:t>
                  </m:r>
                  <m:r>
                    <m:rPr>
                      <m:sty m:val="p"/>
                    </m:rPr>
                    <m:t>,</m:t>
                  </m:r>
                  <m:r>
                    <m:t>t</m:t>
                  </m:r>
                </m:sub>
              </m:sSub>
            </m:num>
            <m:den>
              <m:sSub>
                <m:e>
                  <m:r>
                    <m:t>α</m:t>
                  </m:r>
                </m:e>
                <m:sub>
                  <m:r>
                    <m:t>a</m:t>
                  </m:r>
                  <m:r>
                    <m:rPr>
                      <m:sty m:val="p"/>
                    </m:rPr>
                    <m:t>,</m:t>
                  </m:r>
                  <m:r>
                    <m:t>s</m:t>
                  </m:r>
                  <m:r>
                    <m:rPr>
                      <m:sty m:val="p"/>
                    </m:rPr>
                    <m:t>,</m:t>
                  </m:r>
                  <m:r>
                    <m:t>c</m:t>
                  </m:r>
                  <m:r>
                    <m:rPr>
                      <m:sty m:val="p"/>
                    </m:rPr>
                    <m:t>,</m:t>
                  </m:r>
                  <m:r>
                    <m:t>t</m:t>
                  </m:r>
                </m:sub>
              </m:sSub>
            </m:den>
          </m:f>
        </m:oMath>
      </m:oMathPara>
    </w:p>
    <w:p>
      <w:pPr>
        <w:pStyle w:val="FirstParagraph"/>
      </w:pPr>
      <w:r>
        <w:rPr>
          <w:b/>
          <w:bCs/>
        </w:rPr>
        <w:t xml:space="preserve">Step 3: Diabetes-weighted Ettehad trial effect sizes.</w:t>
      </w:r>
      <w:r>
        <w:t xml:space="preserve"> </w:t>
      </w:r>
      <w:r>
        <w:t xml:space="preserve">The cumulative BP-reduction effect size for each bin and cause is computed as a diabetes-prevalence-weighted average of Ettehad trial estimates:</w:t>
      </w:r>
    </w:p>
    <w:p>
      <w:pPr>
        <w:pStyle w:val="BodyText"/>
      </w:pPr>
      <m:oMathPara>
        <m:oMathParaPr>
          <m:jc m:val="center"/>
        </m:oMathParaPr>
        <m:oMath>
          <m:sSub>
            <m:e>
              <m:r>
                <m:t>E</m:t>
              </m:r>
            </m:e>
            <m:sub>
              <m:r>
                <m:rPr>
                  <m:nor/>
                  <m:sty m:val="p"/>
                </m:rPr>
                <m:t>trial</m:t>
              </m:r>
            </m:sub>
          </m:sSub>
          <m:d>
            <m:dPr>
              <m:begChr m:val="("/>
              <m:sepChr m:val=""/>
              <m:endChr m:val=")"/>
              <m:grow/>
            </m:dPr>
            <m:e>
              <m:sSub>
                <m:e>
                  <m:r>
                    <m:rPr>
                      <m:nor/>
                      <m:sty m:val="p"/>
                    </m:rPr>
                    <m:t>BP</m:t>
                  </m:r>
                </m:e>
                <m:sub>
                  <m:r>
                    <m:rPr>
                      <m:nor/>
                      <m:sty m:val="p"/>
                    </m:rPr>
                    <m:t>cat</m:t>
                  </m:r>
                </m:sub>
              </m:sSub>
              <m:r>
                <m:rPr>
                  <m:sty m:val="p"/>
                </m:rPr>
                <m:t>,</m:t>
              </m:r>
              <m:r>
                <m:t>c</m:t>
              </m:r>
            </m:e>
          </m:d>
          <m:r>
            <m:rPr>
              <m:sty m:val="p"/>
            </m:rPr>
            <m:t>=</m:t>
          </m:r>
          <m:d>
            <m:dPr>
              <m:begChr m:val="("/>
              <m:sepChr m:val=""/>
              <m:endChr m:val=")"/>
              <m:grow/>
            </m:dPr>
            <m:e>
              <m:r>
                <m:t>1</m:t>
              </m:r>
              <m:r>
                <m:rPr>
                  <m:sty m:val="p"/>
                </m:rPr>
                <m:t>−</m:t>
              </m:r>
              <m:sSub>
                <m:e>
                  <m:r>
                    <m:t>w</m:t>
                  </m:r>
                </m:e>
                <m:sub>
                  <m:r>
                    <m:rPr>
                      <m:nor/>
                      <m:sty m:val="p"/>
                    </m:rPr>
                    <m:t>DM</m:t>
                  </m:r>
                </m:sub>
              </m:sSub>
            </m:e>
          </m:d>
          <m:r>
            <m:rPr>
              <m:sty m:val="p"/>
            </m:rPr>
            <m:t>×</m:t>
          </m:r>
          <m:sSub>
            <m:e>
              <m:r>
                <m:t>E</m:t>
              </m:r>
            </m:e>
            <m:sub>
              <m:r>
                <m:rPr>
                  <m:nor/>
                  <m:sty m:val="p"/>
                </m:rPr>
                <m:t>noDM</m:t>
              </m:r>
            </m:sub>
          </m:sSub>
          <m:d>
            <m:dPr>
              <m:begChr m:val="("/>
              <m:sepChr m:val=""/>
              <m:endChr m:val=")"/>
              <m:grow/>
            </m:dPr>
            <m:e>
              <m:sSub>
                <m:e>
                  <m:r>
                    <m:rPr>
                      <m:nor/>
                      <m:sty m:val="p"/>
                    </m:rPr>
                    <m:t>BP</m:t>
                  </m:r>
                </m:e>
                <m:sub>
                  <m:r>
                    <m:rPr>
                      <m:nor/>
                      <m:sty m:val="p"/>
                    </m:rPr>
                    <m:t>cat</m:t>
                  </m:r>
                </m:sub>
              </m:sSub>
              <m:r>
                <m:rPr>
                  <m:sty m:val="p"/>
                </m:rPr>
                <m:t>,</m:t>
              </m:r>
              <m:r>
                <m:t>c</m:t>
              </m:r>
            </m:e>
          </m:d>
          <m:r>
            <m:rPr>
              <m:sty m:val="p"/>
            </m:rPr>
            <m:t>+</m:t>
          </m:r>
          <m:sSub>
            <m:e>
              <m:r>
                <m:t>w</m:t>
              </m:r>
            </m:e>
            <m:sub>
              <m:r>
                <m:rPr>
                  <m:nor/>
                  <m:sty m:val="p"/>
                </m:rPr>
                <m:t>DM</m:t>
              </m:r>
            </m:sub>
          </m:sSub>
          <m:r>
            <m:rPr>
              <m:sty m:val="p"/>
            </m:rPr>
            <m:t>×</m:t>
          </m:r>
          <m:sSub>
            <m:e>
              <m:r>
                <m:t>E</m:t>
              </m:r>
            </m:e>
            <m:sub>
              <m:r>
                <m:rPr>
                  <m:nor/>
                  <m:sty m:val="p"/>
                </m:rPr>
                <m:t>DM</m:t>
              </m:r>
            </m:sub>
          </m:sSub>
          <m:d>
            <m:dPr>
              <m:begChr m:val="("/>
              <m:sepChr m:val=""/>
              <m:endChr m:val=")"/>
              <m:grow/>
            </m:dPr>
            <m:e>
              <m:sSub>
                <m:e>
                  <m:r>
                    <m:rPr>
                      <m:nor/>
                      <m:sty m:val="p"/>
                    </m:rPr>
                    <m:t>BP</m:t>
                  </m:r>
                </m:e>
                <m:sub>
                  <m:r>
                    <m:rPr>
                      <m:nor/>
                      <m:sty m:val="p"/>
                    </m:rPr>
                    <m:t>cat</m:t>
                  </m:r>
                </m:sub>
              </m:sSub>
              <m:r>
                <m:rPr>
                  <m:sty m:val="p"/>
                </m:rPr>
                <m:t>,</m:t>
              </m:r>
              <m:r>
                <m:t>c</m:t>
              </m:r>
            </m:e>
          </m:d>
        </m:oMath>
      </m:oMathPara>
    </w:p>
    <w:p>
      <w:pPr>
        <w:pStyle w:val="FirstParagraph"/>
      </w:pPr>
      <w:r>
        <w:t xml:space="preserve">where</w:t>
      </w:r>
      <w:r>
        <w:t xml:space="preserve"> </w:t>
      </w:r>
      <m:oMath>
        <m:sSub>
          <m:e>
            <m:r>
              <m:t>w</m:t>
            </m:r>
          </m:e>
          <m:sub>
            <m:r>
              <m:rPr>
                <m:nor/>
                <m:sty m:val="p"/>
              </m:rPr>
              <m:t>DM</m:t>
            </m:r>
          </m:sub>
        </m:sSub>
      </m:oMath>
      <w:r>
        <w:t xml:space="preserve"> </w:t>
      </w:r>
      <w:r>
        <w:t xml:space="preserve">is the country-specific diabetes prevalence and</w:t>
      </w:r>
      <w:r>
        <w:t xml:space="preserve"> </w:t>
      </w:r>
      <m:oMath>
        <m:sSub>
          <m:e>
            <m:r>
              <m:t>E</m:t>
            </m:r>
          </m:e>
          <m:sub>
            <m:r>
              <m:rPr>
                <m:nor/>
                <m:sty m:val="p"/>
              </m:rPr>
              <m:t>noDM</m:t>
            </m:r>
          </m:sub>
        </m:sSub>
      </m:oMath>
      <w:r>
        <w:t xml:space="preserve">,</w:t>
      </w:r>
      <w:r>
        <w:t xml:space="preserve"> </w:t>
      </w:r>
      <m:oMath>
        <m:sSub>
          <m:e>
            <m:r>
              <m:t>E</m:t>
            </m:r>
          </m:e>
          <m:sub>
            <m:r>
              <m:rPr>
                <m:nor/>
                <m:sty m:val="p"/>
              </m:rPr>
              <m:t>DM</m:t>
            </m:r>
          </m:sub>
        </m:sSub>
      </m:oMath>
      <w:r>
        <w:t xml:space="preserve"> </w:t>
      </w:r>
      <w:r>
        <w:t xml:space="preserve">are cumulative bin-specific effect sizes from the Ettehad meta-analysis for non-diabetic and diabetic populations respectively.</w:t>
      </w:r>
    </w:p>
    <w:p>
      <w:pPr>
        <w:pStyle w:val="BodyText"/>
      </w:pPr>
      <w:r>
        <w:rPr>
          <w:b/>
          <w:bCs/>
        </w:rPr>
        <w:t xml:space="preserve">Step 4–5: Coverage-adjusted effect sizes.</w:t>
      </w:r>
      <w:r>
        <w:t xml:space="preserve"> </w:t>
      </w:r>
      <w:r>
        <w:t xml:space="preserve">The trial effect size is adjusted by the incremental coverage above baseline:</w:t>
      </w:r>
    </w:p>
    <w:p>
      <w:pPr>
        <w:pStyle w:val="BodyText"/>
      </w:pPr>
      <m:oMathPara>
        <m:oMathParaPr>
          <m:jc m:val="center"/>
        </m:oMathParaPr>
        <m:oMath>
          <m:sSub>
            <m:e>
              <m:r>
                <m:t>E</m:t>
              </m:r>
            </m:e>
            <m:sub>
              <m:r>
                <m:rPr>
                  <m:nor/>
                  <m:sty m:val="p"/>
                </m:rPr>
                <m:t>adj</m:t>
              </m:r>
            </m:sub>
          </m:sSub>
          <m:d>
            <m:dPr>
              <m:begChr m:val="("/>
              <m:sepChr m:val=""/>
              <m:endChr m:val=")"/>
              <m:grow/>
            </m:dPr>
            <m:e>
              <m:r>
                <m:t>t</m:t>
              </m:r>
            </m:e>
          </m:d>
          <m:r>
            <m:rPr>
              <m:sty m:val="p"/>
            </m:rPr>
            <m:t>=</m:t>
          </m:r>
          <m:f>
            <m:fPr>
              <m:type m:val="bar"/>
            </m:fPr>
            <m:num>
              <m:sSub>
                <m:e>
                  <m:r>
                    <m:t>E</m:t>
                  </m:r>
                </m:e>
                <m:sub>
                  <m:r>
                    <m:rPr>
                      <m:nor/>
                      <m:sty m:val="p"/>
                    </m:rPr>
                    <m:t>trial</m:t>
                  </m:r>
                </m:sub>
              </m:sSub>
              <m:r>
                <m:rPr>
                  <m:sty m:val="p"/>
                </m:rPr>
                <m:t>×</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e>
              </m:d>
            </m:num>
            <m:den>
              <m:r>
                <m:t>1</m:t>
              </m:r>
              <m:r>
                <m:rPr>
                  <m:sty m:val="p"/>
                </m:rPr>
                <m:t>−</m:t>
              </m:r>
              <m:sSub>
                <m:e>
                  <m:r>
                    <m:t>E</m:t>
                  </m:r>
                </m:e>
                <m:sub>
                  <m:r>
                    <m:rPr>
                      <m:nor/>
                      <m:sty m:val="p"/>
                    </m:rPr>
                    <m:t>trial</m:t>
                  </m:r>
                </m:sub>
              </m:sSub>
              <m:r>
                <m:rPr>
                  <m:sty m:val="p"/>
                </m:rPr>
                <m:t>×</m:t>
              </m:r>
              <m:sSub>
                <m:e>
                  <m:r>
                    <m:t>C</m:t>
                  </m:r>
                </m:e>
                <m:sub>
                  <m:r>
                    <m:t>0</m:t>
                  </m:r>
                </m:sub>
              </m:sSub>
            </m:den>
          </m:f>
        </m:oMath>
      </m:oMathPara>
    </w:p>
    <w:p>
      <w:pPr>
        <w:pStyle w:val="FirstParagraph"/>
      </w:pPr>
      <w:r>
        <w:t xml:space="preserve">When</w:t>
      </w:r>
      <w:r>
        <w:t xml:space="preserve"> </w:t>
      </w:r>
      <m:oMath>
        <m:sSub>
          <m:e>
            <m:r>
              <m:t>C</m:t>
            </m:r>
          </m:e>
          <m:sub>
            <m:r>
              <m:t>0</m:t>
            </m:r>
          </m:sub>
        </m:sSub>
        <m:r>
          <m:rPr>
            <m:sty m:val="p"/>
          </m:rPr>
          <m:t>=</m:t>
        </m:r>
        <m:r>
          <m:t>0</m:t>
        </m:r>
      </m:oMath>
      <w:r>
        <w:t xml:space="preserve"> </w:t>
      </w:r>
      <w:r>
        <w:t xml:space="preserve">(no prior treatment), this simplifies to</w:t>
      </w:r>
      <w:r>
        <w:t xml:space="preserve"> </w:t>
      </w:r>
      <m:oMath>
        <m:sSub>
          <m:e>
            <m:r>
              <m:t>E</m:t>
            </m:r>
          </m:e>
          <m:sub>
            <m:r>
              <m:rPr>
                <m:nor/>
                <m:sty m:val="p"/>
              </m:rPr>
              <m:t>adj</m:t>
            </m:r>
          </m:sub>
        </m:sSub>
        <m:d>
          <m:dPr>
            <m:begChr m:val="("/>
            <m:sepChr m:val=""/>
            <m:endChr m:val=")"/>
            <m:grow/>
          </m:dPr>
          <m:e>
            <m:r>
              <m:t>t</m:t>
            </m:r>
          </m:e>
        </m:d>
        <m:r>
          <m:rPr>
            <m:sty m:val="p"/>
          </m:rPr>
          <m:t>=</m:t>
        </m:r>
        <m:sSub>
          <m:e>
            <m:r>
              <m:t>E</m:t>
            </m:r>
          </m:e>
          <m:sub>
            <m:r>
              <m:rPr>
                <m:nor/>
                <m:sty m:val="p"/>
              </m:rPr>
              <m:t>trial</m:t>
            </m:r>
          </m:sub>
        </m:sSub>
        <m:r>
          <m:rPr>
            <m:sty m:val="p"/>
          </m:rPr>
          <m:t>×</m:t>
        </m:r>
        <m:sSub>
          <m:e>
            <m:r>
              <m:t>C</m:t>
            </m:r>
          </m:e>
          <m:sub>
            <m:r>
              <m:t>t</m:t>
            </m:r>
          </m:sub>
        </m:sSub>
        <m:d>
          <m:dPr>
            <m:begChr m:val="("/>
            <m:sepChr m:val=""/>
            <m:endChr m:val=")"/>
            <m:grow/>
          </m:dPr>
          <m:e>
            <m:r>
              <m:t>t</m:t>
            </m:r>
          </m:e>
        </m:d>
      </m:oMath>
      <w:r>
        <w:t xml:space="preserve">.</w:t>
      </w:r>
    </w:p>
    <w:p>
      <w:pPr>
        <w:pStyle w:val="BodyText"/>
      </w:pPr>
      <w:r>
        <w:rPr>
          <w:b/>
          <w:bCs/>
        </w:rPr>
        <w:t xml:space="preserve">Step 6: New bin-specific incidence.</w:t>
      </w:r>
    </w:p>
    <w:p>
      <w:pPr>
        <w:pStyle w:val="BodyText"/>
      </w:pPr>
      <m:oMathPara>
        <m:oMathParaPr>
          <m:jc m:val="center"/>
        </m:oMathParaPr>
        <m:oMath>
          <m:r>
            <m:t>I</m:t>
          </m:r>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d>
            <m:dPr>
              <m:begChr m:val="["/>
              <m:sepChr m:val=""/>
              <m:endChr m:val="]"/>
              <m:grow/>
            </m:dPr>
            <m:e>
              <m:r>
                <m:t>1</m:t>
              </m:r>
              <m:r>
                <m:rPr>
                  <m:sty m:val="p"/>
                </m:rPr>
                <m:t>−</m:t>
              </m:r>
              <m:sSub>
                <m:e>
                  <m:r>
                    <m:t>E</m:t>
                  </m:r>
                </m:e>
                <m:sub>
                  <m:r>
                    <m:rPr>
                      <m:nor/>
                      <m:sty m:val="p"/>
                    </m:rPr>
                    <m:t>adj</m:t>
                  </m:r>
                </m:sub>
              </m:sSub>
              <m:d>
                <m:dPr>
                  <m:begChr m:val="("/>
                  <m:sepChr m:val=""/>
                  <m:endChr m:val=")"/>
                  <m:grow/>
                </m:dPr>
                <m:e>
                  <m:r>
                    <m:t>t</m:t>
                  </m:r>
                  <m:r>
                    <m:rPr>
                      <m:sty m:val="p"/>
                    </m:rPr>
                    <m:t>,</m:t>
                  </m:r>
                  <m:sSub>
                    <m:e>
                      <m:r>
                        <m:rPr>
                          <m:nor/>
                          <m:sty m:val="p"/>
                        </m:rPr>
                        <m:t>BP</m:t>
                      </m:r>
                    </m:e>
                    <m:sub>
                      <m:r>
                        <m:rPr>
                          <m:nor/>
                          <m:sty m:val="p"/>
                        </m:rPr>
                        <m:t>cat</m:t>
                      </m:r>
                    </m:sub>
                  </m:sSub>
                  <m:r>
                    <m:rPr>
                      <m:sty m:val="p"/>
                    </m:rPr>
                    <m:t>,</m:t>
                  </m:r>
                  <m:r>
                    <m:t>c</m:t>
                  </m:r>
                </m:e>
              </m:d>
            </m:e>
          </m:d>
        </m:oMath>
      </m:oMathPara>
    </w:p>
    <w:p>
      <w:pPr>
        <w:pStyle w:val="FirstParagraph"/>
      </w:pPr>
      <w:r>
        <w:rPr>
          <w:b/>
          <w:bCs/>
        </w:rPr>
        <w:t xml:space="preserve">Step 7: Population-weighted aggregate incidence.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nary>
            <m:naryPr>
              <m:chr m:val="∑"/>
              <m:limLoc m:val="undOvr"/>
              <m:subHide m:val="off"/>
              <m:supHide m:val="on"/>
            </m:naryPr>
            <m:sub>
              <m:sSub>
                <m:e>
                  <m:r>
                    <m:rPr>
                      <m:nor/>
                      <m:sty m:val="p"/>
                    </m:rPr>
                    <m:t>BP</m:t>
                  </m:r>
                </m:e>
                <m:sub>
                  <m:r>
                    <m:rPr>
                      <m:nor/>
                      <m:sty m:val="p"/>
                    </m:rPr>
                    <m:t>cat</m:t>
                  </m:r>
                </m:sub>
              </m:sSub>
            </m:sub>
            <m:sup>
              <m:r>
                <m:t>​</m:t>
              </m:r>
            </m:sup>
            <m:e>
              <m:r>
                <m:t>I</m:t>
              </m:r>
            </m:e>
          </m:nary>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P</m:t>
          </m:r>
          <m:d>
            <m:dPr>
              <m:begChr m:val="("/>
              <m:sepChr m:val=""/>
              <m:endChr m:val=")"/>
              <m:grow/>
            </m:dPr>
            <m:e>
              <m:sSub>
                <m:e>
                  <m:r>
                    <m:rPr>
                      <m:nor/>
                      <m:sty m:val="p"/>
                    </m:rPr>
                    <m:t>BP</m:t>
                  </m:r>
                </m:e>
                <m:sub>
                  <m:r>
                    <m:rPr>
                      <m:nor/>
                      <m:sty m:val="p"/>
                    </m:rPr>
                    <m:t>cat</m:t>
                  </m:r>
                </m:sub>
              </m:sSub>
            </m:e>
          </m:d>
        </m:oMath>
      </m:oMathPara>
    </w:p>
    <w:p>
      <w:pPr>
        <w:pStyle w:val="FirstParagraph"/>
      </w:pPr>
      <w:r>
        <w:rPr>
          <w:b/>
          <w:bCs/>
        </w:rPr>
        <w:t xml:space="preserve">Step 8: Incidence effect ratio.</w:t>
      </w:r>
    </w:p>
    <w:p>
      <w:pPr>
        <w:pStyle w:val="BodyText"/>
      </w:pPr>
      <m:oMathPara>
        <m:oMathParaPr>
          <m:jc m:val="center"/>
        </m:oMathParaPr>
        <m:oMath>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f>
            <m:fPr>
              <m:type m:val="bar"/>
            </m:fPr>
            <m:num>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num>
            <m:den>
              <m:r>
                <m:t>I</m:t>
              </m:r>
              <m:sSub>
                <m:e>
                  <m:r>
                    <m:t>R</m:t>
                  </m:r>
                </m:e>
                <m:sub>
                  <m:r>
                    <m:rPr>
                      <m:nor/>
                      <m:sty m:val="p"/>
                    </m:rPr>
                    <m:t>original</m:t>
                  </m:r>
                </m:sub>
              </m:sSub>
              <m:d>
                <m:dPr>
                  <m:begChr m:val="("/>
                  <m:sepChr m:val=""/>
                  <m:endChr m:val=")"/>
                  <m:grow/>
                </m:dPr>
                <m:e>
                  <m:r>
                    <m:t>a</m:t>
                  </m:r>
                  <m:r>
                    <m:rPr>
                      <m:sty m:val="p"/>
                    </m:rPr>
                    <m:t>,</m:t>
                  </m:r>
                  <m:r>
                    <m:t>s</m:t>
                  </m:r>
                  <m:r>
                    <m:rPr>
                      <m:sty m:val="p"/>
                    </m:rPr>
                    <m:t>,</m:t>
                  </m:r>
                  <m:r>
                    <m:t>c</m:t>
                  </m:r>
                  <m:r>
                    <m:rPr>
                      <m:sty m:val="p"/>
                    </m:rPr>
                    <m:t>,</m:t>
                  </m:r>
                  <m:r>
                    <m:t>t</m:t>
                  </m:r>
                </m:e>
              </m:d>
            </m:den>
          </m:f>
        </m:oMath>
      </m:oMathPara>
    </w:p>
    <w:p>
      <w:pPr>
        <w:pStyle w:val="FirstParagraph"/>
      </w:pPr>
      <w:r>
        <w:t xml:space="preserve">Values of</w:t>
      </w:r>
      <w:r>
        <w:t xml:space="preserve"> </w:t>
      </w:r>
      <m:oMath>
        <m:sSub>
          <m:e>
            <m:r>
              <m:t>ε</m:t>
            </m:r>
          </m:e>
          <m:sub>
            <m:r>
              <m:t>I</m:t>
            </m:r>
            <m:r>
              <m:t>R</m:t>
            </m:r>
            <m:r>
              <m:rPr>
                <m:sty m:val="p"/>
              </m:rPr>
              <m:t>,</m:t>
            </m:r>
            <m:r>
              <m:rPr>
                <m:nor/>
                <m:sty m:val="p"/>
              </m:rPr>
              <m:t>BP</m:t>
            </m:r>
          </m:sub>
        </m:sSub>
        <m:r>
          <m:rPr>
            <m:sty m:val="p"/>
          </m:rPr>
          <m:t>&lt;</m:t>
        </m:r>
        <m:r>
          <m:t>1</m:t>
        </m:r>
      </m:oMath>
      <w:r>
        <w:t xml:space="preserve"> </w:t>
      </w:r>
      <w:r>
        <w:t xml:space="preserve">indicate reductions in disease incidence attributable to the intervention.</w:t>
      </w:r>
    </w:p>
    <w:p>
      <w:pPr>
        <w:pStyle w:val="BodyText"/>
      </w:pPr>
      <w:r>
        <w:rPr>
          <w:b/>
          <w:bCs/>
        </w:rPr>
        <w:t xml:space="preserve">Step 9: Case-fatality effect ratio.</w:t>
      </w:r>
      <w:r>
        <w:t xml:space="preserve"> </w:t>
      </w:r>
      <w:r>
        <w:t xml:space="preserve">Case fatality reductions are computed from the</w:t>
      </w:r>
      <w:r>
        <w:t xml:space="preserve"> </w:t>
      </w:r>
      <w:r>
        <w:rPr>
          <w:i/>
          <w:iCs/>
        </w:rPr>
        <w:t xml:space="preserve">incremental</w:t>
      </w:r>
      <w:r>
        <w:t xml:space="preserve"> </w:t>
      </w:r>
      <w:r>
        <w:t xml:space="preserve">aggregate coverage across hypertensive bins, preventing double-counting of baseline treatment effects:</w:t>
      </w:r>
    </w:p>
    <w:p>
      <w:pPr>
        <w:pStyle w:val="BodyText"/>
      </w:pPr>
      <m:oMathPara>
        <m:oMathParaPr>
          <m:jc m:val="center"/>
        </m:oMathParaPr>
        <m:oMath>
          <m:r>
            <m:t>Δ</m:t>
          </m:r>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rPr>
              <m:sty m:val="p"/>
            </m:rPr>
            <m:t>max</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r>
                <m:rPr>
                  <m:sty m:val="p"/>
                </m:rPr>
                <m:t>,</m:t>
              </m:r>
              <m:r>
                <m:t>0</m:t>
              </m:r>
            </m:e>
          </m:d>
        </m:oMath>
      </m:oMathPara>
    </w:p>
    <w:p>
      <w:pPr>
        <w:pStyle w:val="FirstParagraph"/>
      </w:pPr>
      <m:oMathPara>
        <m:oMathParaPr>
          <m:jc m:val="center"/>
        </m:oMathParaPr>
        <m:oMath>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r>
            <m:rPr>
              <m:sty m:val="p"/>
            </m:rPr>
            <m:t>=</m:t>
          </m:r>
          <m:f>
            <m:fPr>
              <m:type m:val="bar"/>
            </m:fPr>
            <m:num>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Δ</m:t>
                  </m:r>
                </m:e>
              </m:nary>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t>P</m:t>
              </m:r>
              <m:d>
                <m:dPr>
                  <m:begChr m:val="("/>
                  <m:sepChr m:val=""/>
                  <m:endChr m:val=")"/>
                  <m:grow/>
                </m:dPr>
                <m:e>
                  <m:sSub>
                    <m:e>
                      <m:r>
                        <m:rPr>
                          <m:nor/>
                          <m:sty m:val="p"/>
                        </m:rPr>
                        <m:t>BP</m:t>
                      </m:r>
                    </m:e>
                    <m:sub>
                      <m:r>
                        <m:rPr>
                          <m:nor/>
                          <m:sty m:val="p"/>
                        </m:rPr>
                        <m:t>cat</m:t>
                      </m:r>
                    </m:sub>
                  </m:sSub>
                </m:e>
              </m:d>
            </m:num>
            <m:den>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P</m:t>
                  </m:r>
                </m:e>
              </m:nary>
              <m:d>
                <m:dPr>
                  <m:begChr m:val="("/>
                  <m:sepChr m:val=""/>
                  <m:endChr m:val=")"/>
                  <m:grow/>
                </m:dPr>
                <m:e>
                  <m:sSub>
                    <m:e>
                      <m:r>
                        <m:rPr>
                          <m:nor/>
                          <m:sty m:val="p"/>
                        </m:rPr>
                        <m:t>BP</m:t>
                      </m:r>
                    </m:e>
                    <m:sub>
                      <m:r>
                        <m:rPr>
                          <m:nor/>
                          <m:sty m:val="p"/>
                        </m:rPr>
                        <m:t>cat</m:t>
                      </m:r>
                    </m:sub>
                  </m:sSub>
                </m:e>
              </m:d>
            </m:den>
          </m:f>
        </m:oMath>
      </m:oMathPara>
    </w:p>
    <w:p>
      <w:pPr>
        <w:pStyle w:val="FirstParagraph"/>
      </w:pPr>
      <w:r>
        <w:t xml:space="preserve">where the summation is restricted to hypertensive bins (BP</w:t>
      </w:r>
      <w:r>
        <w:t xml:space="preserve"> </w:t>
      </w:r>
      <m:oMath>
        <m:r>
          <m:rPr>
            <m:sty m:val="p"/>
          </m:rPr>
          <m:t>≥</m:t>
        </m:r>
      </m:oMath>
      <w:r>
        <w:t xml:space="preserve"> </w:t>
      </w:r>
      <w:r>
        <w:t xml:space="preserve">140 mmHg). The case-fatality effect ratio is:</w:t>
      </w:r>
    </w:p>
    <w:p>
      <w:pPr>
        <w:pStyle w:val="BodyText"/>
      </w:pPr>
      <m:oMathPara>
        <m:oMathParaPr>
          <m:jc m:val="center"/>
        </m:oMathParaPr>
        <m:oMath>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r>
            <m:t>1</m:t>
          </m:r>
          <m:r>
            <m:rPr>
              <m:sty m:val="p"/>
            </m:rPr>
            <m:t>−</m:t>
          </m:r>
          <m:sSub>
            <m:e>
              <m:r>
                <m:t>ρ</m:t>
              </m:r>
            </m:e>
            <m:sub>
              <m:r>
                <m:t>C</m:t>
              </m:r>
              <m:r>
                <m:t>F</m:t>
              </m:r>
              <m:r>
                <m:rPr>
                  <m:sty m:val="p"/>
                </m:rPr>
                <m:t>,</m:t>
              </m:r>
              <m:r>
                <m:t>c</m:t>
              </m:r>
            </m:sub>
          </m:sSub>
          <m:r>
            <m:rPr>
              <m:sty m:val="p"/>
            </m:rPr>
            <m:t>×</m:t>
          </m:r>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where the cause-specific CF reduction factors are:</w:t>
      </w:r>
      <w:r>
        <w:t xml:space="preserve"> </w:t>
      </w:r>
      <m:oMath>
        <m:sSub>
          <m:e>
            <m:r>
              <m:t>ρ</m:t>
            </m:r>
          </m:e>
          <m:sub>
            <m:r>
              <m:t>C</m:t>
            </m:r>
            <m:r>
              <m:t>F</m:t>
            </m:r>
            <m:r>
              <m:rPr>
                <m:sty m:val="p"/>
              </m:rPr>
              <m:t>,</m:t>
            </m:r>
            <m:r>
              <m:rPr>
                <m:nor/>
                <m:sty m:val="p"/>
              </m:rPr>
              <m:t>IHD</m:t>
            </m:r>
          </m:sub>
        </m:sSub>
        <m:r>
          <m:rPr>
            <m:sty m:val="p"/>
          </m:rPr>
          <m:t>=</m:t>
        </m:r>
        <m:r>
          <m:t>0.24</m:t>
        </m:r>
      </m:oMath>
      <w:r>
        <w:t xml:space="preserve">,</w:t>
      </w:r>
      <w:r>
        <w:t xml:space="preserve"> </w:t>
      </w:r>
      <m:oMath>
        <m:sSub>
          <m:e>
            <m:r>
              <m:t>ρ</m:t>
            </m:r>
          </m:e>
          <m:sub>
            <m:r>
              <m:t>C</m:t>
            </m:r>
            <m:r>
              <m:t>F</m:t>
            </m:r>
            <m:r>
              <m:rPr>
                <m:sty m:val="p"/>
              </m:rPr>
              <m:t>,</m:t>
            </m:r>
            <m:r>
              <m:rPr>
                <m:nor/>
                <m:sty m:val="p"/>
              </m:rPr>
              <m:t>IS</m:t>
            </m:r>
          </m:sub>
        </m:sSub>
        <m:r>
          <m:rPr>
            <m:sty m:val="p"/>
          </m:rPr>
          <m:t>=</m:t>
        </m:r>
        <m:r>
          <m:t>0.36</m:t>
        </m:r>
      </m:oMath>
      <w:r>
        <w:t xml:space="preserve">,</w:t>
      </w:r>
      <w:r>
        <w:t xml:space="preserve"> </w:t>
      </w:r>
      <m:oMath>
        <m:sSub>
          <m:e>
            <m:r>
              <m:t>ρ</m:t>
            </m:r>
          </m:e>
          <m:sub>
            <m:r>
              <m:t>C</m:t>
            </m:r>
            <m:r>
              <m:t>F</m:t>
            </m:r>
            <m:r>
              <m:rPr>
                <m:sty m:val="p"/>
              </m:rPr>
              <m:t>,</m:t>
            </m:r>
            <m:r>
              <m:rPr>
                <m:nor/>
                <m:sty m:val="p"/>
              </m:rPr>
              <m:t>HS</m:t>
            </m:r>
          </m:sub>
        </m:sSub>
        <m:r>
          <m:rPr>
            <m:sty m:val="p"/>
          </m:rPr>
          <m:t>=</m:t>
        </m:r>
        <m:r>
          <m:t>0.76</m:t>
        </m:r>
      </m:oMath>
      <w:r>
        <w:t xml:space="preserve">,</w:t>
      </w:r>
      <w:r>
        <w:t xml:space="preserve"> </w:t>
      </w:r>
      <m:oMath>
        <m:sSub>
          <m:e>
            <m:r>
              <m:t>ρ</m:t>
            </m:r>
          </m:e>
          <m:sub>
            <m:r>
              <m:t>C</m:t>
            </m:r>
            <m:r>
              <m:t>F</m:t>
            </m:r>
            <m:r>
              <m:rPr>
                <m:sty m:val="p"/>
              </m:rPr>
              <m:t>,</m:t>
            </m:r>
            <m:r>
              <m:rPr>
                <m:nor/>
                <m:sty m:val="p"/>
              </m:rPr>
              <m:t>HHD</m:t>
            </m:r>
          </m:sub>
        </m:sSub>
        <m:r>
          <m:rPr>
            <m:sty m:val="p"/>
          </m:rPr>
          <m:t>=</m:t>
        </m:r>
        <m:r>
          <m:t>0.20</m:t>
        </m:r>
      </m:oMath>
      <w:r>
        <w:t xml:space="preserve">.</w:t>
      </w:r>
    </w:p>
    <w:p>
      <w:pPr>
        <w:pStyle w:val="BodyText"/>
      </w:pPr>
      <w:r>
        <w:rPr>
          <w:b/>
          <w:bCs/>
        </w:rPr>
        <w:t xml:space="preserve">Step 10.</w:t>
      </w:r>
      <w:r>
        <w:t xml:space="preserve"> </w:t>
      </w:r>
      <w:r>
        <w:t xml:space="preserve">The final output collapses across BP bins, retaining only the aggregate</w:t>
      </w:r>
      <w:r>
        <w:t xml:space="preserve"> </w:t>
      </w:r>
      <m:oMath>
        <m:r>
          <m:t>I</m:t>
        </m:r>
        <m:sSub>
          <m:e>
            <m:r>
              <m:t>R</m:t>
            </m:r>
          </m:e>
          <m:sub>
            <m:r>
              <m:rPr>
                <m:nor/>
                <m:sty m:val="p"/>
              </m:rPr>
              <m:t>new</m:t>
            </m:r>
          </m:sub>
        </m:sSub>
      </m:oMath>
      <w:r>
        <w:t xml:space="preserve">,</w:t>
      </w:r>
      <w:r>
        <w:t xml:space="preserve"> </w:t>
      </w:r>
      <m:oMath>
        <m:r>
          <m:t>C</m:t>
        </m:r>
        <m:sSub>
          <m:e>
            <m:r>
              <m:t>F</m:t>
            </m:r>
          </m:e>
          <m:sub>
            <m:r>
              <m:rPr>
                <m:nor/>
                <m:sty m:val="p"/>
              </m:rPr>
              <m:t>new</m:t>
            </m:r>
          </m:sub>
        </m:sSub>
      </m:oMath>
      <w:r>
        <w:t xml:space="preserve">,</w:t>
      </w:r>
      <w:r>
        <w:t xml:space="preserve"> </w:t>
      </w:r>
      <m:oMath>
        <m:sSub>
          <m:e>
            <m:r>
              <m:t>ε</m:t>
            </m:r>
          </m:e>
          <m:sub>
            <m:r>
              <m:t>I</m:t>
            </m:r>
            <m:r>
              <m:t>R</m:t>
            </m:r>
            <m:r>
              <m:rPr>
                <m:sty m:val="p"/>
              </m:rPr>
              <m:t>,</m:t>
            </m:r>
            <m:r>
              <m:rPr>
                <m:nor/>
                <m:sty m:val="p"/>
              </m:rPr>
              <m:t>BP</m:t>
            </m:r>
          </m:sub>
        </m:sSub>
      </m:oMath>
      <w:r>
        <w:t xml:space="preserve">, and</w:t>
      </w:r>
      <w:r>
        <w:t xml:space="preserve"> </w:t>
      </w:r>
      <m:oMath>
        <m:sSub>
          <m:e>
            <m:r>
              <m:t>ε</m:t>
            </m:r>
          </m:e>
          <m:sub>
            <m:r>
              <m:t>C</m:t>
            </m:r>
            <m:r>
              <m:t>F</m:t>
            </m:r>
            <m:r>
              <m:rPr>
                <m:sty m:val="p"/>
              </m:rPr>
              <m:t>,</m:t>
            </m:r>
            <m:r>
              <m:rPr>
                <m:nor/>
                <m:sty m:val="p"/>
              </m:rPr>
              <m:t>BP</m:t>
            </m:r>
          </m:sub>
        </m:sSub>
      </m:oMath>
      <w:r>
        <w:t xml:space="preserve"> </w:t>
      </w:r>
      <w:r>
        <w:t xml:space="preserve">per age–sex–cause–year stratum.</w:t>
      </w:r>
    </w:p>
    <w:p>
      <w:pPr>
        <w:pStyle w:val="BodyText"/>
      </w:pPr>
      <w:r>
        <w:t xml:space="preserve">(See Multi-State Transition Model for the baseline transition structure into which these effect ratios enter; see Key Parameter Appendix for all intervention effect sizes and their sources.)</w:t>
      </w:r>
    </w:p>
    <w:bookmarkStart w:id="170" w:name="sec:htn-diabetes"/>
    <w:p>
      <w:pPr>
        <w:pStyle w:val="Heading4"/>
      </w:pPr>
      <w:r>
        <w:rPr>
          <w:rStyle w:val="SectionNumber"/>
        </w:rPr>
        <w:t xml:space="preserve">10.3.4.1</w:t>
      </w:r>
      <w:r>
        <w:tab/>
      </w:r>
      <w:r>
        <w:t xml:space="preserve">Diabetes Component</w:t>
      </w:r>
    </w:p>
    <w:p>
      <w:pPr>
        <w:pStyle w:val="FirstParagraph"/>
      </w:pPr>
      <w:r>
        <w:t xml:space="preserve">The diabetes-specific hypertension control intervention applies the same pipeline as the general-population intervention with three key modifications:</w:t>
      </w:r>
    </w:p>
    <w:p>
      <w:pPr>
        <w:numPr>
          <w:ilvl w:val="0"/>
          <w:numId w:val="1003"/>
        </w:numPr>
      </w:pPr>
      <w:r>
        <w:rPr>
          <w:b/>
          <w:bCs/>
        </w:rPr>
        <w:t xml:space="preserve">Coverage target</w:t>
      </w:r>
      <w:r>
        <w:t xml:space="preserve">:</w:t>
      </w:r>
      <w:r>
        <w:t xml:space="preserve"> </w:t>
      </w:r>
      <m:oMath>
        <m:sSub>
          <m:e>
            <m:r>
              <m:t>C</m:t>
            </m:r>
          </m:e>
          <m:sub>
            <m:r>
              <m:rPr>
                <m:nor/>
                <m:sty m:val="p"/>
              </m:rPr>
              <m:t>target,DM</m:t>
            </m:r>
          </m:sub>
        </m:sSub>
        <m:r>
          <m:rPr>
            <m:sty m:val="p"/>
          </m:rPr>
          <m:t>=</m:t>
        </m:r>
        <m:r>
          <m:t>0.80</m:t>
        </m:r>
      </m:oMath>
      <w:r>
        <w:t xml:space="preserve"> </w:t>
      </w:r>
      <w:r>
        <w:t xml:space="preserve">(versus 0.50 in the general population), corresponding to the Global Diabetes Compact target of 80% blood pressure control among people with diagnosed diabetes.</w:t>
      </w:r>
    </w:p>
    <w:p>
      <w:pPr>
        <w:numPr>
          <w:ilvl w:val="0"/>
          <w:numId w:val="1003"/>
        </w:numPr>
      </w:pPr>
      <w:r>
        <w:rPr>
          <w:b/>
          <w:bCs/>
        </w:rPr>
        <w:t xml:space="preserve">Diabetes weighting</w:t>
      </w:r>
      <w:r>
        <w:t xml:space="preserve">: The Ettehad effect sizes are computed with</w:t>
      </w:r>
      <w:r>
        <w:t xml:space="preserve"> </w:t>
      </w:r>
      <m:oMath>
        <m:sSub>
          <m:e>
            <m:r>
              <m:t>w</m:t>
            </m:r>
          </m:e>
          <m:sub>
            <m:r>
              <m:rPr>
                <m:nor/>
                <m:sty m:val="p"/>
              </m:rPr>
              <m:t>DM</m:t>
            </m:r>
          </m:sub>
        </m:sSub>
        <m:r>
          <m:rPr>
            <m:sty m:val="p"/>
          </m:rPr>
          <m:t>=</m:t>
        </m:r>
        <m:r>
          <m:t>1</m:t>
        </m:r>
      </m:oMath>
      <w:r>
        <w:t xml:space="preserve"> </w:t>
      </w:r>
      <w:r>
        <w:t xml:space="preserve">(full diabetes-specific effects), rather than the country-specific diabetes prevalence weight used in the general-population intervention.</w:t>
      </w:r>
    </w:p>
    <w:p>
      <w:pPr>
        <w:numPr>
          <w:ilvl w:val="0"/>
          <w:numId w:val="1003"/>
        </w:numPr>
      </w:pPr>
      <w:r>
        <w:rPr>
          <w:b/>
          <w:bCs/>
        </w:rPr>
        <w:t xml:space="preserve">Population downscaling</w:t>
      </w:r>
      <w:r>
        <w:t xml:space="preserve">: Because the intervention targets only the diabetic subpopulation, the effect is downscaled by the proportion of the population with diabetes (</w:t>
      </w:r>
      <m:oMath>
        <m:sSub>
          <m:e>
            <m:r>
              <m:t>d</m:t>
            </m:r>
          </m:e>
          <m:sub>
            <m:r>
              <m:t>a</m:t>
            </m:r>
            <m:r>
              <m:rPr>
                <m:sty m:val="p"/>
              </m:rPr>
              <m:t>,</m:t>
            </m:r>
            <m:r>
              <m:t>s</m:t>
            </m:r>
            <m:r>
              <m:rPr>
                <m:sty m:val="p"/>
              </m:rPr>
              <m:t>,</m:t>
            </m:r>
            <m:r>
              <m:rPr>
                <m:sty m:val="p"/>
              </m:rPr>
              <m:t>ℓ</m:t>
            </m:r>
          </m:sub>
        </m:sSub>
      </m:oMath>
      <w:r>
        <w:t xml:space="preserve">) and raised blood pressure (</w:t>
      </w:r>
      <m:oMath>
        <m:sSub>
          <m:e>
            <m:r>
              <m:t>ϕ</m:t>
            </m:r>
          </m:e>
          <m:sub>
            <m:r>
              <m:rPr>
                <m:nor/>
                <m:sty m:val="p"/>
              </m:rPr>
              <m:t>hyp</m:t>
            </m:r>
          </m:sub>
        </m:sSub>
      </m:oMath>
      <w:r>
        <w:t xml:space="preserve">):</w:t>
      </w:r>
    </w:p>
    <w:p>
      <w:pPr>
        <w:pStyle w:val="FirstParagraph"/>
      </w:pPr>
      <w:r>
        <w:rPr>
          <w:i/>
          <w:iCs/>
        </w:rPr>
        <w:t xml:space="preserve">Incidence:</w:t>
      </w:r>
    </w:p>
    <w:p>
      <w:pPr>
        <w:pStyle w:val="BodyText"/>
      </w:pPr>
      <m:oMathPara>
        <m:oMathParaPr>
          <m:jc m:val="center"/>
        </m:oMathParaPr>
        <m:oMath>
          <m:r>
            <m:t>I</m:t>
          </m:r>
          <m:sSub>
            <m:e>
              <m:r>
                <m:t>R</m:t>
              </m:r>
            </m:e>
            <m:sub>
              <m:r>
                <m:rPr>
                  <m:nor/>
                  <m:sty m:val="p"/>
                </m:rPr>
                <m:t>bin,new</m:t>
              </m:r>
            </m:sub>
          </m:sSub>
          <m:r>
            <m:rPr>
              <m:sty m:val="p"/>
            </m:rPr>
            <m:t>=</m:t>
          </m:r>
          <m:r>
            <m:t>I</m:t>
          </m:r>
          <m:sSub>
            <m:e>
              <m:r>
                <m:t>R</m:t>
              </m:r>
            </m:e>
            <m:sub>
              <m:r>
                <m:rPr>
                  <m:nor/>
                  <m:sty m:val="p"/>
                </m:rPr>
                <m:t>bin</m:t>
              </m:r>
            </m:sub>
          </m:sSub>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E</m:t>
                  </m:r>
                </m:e>
                <m:sub>
                  <m:r>
                    <m:rPr>
                      <m:nor/>
                      <m:sty m:val="p"/>
                    </m:rPr>
                    <m:t>adj,DM</m:t>
                  </m:r>
                </m:sub>
              </m:sSub>
              <m:d>
                <m:dPr>
                  <m:begChr m:val="("/>
                  <m:sepChr m:val=""/>
                  <m:endChr m:val=")"/>
                  <m:grow/>
                </m:dPr>
                <m:e>
                  <m:r>
                    <m:t>t</m:t>
                  </m:r>
                </m:e>
              </m:d>
            </m:e>
          </m:d>
        </m:oMath>
      </m:oMathPara>
    </w:p>
    <w:p>
      <w:pPr>
        <w:pStyle w:val="FirstParagraph"/>
      </w:pPr>
      <w:r>
        <w:rPr>
          <w:i/>
          <w:iCs/>
        </w:rPr>
        <w:t xml:space="preserve">Effect ratio blending (population-level):</w:t>
      </w:r>
    </w:p>
    <w:p>
      <w:pPr>
        <w:pStyle w:val="BodyText"/>
      </w:pPr>
      <m:oMathPara>
        <m:oMathParaPr>
          <m:jc m:val="center"/>
        </m:oMathParaPr>
        <m:oMath>
          <m:sSub>
            <m:e>
              <m:r>
                <m:t>ε</m:t>
              </m:r>
            </m:e>
            <m:sub>
              <m:r>
                <m:t>I</m:t>
              </m:r>
              <m:r>
                <m:t>R</m:t>
              </m:r>
              <m:r>
                <m:rPr>
                  <m:sty m:val="p"/>
                </m:rPr>
                <m:t>,</m:t>
              </m:r>
              <m:r>
                <m:rPr>
                  <m:nor/>
                  <m:sty m:val="p"/>
                </m:rPr>
                <m:t>BP,DM</m:t>
              </m:r>
            </m:sub>
          </m:sSub>
          <m:r>
            <m:rPr>
              <m:sty m:val="p"/>
            </m:rPr>
            <m:t>=</m:t>
          </m:r>
          <m:r>
            <m:t>1</m:t>
          </m:r>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e>
          </m:d>
          <m:r>
            <m:rPr>
              <m:sty m:val="p"/>
            </m:rPr>
            <m:t>+</m:t>
          </m:r>
          <m:sSub>
            <m:e>
              <m:r>
                <m:t>ε</m:t>
              </m:r>
            </m:e>
            <m:sub>
              <m:r>
                <m:t>I</m:t>
              </m:r>
              <m:r>
                <m:t>R</m:t>
              </m:r>
              <m:r>
                <m:rPr>
                  <m:sty m:val="p"/>
                </m:rPr>
                <m:t>,</m:t>
              </m:r>
              <m:r>
                <m:rPr>
                  <m:nor/>
                  <m:sty m:val="p"/>
                </m:rPr>
                <m:t>raw</m:t>
              </m:r>
            </m:sub>
          </m:sSub>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oMath>
      </m:oMathPara>
    </w:p>
    <w:p>
      <w:pPr>
        <w:pStyle w:val="FirstParagraph"/>
      </w:pPr>
      <w:r>
        <w:t xml:space="preserve">This ensures that the diabetes-specific intervention affects only the diabetic hypertensive fraction of the population, with the remainder retaining the baseline (unmodified) transition rate.</w:t>
      </w:r>
    </w:p>
    <w:p>
      <w:pPr>
        <w:pStyle w:val="BodyText"/>
      </w:pPr>
      <w:r>
        <w:rPr>
          <w:i/>
          <w:iCs/>
        </w:rPr>
        <w:t xml:space="preserve">Case fatality</w:t>
      </w:r>
      <w:r>
        <w:t xml:space="preserve"> </w:t>
      </w:r>
      <w:r>
        <w:t xml:space="preserve">is similarly downscaled: the incremental coverage delta is multiplied by the diabetes prevalence before aggregation, so that CF reductions apply only to the diabetic fraction:</w:t>
      </w:r>
    </w:p>
    <w:p>
      <w:pPr>
        <w:pStyle w:val="BodyText"/>
      </w:pPr>
      <m:oMathPara>
        <m:oMathParaPr>
          <m:jc m:val="center"/>
        </m:oMathParaPr>
        <m:oMath>
          <m:r>
            <m:t>Δ</m:t>
          </m:r>
          <m:sSub>
            <m:e>
              <m:r>
                <m:t>C</m:t>
              </m:r>
            </m:e>
            <m:sub>
              <m:r>
                <m:rPr>
                  <m:nor/>
                  <m:sty m:val="p"/>
                </m:rPr>
                <m:t>delta,DM</m:t>
              </m:r>
            </m:sub>
          </m:sSub>
          <m:r>
            <m:rPr>
              <m:sty m:val="p"/>
            </m:rPr>
            <m:t>=</m:t>
          </m:r>
          <m:sSub>
            <m:e>
              <m:r>
                <m:t>d</m:t>
              </m:r>
            </m:e>
            <m:sub>
              <m:r>
                <m:t>a</m:t>
              </m:r>
              <m:r>
                <m:rPr>
                  <m:sty m:val="p"/>
                </m:rPr>
                <m:t>,</m:t>
              </m:r>
              <m:r>
                <m:t>s</m:t>
              </m:r>
              <m:r>
                <m:rPr>
                  <m:sty m:val="p"/>
                </m:rPr>
                <m:t>,</m:t>
              </m:r>
              <m:r>
                <m:rPr>
                  <m:sty m:val="p"/>
                </m:rPr>
                <m:t>ℓ</m:t>
              </m:r>
            </m:sub>
          </m:sSub>
          <m:r>
            <m:rPr>
              <m:sty m:val="p"/>
            </m:rPr>
            <m:t>×</m:t>
          </m:r>
          <m:r>
            <m:rPr>
              <m:sty m:val="p"/>
            </m:rPr>
            <m:t>max</m:t>
          </m:r>
          <m:d>
            <m:dPr>
              <m:begChr m:val="("/>
              <m:sepChr m:val=""/>
              <m:endChr m:val=")"/>
              <m:grow/>
            </m:dPr>
            <m:e>
              <m:sSub>
                <m:e>
                  <m:r>
                    <m:t>C</m:t>
                  </m:r>
                </m:e>
                <m:sub>
                  <m:r>
                    <m:t>t</m:t>
                  </m:r>
                </m:sub>
              </m:sSub>
              <m:r>
                <m:rPr>
                  <m:sty m:val="p"/>
                </m:rPr>
                <m:t>−</m:t>
              </m:r>
              <m:sSub>
                <m:e>
                  <m:r>
                    <m:t>C</m:t>
                  </m:r>
                </m:e>
                <m:sub>
                  <m:r>
                    <m:t>0</m:t>
                  </m:r>
                </m:sub>
              </m:sSub>
              <m:r>
                <m:rPr>
                  <m:sty m:val="p"/>
                </m:rPr>
                <m:t>,</m:t>
              </m:r>
              <m:r>
                <m:t>0</m:t>
              </m:r>
            </m:e>
          </m:d>
        </m:oMath>
      </m:oMathPara>
    </w:p>
    <w:p>
      <w:pPr>
        <w:pStyle w:val="FirstParagraph"/>
      </w:pPr>
      <w:r>
        <w:t xml:space="preserve">The same CF reduction factors (</w:t>
      </w:r>
      <m:oMath>
        <m:sSub>
          <m:e>
            <m:r>
              <m:t>ρ</m:t>
            </m:r>
          </m:e>
          <m:sub>
            <m:r>
              <m:t>C</m:t>
            </m:r>
            <m:r>
              <m:t>F</m:t>
            </m:r>
            <m:r>
              <m:rPr>
                <m:sty m:val="p"/>
              </m:rPr>
              <m:t>,</m:t>
            </m:r>
            <m:r>
              <m:t>c</m:t>
            </m:r>
          </m:sub>
        </m:sSub>
      </m:oMath>
      <w:r>
        <w:t xml:space="preserve">) are applied to this diabetes-adjusted aggregate coverage.</w:t>
      </w:r>
    </w:p>
    <w:p>
      <w:pPr>
        <w:pStyle w:val="BodyText"/>
      </w:pPr>
      <w:r>
        <w:t xml:space="preserve">(See Hypertension Control Intervention Model above for the general-population coverage scale-up structure, which shares the same functional form.)</w:t>
      </w:r>
    </w:p>
    <w:bookmarkEnd w:id="170"/>
    <w:bookmarkEnd w:id="171"/>
    <w:bookmarkStart w:id="172" w:name="sec:statin-model"/>
    <w:p>
      <w:pPr>
        <w:pStyle w:val="Heading3"/>
      </w:pPr>
      <w:r>
        <w:rPr>
          <w:rStyle w:val="SectionNumber"/>
        </w:rPr>
        <w:t xml:space="preserve">10.3.5</w:t>
      </w:r>
      <w:r>
        <w:tab/>
      </w:r>
      <w:r>
        <w:t xml:space="preserve">Statin Therapy Intervention Model</w:t>
      </w:r>
    </w:p>
    <w:p>
      <w:pPr>
        <w:pStyle w:val="FirstParagraph"/>
      </w:pPr>
      <w:r>
        <w:t xml:space="preserve">The statin intervention models the impact of scaling up lipid-lowering therapy among adults, with effects restricted to IHD and ischaemic stroke for ages</w:t>
      </w:r>
      <w:r>
        <w:t xml:space="preserve"> </w:t>
      </w:r>
      <m:oMath>
        <m:r>
          <m:rPr>
            <m:sty m:val="p"/>
          </m:rPr>
          <m:t>≥</m:t>
        </m:r>
        <m:r>
          <m:t>40</m:t>
        </m:r>
      </m:oMath>
      <w:r>
        <w:t xml:space="preserve"> </w:t>
      </w:r>
      <w:r>
        <w:t xml:space="preserve">years. The implementation: (i) scales up</w:t>
      </w:r>
      <w:r>
        <w:t xml:space="preserve"> </w:t>
      </w:r>
      <w:r>
        <w:rPr>
          <w:i/>
          <w:iCs/>
        </w:rPr>
        <w:t xml:space="preserve">incremental</w:t>
      </w:r>
      <w:r>
        <w:t xml:space="preserve"> </w:t>
      </w:r>
      <w:r>
        <w:t xml:space="preserve">coverage above country-specific baseline (to avoid double-counting), (ii) applies attributable fractions (</w:t>
      </w:r>
      <m:oMath>
        <m:r>
          <m:t>A</m:t>
        </m:r>
        <m:sSub>
          <m:e>
            <m:r>
              <m:t>F</m:t>
            </m:r>
          </m:e>
          <m:sub>
            <m:r>
              <m:t>c</m:t>
            </m:r>
            <m:r>
              <m:rPr>
                <m:sty m:val="p"/>
              </m:rPr>
              <m:t>,</m:t>
            </m:r>
            <m:r>
              <m:rPr>
                <m:sty m:val="p"/>
              </m:rPr>
              <m:t>ℓ</m:t>
            </m:r>
          </m:sub>
        </m:sSub>
      </m:oMath>
      <w:r>
        <w:t xml:space="preserve">) only for incidence effects (primary prevention), and (iii) applies trial-based relative risks directly for case fatality effects (secondary prevention), with ischaemic stroke CF effects restricted to the atherosclerotic fraction.</w:t>
      </w:r>
    </w:p>
    <w:p>
      <w:pPr>
        <w:pStyle w:val="BodyText"/>
      </w:pPr>
      <w:r>
        <w:rPr>
          <w:b/>
          <w:bCs/>
        </w:rPr>
        <w:t xml:space="preserve">Eligibility.</w:t>
      </w:r>
      <w:r>
        <w:t xml:space="preserve"> </w:t>
      </w:r>
      <w:r>
        <w:t xml:space="preserve">Statin effects are applied only to individuals aged</w:t>
      </w:r>
      <w:r>
        <w:t xml:space="preserve"> </w:t>
      </w:r>
      <m:oMath>
        <m:r>
          <m:t>a</m:t>
        </m:r>
        <m:r>
          <m:rPr>
            <m:sty m:val="p"/>
          </m:rPr>
          <m:t>≥</m:t>
        </m:r>
        <m:r>
          <m:t>40</m:t>
        </m:r>
      </m:oMath>
      <w:r>
        <w:t xml:space="preserve"> </w:t>
      </w:r>
      <w:r>
        <w:t xml:space="preserve">and for causes</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For ages</w:t>
      </w:r>
      <w:r>
        <w:t xml:space="preserve"> </w:t>
      </w:r>
      <m:oMath>
        <m:r>
          <m:t>a</m:t>
        </m:r>
        <m:r>
          <m:rPr>
            <m:sty m:val="p"/>
          </m:rPr>
          <m:t>&lt;</m:t>
        </m:r>
        <m:r>
          <m:t>40</m:t>
        </m:r>
      </m:oMath>
      <w:r>
        <w:t xml:space="preserve"> </w:t>
      </w:r>
      <w:r>
        <w:t xml:space="preserve">or other causes, the effect ratios are set to 1 (no effect).</w:t>
      </w:r>
    </w:p>
    <w:p>
      <w:pPr>
        <w:pStyle w:val="BodyText"/>
      </w:pPr>
      <w:r>
        <w:rPr>
          <w:b/>
          <w:bCs/>
        </w:rPr>
        <w:t xml:space="preserve">Coverage scale-up.</w:t>
      </w:r>
      <w:r>
        <w:t xml:space="preserve"> </w:t>
      </w:r>
      <w:r>
        <w:t xml:space="preserve">The same linear scale-up function is used as for hypertension control (see Hypertension Control Intervention Model). Let</w:t>
      </w:r>
      <w:r>
        <w:t xml:space="preserve"> </w:t>
      </w:r>
      <m:oMath>
        <m:sSub>
          <m:e>
            <m:r>
              <m:t>U</m:t>
            </m:r>
          </m:e>
          <m:sub>
            <m:r>
              <m:t>0</m:t>
            </m:r>
            <m:r>
              <m:rPr>
                <m:sty m:val="p"/>
              </m:rPr>
              <m:t>,</m:t>
            </m:r>
            <m:r>
              <m:rPr>
                <m:sty m:val="p"/>
              </m:rPr>
              <m:t>ℓ</m:t>
            </m:r>
          </m:sub>
        </m:sSub>
      </m:oMath>
      <w:r>
        <w:t xml:space="preserve"> </w:t>
      </w:r>
      <w:r>
        <w:t xml:space="preserve">denote baseline statin coverage at</w:t>
      </w:r>
      <w:r>
        <w:t xml:space="preserve"> </w:t>
      </w:r>
      <m:oMath>
        <m:sSub>
          <m:e>
            <m:r>
              <m:t>T</m:t>
            </m:r>
          </m:e>
          <m:sub>
            <m:r>
              <m:rPr>
                <m:nor/>
                <m:sty m:val="p"/>
              </m:rPr>
              <m:t>stat,start</m:t>
            </m:r>
          </m:sub>
        </m:sSub>
      </m:oMath>
      <w:r>
        <w:t xml:space="preserve">. The incremental target is:</w:t>
      </w:r>
    </w:p>
    <w:p>
      <w:pPr>
        <w:pStyle w:val="BodyText"/>
      </w:pPr>
      <m:oMathPara>
        <m:oMathParaPr>
          <m:jc m:val="center"/>
        </m:oMathParaPr>
        <m:oMath>
          <m:r>
            <m:t>Δ</m:t>
          </m:r>
          <m:sSub>
            <m:e>
              <m:r>
                <m:t>U</m:t>
              </m:r>
            </m:e>
            <m:sub>
              <m:r>
                <m:rPr>
                  <m:nor/>
                  <m:sty m:val="p"/>
                </m:rPr>
                <m:t>target</m:t>
              </m:r>
              <m:r>
                <m:rPr>
                  <m:sty m:val="p"/>
                </m:rPr>
                <m:t>,</m:t>
              </m:r>
              <m:r>
                <m:rPr>
                  <m:sty m:val="p"/>
                </m:rPr>
                <m:t>ℓ</m:t>
              </m:r>
            </m:sub>
          </m:sSub>
          <m:r>
            <m:rPr>
              <m:sty m:val="p"/>
            </m:rPr>
            <m:t>=</m:t>
          </m:r>
          <m:r>
            <m:rPr>
              <m:sty m:val="p"/>
            </m:rPr>
            <m:t>max</m:t>
          </m:r>
          <m:d>
            <m:dPr>
              <m:begChr m:val="("/>
              <m:sepChr m:val=""/>
              <m:endChr m:val=")"/>
              <m:grow/>
            </m:dPr>
            <m:e>
              <m:sSub>
                <m:e>
                  <m:r>
                    <m:t>U</m:t>
                  </m:r>
                </m:e>
                <m:sub>
                  <m:r>
                    <m:rPr>
                      <m:nor/>
                      <m:sty m:val="p"/>
                    </m:rPr>
                    <m:t>target</m:t>
                  </m:r>
                </m:sub>
              </m:sSub>
              <m:r>
                <m:rPr>
                  <m:sty m:val="p"/>
                </m:rPr>
                <m:t>−</m:t>
              </m:r>
              <m:sSub>
                <m:e>
                  <m:r>
                    <m:t>U</m:t>
                  </m:r>
                </m:e>
                <m:sub>
                  <m:r>
                    <m:t>0</m:t>
                  </m:r>
                  <m:r>
                    <m:rPr>
                      <m:sty m:val="p"/>
                    </m:rPr>
                    <m:t>,</m:t>
                  </m:r>
                  <m:r>
                    <m:rPr>
                      <m:sty m:val="p"/>
                    </m:rPr>
                    <m:t>ℓ</m:t>
                  </m:r>
                </m:sub>
              </m:sSub>
              <m:r>
                <m:rPr>
                  <m:sty m:val="p"/>
                </m:rPr>
                <m:t>,</m:t>
              </m:r>
              <m:r>
                <m:t> </m:t>
              </m:r>
              <m:r>
                <m:t>0</m:t>
              </m:r>
            </m:e>
          </m:d>
        </m:oMath>
      </m:oMathPara>
    </w:p>
    <w:p>
      <w:pPr>
        <w:pStyle w:val="FirstParagraph"/>
      </w:pPr>
      <w:r>
        <w:t xml:space="preserve">The time-varying incremental coverage above baseline is:</w:t>
      </w:r>
    </w:p>
    <w:p>
      <w:pPr>
        <w:pStyle w:val="BodyText"/>
      </w:pPr>
      <m:oMathPara>
        <m:oMathParaPr>
          <m:jc m:val="center"/>
        </m:oMathParaP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stat,start</m:t>
                      </m:r>
                    </m:sub>
                  </m:sSub>
                  <m:r>
                    <m:rPr>
                      <m:sty m:val="p"/>
                    </m:rPr>
                    <m:t>+</m:t>
                  </m:r>
                  <m:r>
                    <m:t>1</m:t>
                  </m:r>
                </m:num>
                <m:den>
                  <m:sSub>
                    <m:e>
                      <m:r>
                        <m:t>T</m:t>
                      </m:r>
                    </m:e>
                    <m:sub>
                      <m:r>
                        <m:rPr>
                          <m:nor/>
                          <m:sty m:val="p"/>
                        </m:rPr>
                        <m:t>stat,end</m:t>
                      </m:r>
                    </m:sub>
                  </m:sSub>
                  <m:r>
                    <m:rPr>
                      <m:sty m:val="p"/>
                    </m:rPr>
                    <m:t>−</m:t>
                  </m:r>
                  <m:sSub>
                    <m:e>
                      <m:r>
                        <m:t>T</m:t>
                      </m:r>
                    </m:e>
                    <m:sub>
                      <m:r>
                        <m:rPr>
                          <m:nor/>
                          <m:sty m:val="p"/>
                        </m:rPr>
                        <m:t>stat,start</m:t>
                      </m:r>
                    </m:sub>
                  </m:sSub>
                  <m:r>
                    <m:rPr>
                      <m:sty m:val="p"/>
                    </m:rPr>
                    <m:t>+</m:t>
                  </m:r>
                  <m:r>
                    <m:t>1</m:t>
                  </m:r>
                </m:den>
              </m:f>
              <m:r>
                <m:rPr>
                  <m:sty m:val="p"/>
                </m:rPr>
                <m:t>,</m:t>
              </m:r>
              <m:r>
                <m:t> </m:t>
              </m:r>
              <m:r>
                <m:t>1</m:t>
              </m:r>
            </m:e>
          </m:d>
        </m:oMath>
      </m:oMathPara>
    </w:p>
    <w:p>
      <w:pPr>
        <w:pStyle w:val="FirstParagraph"/>
      </w:pPr>
      <w:r>
        <w:t xml:space="preserve">with</w:t>
      </w:r>
      <w:r>
        <w:t xml:space="preserve"> </w:t>
      </w:r>
      <m:oMath>
        <m:r>
          <m:t>Δ</m:t>
        </m:r>
        <m:r>
          <m:t>U</m:t>
        </m:r>
        <m:d>
          <m:dPr>
            <m:begChr m:val="("/>
            <m:sepChr m:val=""/>
            <m:endChr m:val=")"/>
            <m:grow/>
          </m:dPr>
          <m:e>
            <m:r>
              <m:t>t</m:t>
            </m:r>
            <m:r>
              <m:rPr>
                <m:sty m:val="p"/>
              </m:rPr>
              <m:t>,</m:t>
            </m:r>
            <m:r>
              <m:rPr>
                <m:sty m:val="p"/>
              </m:rPr>
              <m:t>ℓ</m:t>
            </m:r>
          </m:e>
        </m:d>
        <m:r>
          <m:rPr>
            <m:sty m:val="p"/>
          </m:rPr>
          <m:t>=</m:t>
        </m:r>
        <m:r>
          <m:t>0</m:t>
        </m:r>
      </m:oMath>
      <w:r>
        <w:t xml:space="preserve"> </w:t>
      </w:r>
      <w:r>
        <w:t xml:space="preserve">for</w:t>
      </w:r>
      <w:r>
        <w:t xml:space="preserve"> </w:t>
      </w:r>
      <m:oMath>
        <m:r>
          <m:t>t</m:t>
        </m:r>
        <m:r>
          <m:rPr>
            <m:sty m:val="p"/>
          </m:rPr>
          <m:t>&lt;</m:t>
        </m:r>
        <m:sSub>
          <m:e>
            <m:r>
              <m:t>T</m:t>
            </m:r>
          </m:e>
          <m:sub>
            <m:r>
              <m:rPr>
                <m:nor/>
                <m:sty m:val="p"/>
              </m:rPr>
              <m:t>stat,start</m:t>
            </m:r>
          </m:sub>
        </m:sSub>
      </m:oMath>
      <w:r>
        <w:t xml:space="preserve"> </w:t>
      </w:r>
      <w:r>
        <w:t xml:space="preserve">and</w:t>
      </w:r>
      <w:r>
        <w:t xml:space="preserve"> </w:t>
      </w: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oMath>
      <w:r>
        <w:t xml:space="preserve"> </w:t>
      </w:r>
      <w:r>
        <w:t xml:space="preserve">for</w:t>
      </w:r>
      <w:r>
        <w:t xml:space="preserve"> </w:t>
      </w:r>
      <m:oMath>
        <m:r>
          <m:t>t</m:t>
        </m:r>
        <m:r>
          <m:rPr>
            <m:sty m:val="p"/>
          </m:rPr>
          <m:t>&gt;</m:t>
        </m:r>
        <m:sSub>
          <m:e>
            <m:r>
              <m:t>T</m:t>
            </m:r>
          </m:e>
          <m:sub>
            <m:r>
              <m:rPr>
                <m:nor/>
                <m:sty m:val="p"/>
              </m:rPr>
              <m:t>stat,end</m:t>
            </m:r>
          </m:sub>
        </m:sSub>
      </m:oMath>
      <w:r>
        <w:t xml:space="preserve">.</w:t>
      </w:r>
    </w:p>
    <w:p>
      <w:pPr>
        <w:pStyle w:val="BodyText"/>
      </w:pPr>
      <w:r>
        <w:rPr>
          <w:b/>
          <w:bCs/>
        </w:rPr>
        <w:t xml:space="preserve">Trial-based relative risks and risk reductions.</w:t>
      </w:r>
      <w:r>
        <w:t xml:space="preserve"> </w:t>
      </w:r>
      <w:r>
        <w:t xml:space="preserve">Per approximately 1 mmol/L LDL-C reduction:</w:t>
      </w:r>
    </w:p>
    <w:p>
      <w:pPr>
        <w:pStyle w:val="TableCaption"/>
      </w:pPr>
      <w:r>
        <w:t xml:space="preserve">Statin relative risks from the Cholesterol Treatment Trialists’ Collaboration</w:t>
      </w:r>
      <w:r>
        <w:t xml:space="preserve"> </w:t>
      </w:r>
      <w:r>
        <w:t xml:space="preserve">(Fulcher et al. 2015)</w:t>
      </w:r>
    </w:p>
    <w:tbl>
      <w:tblPr>
        <w:tblStyle w:val="Table"/>
        <w:tblW w:type="pct" w:w="5000"/>
        <w:tblLayout w:type="fixed"/>
        <w:tblLook w:firstRow="1" w:lastRow="0" w:firstColumn="0" w:lastColumn="0" w:noHBand="0" w:noVBand="0" w:val="0020"/>
        <w:tblCaption w:val="Statin relative risks from the Cholesterol Treatment Trialists’ Collaboration (Fulcher et al. 2015)"/>
      </w:tblPr>
      <w:tblGrid>
        <w:gridCol w:w="1289"/>
        <w:gridCol w:w="2210"/>
        <w:gridCol w:w="2210"/>
        <w:gridCol w:w="1105"/>
        <w:gridCol w:w="1105"/>
      </w:tblGrid>
      <w:tr>
        <w:trPr>
          <w:tblHeader w:val="on"/>
        </w:trPr>
        <w:tc>
          <w:tcPr/>
          <w:p>
            <w:pPr>
              <w:pStyle w:val="Compact"/>
            </w:pPr>
            <w:r>
              <w:t xml:space="preserve">Cause</w:t>
            </w:r>
          </w:p>
        </w:tc>
        <w:tc>
          <w:tcPr/>
          <w:p>
            <w:pPr>
              <w:pStyle w:val="Compact"/>
            </w:pPr>
            <m:oMath>
              <m:r>
                <m:t>R</m:t>
              </m:r>
              <m:sSubSup>
                <m:e>
                  <m:r>
                    <m:t>R</m:t>
                  </m:r>
                </m:e>
                <m:sub>
                  <m:r>
                    <m:t>c</m:t>
                  </m:r>
                </m:sub>
                <m:sup>
                  <m:r>
                    <m:t>I</m:t>
                  </m:r>
                  <m:r>
                    <m:t>R</m:t>
                  </m:r>
                </m:sup>
              </m:sSubSup>
            </m:oMath>
          </w:p>
        </w:tc>
        <w:tc>
          <w:tcPr/>
          <w:p>
            <w:pPr>
              <w:pStyle w:val="Compact"/>
            </w:pPr>
            <m:oMath>
              <m:r>
                <m:t>R</m:t>
              </m:r>
              <m:sSubSup>
                <m:e>
                  <m:r>
                    <m:t>R</m:t>
                  </m:r>
                </m:e>
                <m:sub>
                  <m:r>
                    <m:t>c</m:t>
                  </m:r>
                </m:sub>
                <m:sup>
                  <m:r>
                    <m:t>C</m:t>
                  </m:r>
                  <m:r>
                    <m:t>F</m:t>
                  </m:r>
                </m:sup>
              </m:sSubSup>
            </m:oMath>
          </w:p>
        </w:tc>
        <w:tc>
          <w:tcPr/>
          <w:p>
            <w:pPr>
              <w:pStyle w:val="Compact"/>
            </w:pPr>
            <m:oMath>
              <m:sSubSup>
                <m:e>
                  <m:r>
                    <m:t>δ</m:t>
                  </m:r>
                </m:e>
                <m:sub>
                  <m:r>
                    <m:t>c</m:t>
                  </m:r>
                </m:sub>
                <m:sup>
                  <m:r>
                    <m:t>I</m:t>
                  </m:r>
                  <m:r>
                    <m:t>R</m:t>
                  </m:r>
                </m:sup>
              </m:sSubSup>
              <m:r>
                <m:rPr>
                  <m:sty m:val="p"/>
                </m:rPr>
                <m:t>=</m:t>
              </m:r>
              <m:r>
                <m:t>1</m:t>
              </m:r>
              <m:r>
                <m:rPr>
                  <m:sty m:val="p"/>
                </m:rPr>
                <m:t>−</m:t>
              </m:r>
              <m:r>
                <m:t>R</m:t>
              </m:r>
              <m:sSubSup>
                <m:e>
                  <m:r>
                    <m:t>R</m:t>
                  </m:r>
                </m:e>
                <m:sub>
                  <m:r>
                    <m:t>c</m:t>
                  </m:r>
                </m:sub>
                <m:sup>
                  <m:r>
                    <m:t>I</m:t>
                  </m:r>
                  <m:r>
                    <m:t>R</m:t>
                  </m:r>
                </m:sup>
              </m:sSubSup>
            </m:oMath>
          </w:p>
        </w:tc>
        <w:tc>
          <w:tcPr/>
          <w:p>
            <w:pPr>
              <w:pStyle w:val="Compact"/>
            </w:pPr>
            <m:oMath>
              <m:sSubSup>
                <m:e>
                  <m:r>
                    <m:t>δ</m:t>
                  </m:r>
                </m:e>
                <m:sub>
                  <m:r>
                    <m:t>c</m:t>
                  </m:r>
                </m:sub>
                <m:sup>
                  <m:r>
                    <m:t>C</m:t>
                  </m:r>
                  <m:r>
                    <m:t>F</m:t>
                  </m:r>
                </m:sup>
              </m:sSubSup>
              <m:r>
                <m:rPr>
                  <m:sty m:val="p"/>
                </m:rPr>
                <m:t>=</m:t>
              </m:r>
              <m:r>
                <m:t>1</m:t>
              </m:r>
              <m:r>
                <m:rPr>
                  <m:sty m:val="p"/>
                </m:rPr>
                <m:t>−</m:t>
              </m:r>
              <m:r>
                <m:t>R</m:t>
              </m:r>
              <m:sSubSup>
                <m:e>
                  <m:r>
                    <m:t>R</m:t>
                  </m:r>
                </m:e>
                <m:sub>
                  <m:r>
                    <m:t>c</m:t>
                  </m:r>
                </m:sub>
                <m:sup>
                  <m:r>
                    <m:t>C</m:t>
                  </m:r>
                  <m:r>
                    <m:t>F</m:t>
                  </m:r>
                </m:sup>
              </m:sSubSup>
            </m:oMath>
          </w:p>
        </w:tc>
      </w:tr>
      <w:tr>
        <w:tc>
          <w:tcPr/>
          <w:p>
            <w:pPr>
              <w:pStyle w:val="Compact"/>
            </w:pPr>
            <w:r>
              <w:t xml:space="preserve">IHD</w:t>
            </w:r>
          </w:p>
        </w:tc>
        <w:tc>
          <w:tcPr/>
          <w:p>
            <w:pPr>
              <w:pStyle w:val="Compact"/>
            </w:pPr>
            <w:r>
              <w:t xml:space="preserve">0.74</w:t>
            </w:r>
          </w:p>
        </w:tc>
        <w:tc>
          <w:tcPr/>
          <w:p>
            <w:pPr>
              <w:pStyle w:val="Compact"/>
            </w:pPr>
            <w:r>
              <w:t xml:space="preserve">0.80</w:t>
            </w:r>
          </w:p>
        </w:tc>
        <w:tc>
          <w:tcPr/>
          <w:p>
            <w:pPr>
              <w:pStyle w:val="Compact"/>
            </w:pPr>
            <w:r>
              <w:t xml:space="preserve">0.26</w:t>
            </w:r>
          </w:p>
        </w:tc>
        <w:tc>
          <w:tcPr/>
          <w:p>
            <w:pPr>
              <w:pStyle w:val="Compact"/>
            </w:pPr>
            <w:r>
              <w:t xml:space="preserve">0.20</w:t>
            </w:r>
          </w:p>
        </w:tc>
      </w:tr>
      <w:tr>
        <w:tc>
          <w:tcPr/>
          <w:p>
            <w:pPr>
              <w:pStyle w:val="Compact"/>
            </w:pPr>
            <w:r>
              <w:t xml:space="preserve">Ischaemic stroke</w:t>
            </w:r>
          </w:p>
        </w:tc>
        <w:tc>
          <w:tcPr/>
          <w:p>
            <w:pPr>
              <w:pStyle w:val="Compact"/>
            </w:pPr>
            <w:r>
              <w:t xml:space="preserve">0.80</w:t>
            </w:r>
          </w:p>
        </w:tc>
        <w:tc>
          <w:tcPr/>
          <w:p>
            <w:pPr>
              <w:pStyle w:val="Compact"/>
            </w:pPr>
            <w:r>
              <w:t xml:space="preserve">0.96</w:t>
            </w:r>
          </w:p>
        </w:tc>
        <w:tc>
          <w:tcPr/>
          <w:p>
            <w:pPr>
              <w:pStyle w:val="Compact"/>
            </w:pPr>
            <w:r>
              <w:t xml:space="preserve">0.20</w:t>
            </w:r>
          </w:p>
        </w:tc>
        <w:tc>
          <w:tcPr/>
          <w:p>
            <w:pPr>
              <w:pStyle w:val="Compact"/>
            </w:pPr>
            <w:r>
              <w:t xml:space="preserve">0.04</w:t>
            </w:r>
          </w:p>
        </w:tc>
      </w:tr>
    </w:tbl>
    <w:p>
      <w:pPr>
        <w:pStyle w:val="BodyText"/>
      </w:pPr>
      <w:r>
        <w:rPr>
          <w:b/>
          <w:bCs/>
        </w:rPr>
        <w:t xml:space="preserve">Incidence effect size.</w:t>
      </w:r>
      <w:r>
        <w:t xml:space="preserve"> </w:t>
      </w:r>
      <w:r>
        <w:t xml:space="preserve">For</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w:t>
      </w:r>
      <w:r>
        <w:t xml:space="preserve">and</w:t>
      </w:r>
      <w:r>
        <w:t xml:space="preserve"> </w:t>
      </w:r>
      <m:oMath>
        <m:r>
          <m:t>a</m:t>
        </m:r>
        <m:r>
          <m:rPr>
            <m:sty m:val="p"/>
          </m:rPr>
          <m:t>≥</m:t>
        </m:r>
        <m:r>
          <m:t>40</m:t>
        </m:r>
      </m:oMath>
      <w:r>
        <w:t xml:space="preserve">, the incidence effect size incorporates the cause- and location-specific attributable fraction and a baseline-coverage adjustment in the denominator:</w:t>
      </w:r>
    </w:p>
    <w:p>
      <w:pPr>
        <w:pStyle w:val="BodyText"/>
      </w:pPr>
      <m:oMathPara>
        <m:oMathParaPr>
          <m:jc m:val="center"/>
        </m:oMathParaPr>
        <m:oMath>
          <m:sSubSup>
            <m:e>
              <m:r>
                <m:t>E</m:t>
              </m:r>
            </m:e>
            <m:sub>
              <m:r>
                <m:t>c</m:t>
              </m:r>
              <m:r>
                <m:rPr>
                  <m:sty m:val="p"/>
                </m:rPr>
                <m:t>,</m:t>
              </m:r>
              <m:r>
                <m:rPr>
                  <m:sty m:val="p"/>
                </m:rPr>
                <m:t>ℓ</m:t>
              </m:r>
            </m:sub>
            <m:sup>
              <m:r>
                <m:t>I</m:t>
              </m:r>
              <m:r>
                <m:t>R</m:t>
              </m:r>
            </m:sup>
          </m:sSubSup>
          <m:d>
            <m:dPr>
              <m:begChr m:val="("/>
              <m:sepChr m:val=""/>
              <m:endChr m:val=")"/>
              <m:grow/>
            </m:dPr>
            <m:e>
              <m:r>
                <m:t>t</m:t>
              </m:r>
            </m:e>
          </m:d>
          <m:r>
            <m:rPr>
              <m:sty m:val="p"/>
            </m:rPr>
            <m:t>=</m:t>
          </m:r>
          <m:f>
            <m:fPr>
              <m:type m:val="bar"/>
            </m:fPr>
            <m:num>
              <m:r>
                <m:t>A</m:t>
              </m:r>
              <m:sSub>
                <m:e>
                  <m:r>
                    <m:t>F</m:t>
                  </m:r>
                </m:e>
                <m:sub>
                  <m:r>
                    <m:t>c</m:t>
                  </m:r>
                  <m:r>
                    <m:rPr>
                      <m:sty m:val="p"/>
                    </m:rPr>
                    <m:t>,</m:t>
                  </m:r>
                  <m:r>
                    <m:rPr>
                      <m:sty m:val="p"/>
                    </m:rPr>
                    <m:t>ℓ</m:t>
                  </m:r>
                </m:sub>
              </m:sSub>
              <m:r>
                <m:rPr>
                  <m:sty m:val="p"/>
                </m:rPr>
                <m:t>×</m:t>
              </m:r>
              <m:sSubSup>
                <m:e>
                  <m:r>
                    <m:t>δ</m:t>
                  </m:r>
                </m:e>
                <m:sub>
                  <m:r>
                    <m:t>c</m:t>
                  </m:r>
                </m:sub>
                <m:sup>
                  <m:r>
                    <m:t>I</m:t>
                  </m:r>
                  <m:r>
                    <m:t>R</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I</m:t>
                  </m:r>
                  <m:r>
                    <m:t>R</m:t>
                  </m:r>
                </m:sub>
              </m:sSub>
            </m:num>
            <m:den>
              <m:r>
                <m:t>1</m:t>
              </m:r>
              <m:r>
                <m:rPr>
                  <m:sty m:val="p"/>
                </m:rPr>
                <m:t>−</m:t>
              </m:r>
              <m:sSubSup>
                <m:e>
                  <m:r>
                    <m:t>δ</m:t>
                  </m:r>
                </m:e>
                <m:sub>
                  <m:r>
                    <m:t>c</m:t>
                  </m:r>
                </m:sub>
                <m:sup>
                  <m:r>
                    <m:t>I</m:t>
                  </m:r>
                  <m:r>
                    <m:t>R</m:t>
                  </m:r>
                </m:sup>
              </m:sSubSup>
              <m:r>
                <m:rPr>
                  <m:sty m:val="p"/>
                </m:rPr>
                <m:t>×</m:t>
              </m:r>
              <m:sSub>
                <m:e>
                  <m:r>
                    <m:t>U</m:t>
                  </m:r>
                </m:e>
                <m:sub>
                  <m:r>
                    <m:t>0</m:t>
                  </m:r>
                  <m:r>
                    <m:rPr>
                      <m:sty m:val="p"/>
                    </m:rPr>
                    <m:t>,</m:t>
                  </m:r>
                  <m:r>
                    <m:rPr>
                      <m:sty m:val="p"/>
                    </m:rPr>
                    <m:t>ℓ</m:t>
                  </m:r>
                </m:sub>
              </m:sSub>
              <m:r>
                <m:rPr>
                  <m:sty m:val="p"/>
                </m:rPr>
                <m:t>×</m:t>
              </m:r>
              <m:sSub>
                <m:e>
                  <m:r>
                    <m:t>α</m:t>
                  </m:r>
                </m:e>
                <m:sub>
                  <m:r>
                    <m:t>I</m:t>
                  </m:r>
                  <m:r>
                    <m:t>R</m:t>
                  </m:r>
                </m:sub>
              </m:sSub>
            </m:den>
          </m:f>
        </m:oMath>
      </m:oMathPara>
    </w:p>
    <w:p>
      <w:pPr>
        <w:pStyle w:val="FirstParagraph"/>
      </w:pPr>
      <w:r>
        <w:t xml:space="preserve">where</w:t>
      </w:r>
      <w:r>
        <w:t xml:space="preserve"> </w:t>
      </w:r>
      <m:oMath>
        <m:r>
          <m:t>A</m:t>
        </m:r>
        <m:sSub>
          <m:e>
            <m:r>
              <m:t>F</m:t>
            </m:r>
          </m:e>
          <m:sub>
            <m:r>
              <m:t>c</m:t>
            </m:r>
            <m:r>
              <m:rPr>
                <m:sty m:val="p"/>
              </m:rPr>
              <m:t>,</m:t>
            </m:r>
            <m:r>
              <m:rPr>
                <m:sty m:val="p"/>
              </m:rPr>
              <m:t>ℓ</m:t>
            </m:r>
          </m:sub>
        </m:sSub>
      </m:oMath>
      <w:r>
        <w:t xml:space="preserve"> </w:t>
      </w:r>
      <w:r>
        <w:t xml:space="preserve">is the attributable fraction from GBD 2021 (default values:</w:t>
      </w:r>
      <w:r>
        <w:t xml:space="preserve"> </w:t>
      </w:r>
      <m:oMath>
        <m:r>
          <m:t>A</m:t>
        </m:r>
        <m:sSub>
          <m:e>
            <m:r>
              <m:t>F</m:t>
            </m:r>
          </m:e>
          <m:sub>
            <m:r>
              <m:rPr>
                <m:nor/>
                <m:sty m:val="p"/>
              </m:rPr>
              <m:t>IHD</m:t>
            </m:r>
          </m:sub>
        </m:sSub>
        <m:r>
          <m:rPr>
            <m:sty m:val="p"/>
          </m:rPr>
          <m:t>=</m:t>
        </m:r>
        <m:r>
          <m:t>0.15</m:t>
        </m:r>
      </m:oMath>
      <w:r>
        <w:t xml:space="preserve">,</w:t>
      </w:r>
      <w:r>
        <w:t xml:space="preserve"> </w:t>
      </w:r>
      <m:oMath>
        <m:r>
          <m:t>A</m:t>
        </m:r>
        <m:sSub>
          <m:e>
            <m:r>
              <m:t>F</m:t>
            </m:r>
          </m:e>
          <m:sub>
            <m:r>
              <m:rPr>
                <m:nor/>
                <m:sty m:val="p"/>
              </m:rPr>
              <m:t>IS</m:t>
            </m:r>
          </m:sub>
        </m:sSub>
        <m:r>
          <m:rPr>
            <m:sty m:val="p"/>
          </m:rPr>
          <m:t>=</m:t>
        </m:r>
        <m:r>
          <m:t>0.12</m:t>
        </m:r>
      </m:oMath>
      <w:r>
        <w:t xml:space="preserve">; country-specific values used where available) and</w:t>
      </w:r>
      <w:r>
        <w:t xml:space="preserve"> </w:t>
      </w:r>
      <m:oMath>
        <m:sSub>
          <m:e>
            <m:r>
              <m:t>α</m:t>
            </m:r>
          </m:e>
          <m:sub>
            <m:r>
              <m:t>I</m:t>
            </m:r>
            <m:r>
              <m:t>R</m:t>
            </m:r>
          </m:sub>
        </m:sSub>
      </m:oMath>
      <w:r>
        <w:t xml:space="preserve"> </w:t>
      </w:r>
      <w:r>
        <w:t xml:space="preserve">is adherence for primary prevention (default: 1.0).</w:t>
      </w:r>
    </w:p>
    <w:p>
      <w:pPr>
        <w:pStyle w:val="BodyText"/>
      </w:pPr>
      <w:r>
        <w:rPr>
          <w:b/>
          <w:bCs/>
        </w:rPr>
        <w:t xml:space="preserve">Case fatality effect size.</w:t>
      </w:r>
      <w:r>
        <w:t xml:space="preserve"> </w:t>
      </w:r>
      <w:r>
        <w:t xml:space="preserve">CF effects are modelled directly from trial relative risks without attributable fractions. For ischaemic stroke, only the atherosclerotic fraction contributes:</w:t>
      </w:r>
    </w:p>
    <w:p>
      <w:pPr>
        <w:pStyle w:val="BodyText"/>
      </w:pPr>
      <m:oMathPara>
        <m:oMathParaPr>
          <m:jc m:val="center"/>
        </m:oMathParaPr>
        <m:oMath>
          <m:sSubSup>
            <m:e>
              <m:r>
                <m:t>E</m:t>
              </m:r>
            </m:e>
            <m:sub>
              <m:r>
                <m:t>c</m:t>
              </m:r>
              <m:r>
                <m:rPr>
                  <m:sty m:val="p"/>
                </m:rPr>
                <m:t>,</m:t>
              </m:r>
              <m:r>
                <m:rPr>
                  <m:sty m:val="p"/>
                </m:rPr>
                <m:t>ℓ</m:t>
              </m:r>
            </m:sub>
            <m:sup>
              <m:r>
                <m:t>C</m:t>
              </m:r>
              <m:r>
                <m:t>F</m:t>
              </m:r>
            </m:sup>
          </m:sSubSup>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Sup>
                          <m:e>
                            <m:r>
                              <m:t>δ</m:t>
                            </m:r>
                          </m:e>
                          <m:sub>
                            <m:r>
                              <m:rPr>
                                <m:nor/>
                                <m:sty m:val="p"/>
                              </m:rPr>
                              <m:t>IHD</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IHD</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IHD</m:t>
                    </m:r>
                  </m:e>
                </m:mr>
                <m:mr>
                  <m:e>
                    <m:f>
                      <m:fPr>
                        <m:type m:val="bar"/>
                      </m:fPr>
                      <m:num>
                        <m:sSub>
                          <m:e>
                            <m:r>
                              <m:t>ψ</m:t>
                            </m:r>
                          </m:e>
                          <m:sub>
                            <m:r>
                              <m:rPr>
                                <m:nor/>
                                <m:sty m:val="p"/>
                              </m:rPr>
                              <m:t>athero</m:t>
                            </m:r>
                          </m:sub>
                        </m:sSub>
                        <m:r>
                          <m:rPr>
                            <m:sty m:val="p"/>
                          </m:rPr>
                          <m:t>×</m:t>
                        </m:r>
                        <m:sSubSup>
                          <m:e>
                            <m:r>
                              <m:t>δ</m:t>
                            </m:r>
                          </m:e>
                          <m:sub>
                            <m:r>
                              <m:rPr>
                                <m:nor/>
                                <m:sty m:val="p"/>
                              </m:rPr>
                              <m:t>IS</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IS</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ischaemic stroke</m:t>
                    </m:r>
                  </m:e>
                </m:mr>
              </m:m>
            </m:e>
          </m:d>
        </m:oMath>
      </m:oMathPara>
    </w:p>
    <w:p>
      <w:pPr>
        <w:pStyle w:val="FirstParagraph"/>
      </w:pPr>
      <w:r>
        <w:t xml:space="preserve">where</w:t>
      </w:r>
      <w:r>
        <w:t xml:space="preserve"> </w:t>
      </w:r>
      <m:oMath>
        <m:sSub>
          <m:e>
            <m:r>
              <m:t>ψ</m:t>
            </m:r>
          </m:e>
          <m:sub>
            <m:r>
              <m:rPr>
                <m:nor/>
                <m:sty m:val="p"/>
              </m:rPr>
              <m:t>athero</m:t>
            </m:r>
          </m:sub>
        </m:sSub>
        <m:r>
          <m:rPr>
            <m:sty m:val="p"/>
          </m:rPr>
          <m:t>=</m:t>
        </m:r>
        <m:r>
          <m:t>0.60</m:t>
        </m:r>
      </m:oMath>
      <w:r>
        <w:t xml:space="preserve"> </w:t>
      </w:r>
      <w:r>
        <w:t xml:space="preserve">and</w:t>
      </w:r>
      <w:r>
        <w:t xml:space="preserve"> </w:t>
      </w:r>
      <m:oMath>
        <m:sSub>
          <m:e>
            <m:r>
              <m:t>α</m:t>
            </m:r>
          </m:e>
          <m:sub>
            <m:r>
              <m:t>C</m:t>
            </m:r>
            <m:r>
              <m:t>F</m:t>
            </m:r>
          </m:sub>
        </m:sSub>
      </m:oMath>
      <w:r>
        <w:t xml:space="preserve"> </w:t>
      </w:r>
      <w:r>
        <w:t xml:space="preserve">is adherence for secondary prevention (default: 1.0).</w:t>
      </w:r>
    </w:p>
    <w:p>
      <w:pPr>
        <w:pStyle w:val="BodyText"/>
      </w:pPr>
      <w:r>
        <w:rPr>
          <w:b/>
          <w:bCs/>
        </w:rPr>
        <w:t xml:space="preserve">Modified rates.</w:t>
      </w:r>
      <w:r>
        <w:t xml:space="preserve"> </w:t>
      </w:r>
      <w:r>
        <w:t xml:space="preserve">For ages</w:t>
      </w:r>
      <w:r>
        <w:t xml:space="preserve"> </w:t>
      </w:r>
      <m:oMath>
        <m:r>
          <m:t>a</m:t>
        </m:r>
        <m:r>
          <m:rPr>
            <m:sty m:val="p"/>
          </m:rPr>
          <m:t>≥</m:t>
        </m:r>
        <m:r>
          <m:t>40</m:t>
        </m:r>
      </m:oMath>
      <w:r>
        <w:t xml:space="preserve"> </w:t>
      </w:r>
      <w:r>
        <w:t xml:space="preserve">and</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I</m:t>
          </m:r>
          <m:r>
            <m:t>R</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d>
        </m:oMath>
      </m:oMathPara>
    </w:p>
    <w:p>
      <w:pPr>
        <w:pStyle w:val="FirstParagraph"/>
      </w:pPr>
      <m:oMathPara>
        <m:oMathParaPr>
          <m:jc m:val="center"/>
        </m:oMathParaPr>
        <m:oMath>
          <m:r>
            <m:t>C</m:t>
          </m:r>
          <m:sSub>
            <m:e>
              <m:r>
                <m:t>F</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C</m:t>
          </m:r>
          <m:r>
            <m:t>F</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d>
        </m:oMath>
      </m:oMathPara>
    </w:p>
    <w:p>
      <w:pPr>
        <w:pStyle w:val="FirstParagraph"/>
      </w:pPr>
      <w:r>
        <w:rPr>
          <w:b/>
          <w:bCs/>
        </w:rPr>
        <w:t xml:space="preserve">Statin effect ratios:</w:t>
      </w:r>
    </w:p>
    <w:p>
      <w:pPr>
        <w:pStyle w:val="BodyText"/>
      </w:pPr>
      <m:oMathPara>
        <m:oMathParaPr>
          <m:jc m:val="center"/>
        </m:oMathParaPr>
        <m:oMath>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m:oMathPara>
        <m:oMathParaPr>
          <m:jc m:val="center"/>
        </m:oMathParaPr>
        <m:oMath>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w:r>
        <w:rPr>
          <w:b/>
          <w:bCs/>
        </w:rPr>
        <w:t xml:space="preserve">Combined intervention effect.</w:t>
      </w:r>
      <w:r>
        <w:t xml:space="preserve"> </w:t>
      </w:r>
      <w:r>
        <w:t xml:space="preserve">When statin and hypertension control interventions are applied simultaneously, their effect ratios combine multiplicatively (see Multi-State Transition Model):</w:t>
      </w:r>
    </w:p>
    <w:p>
      <w:pPr>
        <w:pStyle w:val="BodyText"/>
      </w:pPr>
      <m:oMathPara>
        <m:oMathParaPr>
          <m:jc m:val="center"/>
        </m:oMathParaP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BP,DM</m:t>
              </m:r>
            </m:sub>
          </m:sSub>
          <m:r>
            <m:rPr>
              <m:sty m:val="p"/>
            </m:rPr>
            <m:t>×</m:t>
          </m:r>
          <m:sSub>
            <m:e>
              <m:r>
                <m:t>ε</m:t>
              </m:r>
            </m:e>
            <m:sub>
              <m:r>
                <m:t>I</m:t>
              </m:r>
              <m:r>
                <m:t>R</m:t>
              </m:r>
              <m:r>
                <m:rPr>
                  <m:sty m:val="p"/>
                </m:rPr>
                <m:t>,</m:t>
              </m:r>
              <m:r>
                <m:rPr>
                  <m:nor/>
                  <m:sty m:val="p"/>
                </m:rPr>
                <m:t>statin</m:t>
              </m:r>
            </m:sub>
          </m:sSub>
        </m:oMath>
      </m:oMathPara>
    </w:p>
    <w:p>
      <w:pPr>
        <w:pStyle w:val="FirstParagraph"/>
      </w:pPr>
      <m:oMathPara>
        <m:oMathParaPr>
          <m:jc m:val="center"/>
        </m:oMathParaPr>
        <m:oMath>
          <m:sSub>
            <m:e>
              <m:r>
                <m:t>ε</m:t>
              </m:r>
            </m:e>
            <m:sub>
              <m:r>
                <m:t>C</m:t>
              </m:r>
              <m:r>
                <m:t>F</m:t>
              </m:r>
              <m:r>
                <m:rPr>
                  <m:sty m:val="p"/>
                </m:rPr>
                <m:t>,</m:t>
              </m:r>
              <m:r>
                <m:rPr>
                  <m:nor/>
                  <m:sty m:val="p"/>
                </m:rPr>
                <m:t>total</m:t>
              </m:r>
            </m:sub>
          </m:sSub>
          <m:r>
            <m:rPr>
              <m:sty m:val="p"/>
            </m:rPr>
            <m:t>=</m:t>
          </m:r>
          <m:sSub>
            <m:e>
              <m:r>
                <m:t>ε</m:t>
              </m:r>
            </m:e>
            <m:sub>
              <m:r>
                <m:t>C</m:t>
              </m:r>
              <m:r>
                <m:t>F</m:t>
              </m:r>
              <m:r>
                <m:rPr>
                  <m:sty m:val="p"/>
                </m:rPr>
                <m:t>,</m:t>
              </m:r>
              <m:r>
                <m:rPr>
                  <m:nor/>
                  <m:sty m:val="p"/>
                </m:rPr>
                <m:t>BP</m:t>
              </m:r>
            </m:sub>
          </m:sSub>
          <m:r>
            <m:rPr>
              <m:sty m:val="p"/>
            </m:rPr>
            <m:t>×</m:t>
          </m:r>
          <m:sSub>
            <m:e>
              <m:r>
                <m:t>ε</m:t>
              </m:r>
            </m:e>
            <m:sub>
              <m:r>
                <m:t>C</m:t>
              </m:r>
              <m:r>
                <m:t>F</m:t>
              </m:r>
              <m:r>
                <m:rPr>
                  <m:sty m:val="p"/>
                </m:rPr>
                <m:t>,</m:t>
              </m:r>
              <m:r>
                <m:rPr>
                  <m:nor/>
                  <m:sty m:val="p"/>
                </m:rPr>
                <m:t>BP,DM</m:t>
              </m:r>
            </m:sub>
          </m:sSub>
          <m:r>
            <m:rPr>
              <m:sty m:val="p"/>
            </m:rPr>
            <m:t>×</m:t>
          </m:r>
          <m:sSub>
            <m:e>
              <m:r>
                <m:t>ε</m:t>
              </m:r>
            </m:e>
            <m:sub>
              <m:r>
                <m:t>C</m:t>
              </m:r>
              <m:r>
                <m:t>F</m:t>
              </m:r>
              <m:r>
                <m:rPr>
                  <m:sty m:val="p"/>
                </m:rPr>
                <m:t>,</m:t>
              </m:r>
              <m:r>
                <m:rPr>
                  <m:nor/>
                  <m:sty m:val="p"/>
                </m:rPr>
                <m:t>statin</m:t>
              </m:r>
            </m:sub>
          </m:sSub>
        </m:oMath>
      </m:oMathPara>
    </w:p>
    <w:p>
      <w:pPr>
        <w:pStyle w:val="FirstParagraph"/>
      </w:pPr>
      <w:r>
        <w:t xml:space="preserve">This multiplicative structure means the combined benefit exceeds the sum of individual effects, reflecting the partially independent causal pathways through which blood pressure control and lipid lowering reduce cardiovascular risk.</w:t>
      </w:r>
    </w:p>
    <w:p>
      <w:pPr>
        <w:pStyle w:val="BodyText"/>
      </w:pPr>
      <w:r>
        <w:t xml:space="preserve">(See Key Parameter Appendix for all statin effect sizes and their sources.)</w:t>
      </w:r>
    </w:p>
    <w:bookmarkEnd w:id="172"/>
    <w:bookmarkStart w:id="177" w:name="sec:daly-methods"/>
    <w:p>
      <w:pPr>
        <w:pStyle w:val="Heading3"/>
      </w:pPr>
      <w:r>
        <w:rPr>
          <w:rStyle w:val="SectionNumber"/>
        </w:rPr>
        <w:t xml:space="preserve">10.3.6</w:t>
      </w:r>
      <w:r>
        <w:tab/>
      </w:r>
      <w:r>
        <w:t xml:space="preserve">DALY Calculation Methods</w:t>
      </w:r>
    </w:p>
    <w:p>
      <w:pPr>
        <w:pStyle w:val="FirstParagraph"/>
      </w:pPr>
      <w:r>
        <w:t xml:space="preserve">Burden of disease was quantified using disability-adjusted life years (DALYs), computed as the sum of years of life lost due to premature mortality (YLL) and years lived with disability (YLD). No age weighting or time discounting was applied. All computations were performed separately by age</w:t>
      </w:r>
      <w:r>
        <w:t xml:space="preserve"> </w:t>
      </w:r>
      <m:oMath>
        <m:r>
          <m:t>a</m:t>
        </m:r>
      </m:oMath>
      <w:r>
        <w:t xml:space="preserve">, sex</w:t>
      </w:r>
      <w:r>
        <w:t xml:space="preserve"> </w:t>
      </w:r>
      <m:oMath>
        <m:r>
          <m:t>s</m:t>
        </m:r>
      </m:oMath>
      <w:r>
        <w:t xml:space="preserve">, cause</w:t>
      </w:r>
      <w:r>
        <w:t xml:space="preserve"> </w:t>
      </w:r>
      <m:oMath>
        <m:r>
          <m:t>c</m:t>
        </m:r>
      </m:oMath>
      <w:r>
        <w:t xml:space="preserve">, year</w:t>
      </w:r>
      <w:r>
        <w:t xml:space="preserve"> </w:t>
      </w:r>
      <m:oMath>
        <m:r>
          <m:t>t</m:t>
        </m:r>
      </m:oMath>
      <w:r>
        <w:t xml:space="preserve">, location</w:t>
      </w:r>
      <w:r>
        <w:t xml:space="preserve"> </w:t>
      </w:r>
      <m:oMath>
        <m:r>
          <m:rPr>
            <m:sty m:val="p"/>
          </m:rPr>
          <m:t>ℓ</m:t>
        </m:r>
      </m:oMath>
      <w:r>
        <w:t xml:space="preserve">, and intervention scenario</w:t>
      </w:r>
      <w:r>
        <w:t xml:space="preserve"> </w:t>
      </w:r>
      <m:oMath>
        <m:r>
          <m:t>j</m:t>
        </m:r>
      </m:oMath>
      <w:r>
        <w:t xml:space="preserve">.</w:t>
      </w:r>
    </w:p>
    <w:bookmarkStart w:id="173" w:name="years-of-life-lost-yll"/>
    <w:p>
      <w:pPr>
        <w:pStyle w:val="Heading4"/>
      </w:pPr>
      <w:r>
        <w:rPr>
          <w:rStyle w:val="SectionNumber"/>
        </w:rPr>
        <w:t xml:space="preserve">10.3.6.1</w:t>
      </w:r>
      <w:r>
        <w:tab/>
      </w:r>
      <w:r>
        <w:t xml:space="preserve">Years of Life Lost (YLL)</w:t>
      </w:r>
    </w:p>
    <w:p>
      <w:pPr>
        <w:pStyle w:val="FirstParagraph"/>
      </w:pPr>
      <w:r>
        <w:t xml:space="preserve">YLLs were computed as the product of the number of disease-specific deaths and the remaining life expectancy at the age of death:</w:t>
      </w:r>
    </w:p>
    <w:p>
      <w:pPr>
        <w:pStyle w:val="BodyText"/>
      </w:pPr>
      <m:oMathPara>
        <m:oMathParaPr>
          <m:jc m:val="center"/>
        </m:oMathParaPr>
        <m:oMath>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e</m:t>
              </m:r>
            </m:e>
            <m:sub>
              <m:r>
                <m:t>x</m:t>
              </m:r>
            </m:sub>
          </m:sSub>
          <m:d>
            <m:dPr>
              <m:begChr m:val="("/>
              <m:sepChr m:val=""/>
              <m:endChr m:val=")"/>
              <m:grow/>
            </m:dPr>
            <m:e>
              <m:r>
                <m:t>a</m:t>
              </m:r>
              <m:r>
                <m:rPr>
                  <m:sty m:val="p"/>
                </m:rPr>
                <m:t>,</m:t>
              </m:r>
              <m:r>
                <m:t>t</m:t>
              </m:r>
              <m:r>
                <m:rPr>
                  <m:sty m:val="p"/>
                </m:rPr>
                <m:t>,</m:t>
              </m:r>
              <m:r>
                <m:rPr>
                  <m:sty m:val="p"/>
                </m:rPr>
                <m:t>ℓ</m:t>
              </m:r>
            </m:e>
          </m:d>
        </m:oMath>
      </m:oMathPara>
    </w:p>
    <w:p>
      <w:pPr>
        <w:pStyle w:val="FirstParagraph"/>
      </w:pPr>
      <w:r>
        <w:t xml:space="preserve">where</w:t>
      </w:r>
      <w:r>
        <w:t xml:space="preserve"> </w:t>
      </w:r>
      <m:oMath>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CVD deaths from cause</w:t>
      </w:r>
      <w:r>
        <w:t xml:space="preserve"> </w:t>
      </w:r>
      <m:oMath>
        <m:r>
          <m:t>c</m:t>
        </m:r>
      </m:oMath>
      <w:r>
        <w:t xml:space="preserve"> </w:t>
      </w:r>
      <w:r>
        <w:t xml:space="preserve">(the</w:t>
      </w:r>
      <w:r>
        <w:t xml:space="preserve"> </w:t>
      </w:r>
      <w:r>
        <w:rPr>
          <w:rStyle w:val="VerbatimChar"/>
        </w:rPr>
        <w:t xml:space="preserve">dead</w:t>
      </w:r>
      <w:r>
        <w:t xml:space="preserve"> </w:t>
      </w:r>
      <w:r>
        <w:t xml:space="preserve">variable from the state-transition model output) and</w:t>
      </w:r>
      <w:r>
        <w:t xml:space="preserve"> </w:t>
      </w:r>
      <m:oMath>
        <m:sSub>
          <m:e>
            <m:r>
              <m:t>e</m:t>
            </m:r>
          </m:e>
          <m:sub>
            <m:r>
              <m:t>x</m:t>
            </m:r>
          </m:sub>
        </m:sSub>
        <m:d>
          <m:dPr>
            <m:begChr m:val="("/>
            <m:sepChr m:val=""/>
            <m:endChr m:val=")"/>
            <m:grow/>
          </m:dPr>
          <m:e>
            <m:r>
              <m:t>a</m:t>
            </m:r>
            <m:r>
              <m:rPr>
                <m:sty m:val="p"/>
              </m:rPr>
              <m:t>,</m:t>
            </m:r>
            <m:r>
              <m:t>t</m:t>
            </m:r>
            <m:r>
              <m:rPr>
                <m:sty m:val="p"/>
              </m:rPr>
              <m:t>,</m:t>
            </m:r>
            <m:r>
              <m:rPr>
                <m:sty m:val="p"/>
              </m:rPr>
              <m:t>ℓ</m:t>
            </m:r>
          </m:e>
        </m:d>
      </m:oMath>
      <w:r>
        <w:t xml:space="preserve"> </w:t>
      </w:r>
      <w:r>
        <w:t xml:space="preserve">is the remaining life expectancy at exact age</w:t>
      </w:r>
      <w:r>
        <w:t xml:space="preserve"> </w:t>
      </w:r>
      <m:oMath>
        <m:r>
          <m:t>a</m:t>
        </m:r>
      </m:oMath>
      <w:r>
        <w:t xml:space="preserve"> </w:t>
      </w:r>
      <w:r>
        <w:t xml:space="preserve">in year</w:t>
      </w:r>
      <w:r>
        <w:t xml:space="preserve"> </w:t>
      </w:r>
      <m:oMath>
        <m:r>
          <m:t>t</m:t>
        </m:r>
      </m:oMath>
      <w:r>
        <w:t xml:space="preserve"> </w:t>
      </w:r>
      <w:r>
        <w:t xml:space="preserve">for location</w:t>
      </w:r>
      <w:r>
        <w:t xml:space="preserve"> </w:t>
      </w:r>
      <m:oMath>
        <m:r>
          <m:rPr>
            <m:sty m:val="p"/>
          </m:rPr>
          <m:t>ℓ</m:t>
        </m:r>
      </m:oMath>
      <w:r>
        <w:t xml:space="preserve">, taken from the United Nations World Population Prospects 2024 revision, medium variant (both sexes combined). Life expectancy values are country- and year-specific, reflecting projected demographic conditions rather than a fixed global standard.</w:t>
      </w:r>
    </w:p>
    <w:bookmarkEnd w:id="173"/>
    <w:bookmarkStart w:id="174" w:name="years-lived-with-disability-yld"/>
    <w:p>
      <w:pPr>
        <w:pStyle w:val="Heading4"/>
      </w:pPr>
      <w:r>
        <w:rPr>
          <w:rStyle w:val="SectionNumber"/>
        </w:rPr>
        <w:t xml:space="preserve">10.3.6.2</w:t>
      </w:r>
      <w:r>
        <w:tab/>
      </w:r>
      <w:r>
        <w:t xml:space="preserve">Years Lived with Disability (YLD)</w:t>
      </w:r>
    </w:p>
    <w:p>
      <w:pPr>
        <w:pStyle w:val="FirstParagraph"/>
      </w:pPr>
      <w:r>
        <w:t xml:space="preserve">YLDs were computed using a prevalence-based approach as the product of the number of prevalent CVD cases and a cause- and location-specific disability weight:</w:t>
      </w:r>
    </w:p>
    <w:p>
      <w:pPr>
        <w:pStyle w:val="BodyText"/>
      </w:pPr>
      <m:oMathPara>
        <m:oMathParaPr>
          <m:jc m:val="center"/>
        </m:oMathParaPr>
        <m:oMath>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D</m:t>
          </m:r>
          <m:sSub>
            <m:e>
              <m:r>
                <m:t>W</m:t>
              </m:r>
            </m:e>
            <m:sub>
              <m:r>
                <m:t>c</m:t>
              </m:r>
              <m:r>
                <m:rPr>
                  <m:sty m:val="p"/>
                </m:rPr>
                <m:t>,</m:t>
              </m:r>
              <m:r>
                <m:rPr>
                  <m:sty m:val="p"/>
                </m:rPr>
                <m:t>ℓ</m:t>
              </m:r>
            </m:sub>
          </m:sSub>
        </m:oMath>
      </m:oMathPara>
    </w:p>
    <w:p>
      <w:pPr>
        <w:pStyle w:val="FirstParagraph"/>
      </w:pPr>
      <w:r>
        <w:t xml:space="preserve">where</w:t>
      </w:r>
      <w:r>
        <w:t xml:space="preserve"> </w:t>
      </w:r>
      <m:oMath>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individuals in the Sick (prevalent) state for cause</w:t>
      </w:r>
      <w:r>
        <w:t xml:space="preserve"> </w:t>
      </w:r>
      <m:oMath>
        <m:r>
          <m:t>c</m:t>
        </m:r>
      </m:oMath>
      <w:r>
        <w:t xml:space="preserve"> </w:t>
      </w:r>
      <w:r>
        <w:t xml:space="preserve">from the state-transition model output, and</w:t>
      </w:r>
      <w:r>
        <w:t xml:space="preserve"> </w:t>
      </w:r>
      <m:oMath>
        <m:r>
          <m:t>D</m:t>
        </m:r>
        <m:sSub>
          <m:e>
            <m:r>
              <m:t>W</m:t>
            </m:r>
          </m:e>
          <m:sub>
            <m:r>
              <m:t>c</m:t>
            </m:r>
            <m:r>
              <m:rPr>
                <m:sty m:val="p"/>
              </m:rPr>
              <m:t>,</m:t>
            </m:r>
            <m:r>
              <m:rPr>
                <m:sty m:val="p"/>
              </m:rPr>
              <m:t>ℓ</m:t>
            </m:r>
          </m:sub>
        </m:sSub>
      </m:oMath>
      <w:r>
        <w:t xml:space="preserve"> </w:t>
      </w:r>
      <w:r>
        <w:t xml:space="preserve">is the disability weight for cause</w:t>
      </w:r>
      <w:r>
        <w:t xml:space="preserve"> </w:t>
      </w:r>
      <m:oMath>
        <m:r>
          <m:t>c</m:t>
        </m:r>
      </m:oMath>
      <w:r>
        <w:t xml:space="preserve"> </w:t>
      </w:r>
      <w:r>
        <w:t xml:space="preserve">in location</w:t>
      </w:r>
      <w:r>
        <w:t xml:space="preserve"> </w:t>
      </w:r>
      <m:oMath>
        <m:r>
          <m:rPr>
            <m:sty m:val="p"/>
          </m:rPr>
          <m:t>ℓ</m:t>
        </m:r>
      </m:oMath>
      <w:r>
        <w:t xml:space="preserve">. Disability weights were derived from GBD 2023 data as the ratio of cause-specific years lived with disability to prevalence for each cause and location:</w:t>
      </w:r>
    </w:p>
    <w:p>
      <w:pPr>
        <w:pStyle w:val="BodyText"/>
      </w:pPr>
      <m:oMathPara>
        <m:oMathParaPr>
          <m:jc m:val="center"/>
        </m:oMathParaPr>
        <m:oMath>
          <m:r>
            <m:t>D</m:t>
          </m:r>
          <m:sSub>
            <m:e>
              <m:r>
                <m:t>W</m:t>
              </m:r>
            </m:e>
            <m:sub>
              <m:r>
                <m:t>c</m:t>
              </m:r>
              <m:r>
                <m:rPr>
                  <m:sty m:val="p"/>
                </m:rPr>
                <m:t>,</m:t>
              </m:r>
              <m:r>
                <m:rPr>
                  <m:sty m:val="p"/>
                </m:rPr>
                <m:t>ℓ</m:t>
              </m:r>
            </m:sub>
          </m:sSub>
          <m:r>
            <m:rPr>
              <m:sty m:val="p"/>
            </m:rPr>
            <m:t>=</m:t>
          </m:r>
          <m:f>
            <m:fPr>
              <m:type m:val="bar"/>
            </m:fPr>
            <m:num>
              <m:r>
                <m:t>Y</m:t>
              </m:r>
              <m:r>
                <m:t>L</m:t>
              </m:r>
              <m:sSubSup>
                <m:e>
                  <m:r>
                    <m:t>D</m:t>
                  </m:r>
                </m:e>
                <m:sub>
                  <m:r>
                    <m:t>c</m:t>
                  </m:r>
                  <m:r>
                    <m:rPr>
                      <m:sty m:val="p"/>
                    </m:rPr>
                    <m:t>,</m:t>
                  </m:r>
                  <m:r>
                    <m:rPr>
                      <m:sty m:val="p"/>
                    </m:rPr>
                    <m:t>ℓ</m:t>
                  </m:r>
                </m:sub>
                <m:sup>
                  <m:r>
                    <m:rPr>
                      <m:nor/>
                      <m:sty m:val="p"/>
                    </m:rPr>
                    <m:t>GBD</m:t>
                  </m:r>
                </m:sup>
              </m:sSubSup>
            </m:num>
            <m:den>
              <m:r>
                <m:t>P</m:t>
              </m:r>
              <m:r>
                <m:t>r</m:t>
              </m:r>
              <m:r>
                <m:t>e</m:t>
              </m:r>
              <m:r>
                <m:t>v</m:t>
              </m:r>
              <m:r>
                <m:t>a</m:t>
              </m:r>
              <m:r>
                <m:t>l</m:t>
              </m:r>
              <m:r>
                <m:t>e</m:t>
              </m:r>
              <m:r>
                <m:t>n</m:t>
              </m:r>
              <m:r>
                <m:t>c</m:t>
              </m:r>
              <m:sSubSup>
                <m:e>
                  <m:r>
                    <m:t>e</m:t>
                  </m:r>
                </m:e>
                <m:sub>
                  <m:r>
                    <m:t>c</m:t>
                  </m:r>
                  <m:r>
                    <m:rPr>
                      <m:sty m:val="p"/>
                    </m:rPr>
                    <m:t>,</m:t>
                  </m:r>
                  <m:r>
                    <m:rPr>
                      <m:sty m:val="p"/>
                    </m:rPr>
                    <m:t>ℓ</m:t>
                  </m:r>
                </m:sub>
                <m:sup>
                  <m:r>
                    <m:rPr>
                      <m:nor/>
                      <m:sty m:val="p"/>
                    </m:rPr>
                    <m:t>GBD</m:t>
                  </m:r>
                </m:sup>
              </m:sSubSup>
            </m:den>
          </m:f>
        </m:oMath>
      </m:oMathPara>
    </w:p>
    <w:p>
      <w:pPr>
        <w:pStyle w:val="FirstParagraph"/>
      </w:pPr>
      <w:r>
        <w:t xml:space="preserve">This approach yields an implicit, frequency-weighted average disability weight that reflects the severity distribution observed in each country. No explicit duration of disability was modelled; the prevalence-based formulation captures the YLD burden attributable to the stock of prevalent cases at each time point.</w:t>
      </w:r>
    </w:p>
    <w:bookmarkEnd w:id="174"/>
    <w:bookmarkStart w:id="175" w:name="disability-adjusted-life-years-daly"/>
    <w:p>
      <w:pPr>
        <w:pStyle w:val="Heading4"/>
      </w:pPr>
      <w:r>
        <w:rPr>
          <w:rStyle w:val="SectionNumber"/>
        </w:rPr>
        <w:t xml:space="preserve">10.3.6.3</w:t>
      </w:r>
      <w:r>
        <w:tab/>
      </w:r>
      <w:r>
        <w:t xml:space="preserve">Disability-Adjusted Life Years (DALY)</w:t>
      </w:r>
    </w:p>
    <w:p>
      <w:pPr>
        <w:pStyle w:val="FirstParagraph"/>
      </w:pPr>
      <w:r>
        <w:t xml:space="preserve">Total DALYs were computed as:</w:t>
      </w:r>
    </w:p>
    <w:p>
      <w:pPr>
        <w:pStyle w:val="BodyText"/>
      </w:pPr>
      <m:oMathPara>
        <m:oMathParaPr>
          <m:jc m:val="center"/>
        </m:oMathParaPr>
        <m:oMath>
          <m:r>
            <m:t>D</m:t>
          </m:r>
          <m:r>
            <m:t>A</m:t>
          </m:r>
          <m:r>
            <m:t>L</m:t>
          </m:r>
          <m:sSub>
            <m:e>
              <m:r>
                <m:t>Y</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m:oMathPara>
    </w:p>
    <w:p>
      <w:pPr>
        <w:pStyle w:val="FirstParagraph"/>
      </w:pPr>
      <w:r>
        <w:t xml:space="preserve">DALYs averted were computed as the difference between the business-as-usual (BAU) scenario and each intervention scenario, summed across all strata:</w:t>
      </w:r>
    </w:p>
    <w:p>
      <w:pPr>
        <w:pStyle w:val="BodyText"/>
      </w:pPr>
      <m:oMathPara>
        <m:oMathParaPr>
          <m:jc m:val="center"/>
        </m:oMathParaPr>
        <m:oMath>
          <m:sSub>
            <m:e>
              <m:r>
                <m:rPr>
                  <m:nor/>
                  <m:sty m:val="p"/>
                </m:rPr>
                <m:t>DALYs averted</m:t>
              </m:r>
            </m:e>
            <m:sub>
              <m:r>
                <m:t>j</m:t>
              </m:r>
            </m:sub>
          </m:sSub>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rPr>
                  <m:nor/>
                  <m:sty m:val="p"/>
                </m:rPr>
                <m:t>BAU</m:t>
              </m:r>
            </m:sup>
          </m:sSubSup>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t>j</m:t>
              </m:r>
            </m:sup>
          </m:sSubSup>
        </m:oMath>
      </m:oMathPara>
    </w:p>
    <w:p>
      <w:pPr>
        <w:pStyle w:val="FirstParagraph"/>
      </w:pPr>
      <w:r>
        <w:t xml:space="preserve">The same differencing logic was applied separately to YLLs averted and YLDs averted.</w:t>
      </w:r>
    </w:p>
    <w:bookmarkEnd w:id="175"/>
    <w:bookmarkStart w:id="176" w:name="reference-standards-and-weights"/>
    <w:p>
      <w:pPr>
        <w:pStyle w:val="Heading4"/>
      </w:pPr>
      <w:r>
        <w:rPr>
          <w:rStyle w:val="SectionNumber"/>
        </w:rPr>
        <w:t xml:space="preserve">10.3.6.4</w:t>
      </w:r>
      <w:r>
        <w:tab/>
      </w:r>
      <w:r>
        <w:t xml:space="preserve">Reference Standards and Weights</w:t>
      </w:r>
    </w:p>
    <w:tbl>
      <w:tblPr>
        <w:tblStyle w:val="Table"/>
        <w:tblW w:type="pct" w:w="5000"/>
        <w:tblLayout w:type="fixed"/>
        <w:tblLook w:firstRow="1" w:lastRow="0" w:firstColumn="0" w:lastColumn="0" w:noHBand="0" w:noVBand="0" w:val="0020"/>
      </w:tblPr>
      <w:tblGrid>
        <w:gridCol w:w="1241"/>
        <w:gridCol w:w="1840"/>
        <w:gridCol w:w="256"/>
        <w:gridCol w:w="4580"/>
      </w:tblGrid>
      <w:tr>
        <w:trPr>
          <w:tblHeader w:val="on"/>
        </w:trPr>
        <w:tc>
          <w:tcPr/>
          <w:p>
            <w:pPr>
              <w:pStyle w:val="Compact"/>
              <w:jc w:val="left"/>
            </w:pPr>
            <w:r>
              <w:t xml:space="preserve">Parameter</w:t>
            </w:r>
          </w:p>
        </w:tc>
        <w:tc>
          <w:tcPr/>
          <w:p>
            <w:pPr>
              <w:pStyle w:val="Compact"/>
              <w:jc w:val="left"/>
            </w:pPr>
            <w:r>
              <w:t xml:space="preserve">Value or Source</w:t>
            </w:r>
          </w:p>
        </w:tc>
        <w:tc>
          <w:tcPr/>
          <w:p>
            <w:pPr>
              <w:pStyle w:val="Compact"/>
              <w:jc w:val="center"/>
            </w:pPr>
            <w:r>
              <w:t xml:space="preserve">Year</w:t>
            </w:r>
          </w:p>
        </w:tc>
        <w:tc>
          <w:tcPr/>
          <w:p>
            <w:pPr>
              <w:pStyle w:val="Compact"/>
              <w:jc w:val="left"/>
            </w:pPr>
            <w:r>
              <w:t xml:space="preserve">Notes</w:t>
            </w:r>
          </w:p>
        </w:tc>
      </w:tr>
      <w:tr>
        <w:tc>
          <w:tcPr/>
          <w:p>
            <w:pPr>
              <w:pStyle w:val="Compact"/>
              <w:jc w:val="left"/>
            </w:pPr>
            <w:r>
              <w:t xml:space="preserve">Life table standard</w:t>
            </w:r>
          </w:p>
        </w:tc>
        <w:tc>
          <w:tcPr/>
          <w:p>
            <w:pPr>
              <w:pStyle w:val="Compact"/>
              <w:jc w:val="left"/>
            </w:pPr>
            <w:r>
              <w:t xml:space="preserve">UNWPP 2024, medium variant</w:t>
            </w:r>
          </w:p>
        </w:tc>
        <w:tc>
          <w:tcPr/>
          <w:p>
            <w:pPr>
              <w:pStyle w:val="Compact"/>
              <w:jc w:val="center"/>
            </w:pPr>
            <w:r>
              <w:t xml:space="preserve">2024</w:t>
            </w:r>
          </w:p>
        </w:tc>
        <w:tc>
          <w:tcPr/>
          <w:p>
            <w:pPr>
              <w:pStyle w:val="Compact"/>
              <w:jc w:val="left"/>
            </w:pPr>
            <w:r>
              <w:t xml:space="preserve">Country- and year-specific remaining life expectancy at exact age x (ex), both sexes combined</w:t>
            </w:r>
          </w:p>
        </w:tc>
      </w:tr>
      <w:tr>
        <w:tc>
          <w:tcPr/>
          <w:p>
            <w:pPr>
              <w:pStyle w:val="Compact"/>
              <w:jc w:val="left"/>
            </w:pPr>
            <w:r>
              <w:t xml:space="preserve">Disability weight source</w:t>
            </w:r>
          </w:p>
        </w:tc>
        <w:tc>
          <w:tcPr/>
          <w:p>
            <w:pPr>
              <w:pStyle w:val="Compact"/>
              <w:jc w:val="left"/>
            </w:pPr>
            <w:r>
              <w:t xml:space="preserve">GBD 2023 (IHME)</w:t>
            </w:r>
          </w:p>
        </w:tc>
        <w:tc>
          <w:tcPr/>
          <w:p>
            <w:pPr>
              <w:pStyle w:val="Compact"/>
              <w:jc w:val="center"/>
            </w:pPr>
            <w:r>
              <w:t xml:space="preserve">2023</w:t>
            </w:r>
          </w:p>
        </w:tc>
        <w:tc>
          <w:tcPr/>
          <w:p>
            <w:pPr>
              <w:pStyle w:val="Compact"/>
              <w:jc w:val="left"/>
            </w:pPr>
            <w:r>
              <w:t xml:space="preserve">IHME-GBD_2023_DATA-52d32656-1</w:t>
            </w:r>
          </w:p>
        </w:tc>
      </w:tr>
      <w:tr>
        <w:tc>
          <w:tcPr/>
          <w:p>
            <w:pPr>
              <w:pStyle w:val="Compact"/>
              <w:jc w:val="left"/>
            </w:pPr>
            <w:r>
              <w:t xml:space="preserve">Disability weight derivation</w:t>
            </w:r>
          </w:p>
        </w:tc>
        <w:tc>
          <w:tcPr/>
          <w:p>
            <w:pPr>
              <w:pStyle w:val="Compact"/>
              <w:jc w:val="left"/>
            </w:pPr>
            <w:r>
              <w:t xml:space="preserve">YLD / Prevalence, by cause and location</w:t>
            </w:r>
          </w:p>
        </w:tc>
        <w:tc>
          <w:tcPr/>
          <w:p>
            <w:pPr>
              <w:pStyle w:val="Compact"/>
              <w:jc w:val="center"/>
            </w:pPr>
            <w:r>
              <w:t xml:space="preserve">2023</w:t>
            </w:r>
          </w:p>
        </w:tc>
        <w:tc>
          <w:tcPr/>
          <w:p>
            <w:pPr>
              <w:pStyle w:val="Compact"/>
              <w:jc w:val="left"/>
            </w:pPr>
            <w:r>
              <w:t xml:space="preserve">Implicit frequency-weighted severity; country-specific for IHD, ischaemic stroke, haemorrhagic stroke, HHD</w:t>
            </w:r>
          </w:p>
        </w:tc>
      </w:tr>
      <w:tr>
        <w:tc>
          <w:tcPr/>
          <w:p>
            <w:pPr>
              <w:pStyle w:val="Compact"/>
              <w:jc w:val="left"/>
            </w:pPr>
            <w:r>
              <w:t xml:space="preserve">Age weighting</w:t>
            </w:r>
          </w:p>
        </w:tc>
        <w:tc>
          <w:tcPr/>
          <w:p>
            <w:pPr>
              <w:pStyle w:val="Compact"/>
              <w:jc w:val="left"/>
            </w:pPr>
            <w:r>
              <w:t xml:space="preserve">None (K = 0)</w:t>
            </w:r>
          </w:p>
        </w:tc>
        <w:tc>
          <w:tcPr/>
          <w:p>
            <w:pPr>
              <w:pStyle w:val="Compact"/>
              <w:jc w:val="center"/>
            </w:pPr>
            <w:r>
              <w:t xml:space="preserve">—</w:t>
            </w:r>
          </w:p>
        </w:tc>
        <w:tc>
          <w:tcPr/>
          <w:p>
            <w:pPr>
              <w:pStyle w:val="Compact"/>
              <w:jc w:val="left"/>
            </w:pPr>
            <w:r>
              <w:t xml:space="preserve">Uniform weighting across all ages</w:t>
            </w:r>
          </w:p>
        </w:tc>
      </w:tr>
      <w:tr>
        <w:tc>
          <w:tcPr/>
          <w:p>
            <w:pPr>
              <w:pStyle w:val="Compact"/>
              <w:jc w:val="left"/>
            </w:pPr>
            <w:r>
              <w:t xml:space="preserve">Time discount rate</w:t>
            </w:r>
          </w:p>
        </w:tc>
        <w:tc>
          <w:tcPr/>
          <w:p>
            <w:pPr>
              <w:pStyle w:val="Compact"/>
              <w:jc w:val="left"/>
            </w:pPr>
            <w:r>
              <w:t xml:space="preserve">None — undiscounted (r = 0)</w:t>
            </w:r>
          </w:p>
        </w:tc>
        <w:tc>
          <w:tcPr/>
          <w:p>
            <w:pPr>
              <w:pStyle w:val="Compact"/>
              <w:jc w:val="center"/>
            </w:pPr>
            <w:r>
              <w:t xml:space="preserve">—</w:t>
            </w:r>
          </w:p>
        </w:tc>
        <w:tc>
          <w:tcPr/>
          <w:p>
            <w:pPr>
              <w:pStyle w:val="Compact"/>
              <w:jc w:val="left"/>
            </w:pPr>
            <w:r>
              <w:t xml:space="preserve">Future health losses valued equally regardless of when they occur</w:t>
            </w:r>
          </w:p>
        </w:tc>
      </w:tr>
      <w:tr>
        <w:tc>
          <w:tcPr/>
          <w:p>
            <w:pPr>
              <w:pStyle w:val="Compact"/>
              <w:jc w:val="left"/>
            </w:pPr>
            <w:r>
              <w:t xml:space="preserve">Duration of disability</w:t>
            </w:r>
          </w:p>
        </w:tc>
        <w:tc>
          <w:tcPr/>
          <w:p>
            <w:pPr>
              <w:pStyle w:val="Compact"/>
              <w:jc w:val="left"/>
            </w:pPr>
            <w:r>
              <w:t xml:space="preserve">Prevalence-based (not explicitly modelled)</w:t>
            </w:r>
          </w:p>
        </w:tc>
        <w:tc>
          <w:tcPr/>
          <w:p>
            <w:pPr>
              <w:pStyle w:val="Compact"/>
              <w:jc w:val="center"/>
            </w:pPr>
            <w:r>
              <w:t xml:space="preserve">—</w:t>
            </w:r>
          </w:p>
        </w:tc>
        <w:tc>
          <w:tcPr/>
          <w:p>
            <w:pPr>
              <w:pStyle w:val="Compact"/>
              <w:jc w:val="left"/>
            </w:pPr>
            <w:r>
              <w:t xml:space="preserve">YLD = prevalent cases x DW at each annual time step; no explicit incidence x duration calculation</w:t>
            </w:r>
          </w:p>
        </w:tc>
      </w:tr>
    </w:tbl>
    <w:p>
      <w:pPr>
        <w:pStyle w:val="BodyText"/>
      </w:pPr>
      <w:r>
        <w:rPr>
          <w:i/>
          <w:iCs/>
        </w:rPr>
        <w:t xml:space="preserve">Sources: United Nations, Department of Economic and Social Affairs, Population Division (2024). World Population Prospects 2024, Online Edition. Institute for Health Metrics and Evaluation (IHME). Global Burden of Disease Study 2023 (GBD 2023) Results. Seattle, United States: IHME, 2024.</w:t>
      </w:r>
    </w:p>
    <w:bookmarkEnd w:id="176"/>
    <w:bookmarkEnd w:id="177"/>
    <w:bookmarkStart w:id="184" w:name="sec:econ-methods"/>
    <w:p>
      <w:pPr>
        <w:pStyle w:val="Heading3"/>
      </w:pPr>
      <w:r>
        <w:rPr>
          <w:rStyle w:val="SectionNumber"/>
        </w:rPr>
        <w:t xml:space="preserve">10.3.7</w:t>
      </w:r>
      <w:r>
        <w:tab/>
      </w:r>
      <w:r>
        <w:t xml:space="preserve">Economic Valuation Methods</w:t>
      </w:r>
    </w:p>
    <w:p>
      <w:pPr>
        <w:pStyle w:val="FirstParagraph"/>
      </w:pPr>
      <w:r>
        <w:t xml:space="preserve">The economic value of avoided CVD mortality was estimated using the Value of a Statistical Life (VSL) and Value of a Statistical Life Year (VSLY) frameworks, following the benefit-transfer methodology of Robinson et al.</w:t>
      </w:r>
      <w:r>
        <w:t xml:space="preserve"> </w:t>
      </w:r>
      <w:r>
        <w:t xml:space="preserve">(2019)</w:t>
      </w:r>
      <w:r>
        <w:t xml:space="preserve">.</w:t>
      </w:r>
    </w:p>
    <w:bookmarkStart w:id="178" w:name="value-of-a-statistical-life-vsl-transfer"/>
    <w:p>
      <w:pPr>
        <w:pStyle w:val="Heading4"/>
      </w:pPr>
      <w:r>
        <w:rPr>
          <w:rStyle w:val="SectionNumber"/>
        </w:rPr>
        <w:t xml:space="preserve">10.3.7.1</w:t>
      </w:r>
      <w:r>
        <w:tab/>
      </w:r>
      <w:r>
        <w:t xml:space="preserve">Value of a Statistical Life (VSL) Transfer</w:t>
      </w:r>
    </w:p>
    <w:p>
      <w:pPr>
        <w:pStyle w:val="FirstParagraph"/>
      </w:pPr>
      <w:r>
        <w:t xml:space="preserve">Country-specific VSL was derived by transferring from a United States reference value using an income-elasticity adjustment:</w:t>
      </w:r>
    </w:p>
    <w:p>
      <w:pPr>
        <w:pStyle w:val="BodyText"/>
      </w:pPr>
      <m:oMathPara>
        <m:oMathParaPr>
          <m:jc m:val="center"/>
        </m:oMathParaPr>
        <m:oMath>
          <m:sSub>
            <m:e>
              <m:r>
                <m:rPr>
                  <m:nor/>
                  <m:sty m:val="p"/>
                </m:rPr>
                <m:t>VSL</m:t>
              </m:r>
            </m:e>
            <m:sub>
              <m:r>
                <m:rPr>
                  <m:sty m:val="p"/>
                </m:rPr>
                <m:t>ℓ</m:t>
              </m:r>
              <m:r>
                <m:rPr>
                  <m:sty m:val="p"/>
                </m:rPr>
                <m:t>,</m:t>
              </m:r>
              <m:r>
                <m:t>t</m:t>
              </m:r>
            </m:sub>
          </m:sSub>
          <m:r>
            <m:rPr>
              <m:sty m:val="p"/>
            </m:rPr>
            <m:t>=</m:t>
          </m:r>
          <m:r>
            <m:t>λ</m:t>
          </m:r>
          <m:r>
            <m:rPr>
              <m:sty m:val="p"/>
            </m:rPr>
            <m:t>⋅</m:t>
          </m:r>
          <m:sSubSup>
            <m:e>
              <m:r>
                <m:t>Y</m:t>
              </m:r>
            </m:e>
            <m:sub>
              <m:r>
                <m:t>t</m:t>
              </m:r>
            </m:sub>
            <m:sup>
              <m:r>
                <m:rPr>
                  <m:nor/>
                  <m:sty m:val="p"/>
                </m:rPr>
                <m:t>US</m:t>
              </m:r>
            </m:sup>
          </m:sSubSup>
          <m:r>
            <m:rPr>
              <m:sty m:val="p"/>
            </m:rPr>
            <m:t>⋅</m:t>
          </m:r>
          <m:sSup>
            <m:e>
              <m:d>
                <m:dPr>
                  <m:begChr m:val="("/>
                  <m:sepChr m:val=""/>
                  <m:endChr m:val=")"/>
                  <m:grow/>
                </m:dPr>
                <m:e>
                  <m:f>
                    <m:fPr>
                      <m:type m:val="bar"/>
                    </m:fPr>
                    <m:num>
                      <m:sSub>
                        <m:e>
                          <m:r>
                            <m:t>Y</m:t>
                          </m:r>
                        </m:e>
                        <m:sub>
                          <m:r>
                            <m:rPr>
                              <m:sty m:val="p"/>
                            </m:rPr>
                            <m:t>ℓ</m:t>
                          </m:r>
                          <m:r>
                            <m:rPr>
                              <m:sty m:val="p"/>
                            </m:rPr>
                            <m:t>,</m:t>
                          </m:r>
                          <m:r>
                            <m:t>t</m:t>
                          </m:r>
                        </m:sub>
                      </m:sSub>
                    </m:num>
                    <m:den>
                      <m:sSubSup>
                        <m:e>
                          <m:r>
                            <m:t>Y</m:t>
                          </m:r>
                        </m:e>
                        <m:sub>
                          <m:r>
                            <m:t>t</m:t>
                          </m:r>
                        </m:sub>
                        <m:sup>
                          <m:r>
                            <m:rPr>
                              <m:nor/>
                              <m:sty m:val="p"/>
                            </m:rPr>
                            <m:t>US</m:t>
                          </m:r>
                        </m:sup>
                      </m:sSubSup>
                    </m:den>
                  </m:f>
                </m:e>
              </m:d>
            </m:e>
            <m:sup>
              <m:r>
                <m:t>η</m:t>
              </m:r>
            </m:sup>
          </m:sSup>
        </m:oMath>
      </m:oMathPara>
    </w:p>
    <w:p>
      <w:pPr>
        <w:pStyle w:val="FirstParagraph"/>
      </w:pPr>
      <w:r>
        <w:t xml:space="preserve">where</w:t>
      </w:r>
      <w:r>
        <w:t xml:space="preserve"> </w:t>
      </w:r>
      <m:oMath>
        <m:r>
          <m:t>λ</m:t>
        </m:r>
        <m:r>
          <m:rPr>
            <m:sty m:val="p"/>
          </m:rPr>
          <m:t>=</m:t>
        </m:r>
        <m:r>
          <m:t>160</m:t>
        </m:r>
      </m:oMath>
      <w:r>
        <w:t xml:space="preserve"> </w:t>
      </w:r>
      <w:r>
        <w:t xml:space="preserve">is the VSL-to-income ratio for the United States (such that</w:t>
      </w:r>
      <w:r>
        <w:t xml:space="preserve"> </w:t>
      </w:r>
      <m:oMath>
        <m:sSub>
          <m:e>
            <m:r>
              <m:rPr>
                <m:nor/>
                <m:sty m:val="p"/>
              </m:rPr>
              <m:t>VSL</m:t>
            </m:r>
          </m:e>
          <m:sub>
            <m:r>
              <m:rPr>
                <m:nor/>
                <m:sty m:val="p"/>
              </m:rPr>
              <m:t>US</m:t>
            </m:r>
          </m:sub>
        </m:sSub>
        <m:r>
          <m:rPr>
            <m:sty m:val="p"/>
          </m:rPr>
          <m:t>=</m:t>
        </m:r>
        <m:r>
          <m:t>λ</m:t>
        </m:r>
        <m:r>
          <m:rPr>
            <m:sty m:val="p"/>
          </m:rPr>
          <m:t>⋅</m:t>
        </m:r>
        <m:sSup>
          <m:e>
            <m:r>
              <m:t>Y</m:t>
            </m:r>
          </m:e>
          <m:sup>
            <m:r>
              <m:rPr>
                <m:nor/>
                <m:sty m:val="p"/>
              </m:rPr>
              <m:t>US</m:t>
            </m:r>
          </m:sup>
        </m:sSup>
      </m:oMath>
      <w:r>
        <w:t xml:space="preserve">),</w:t>
      </w:r>
      <w:r>
        <w:t xml:space="preserve"> </w:t>
      </w:r>
      <m:oMath>
        <m:sSub>
          <m:e>
            <m:r>
              <m:t>Y</m:t>
            </m:r>
          </m:e>
          <m:sub>
            <m:r>
              <m:rPr>
                <m:sty m:val="p"/>
              </m:rPr>
              <m:t>ℓ</m:t>
            </m:r>
            <m:r>
              <m:rPr>
                <m:sty m:val="p"/>
              </m:rPr>
              <m:t>,</m:t>
            </m:r>
            <m:r>
              <m:t>t</m:t>
            </m:r>
          </m:sub>
        </m:sSub>
      </m:oMath>
      <w:r>
        <w:t xml:space="preserve"> </w:t>
      </w:r>
      <w:r>
        <w:t xml:space="preserve">is gross national income (GNI) per capita in purchasing power parity (PPP) terms for location</w:t>
      </w:r>
      <w:r>
        <w:t xml:space="preserve"> </w:t>
      </w:r>
      <m:oMath>
        <m:r>
          <m:rPr>
            <m:sty m:val="p"/>
          </m:rPr>
          <m:t>ℓ</m:t>
        </m:r>
      </m:oMath>
      <w:r>
        <w:t xml:space="preserve"> </w:t>
      </w:r>
      <w:r>
        <w:t xml:space="preserve">in year</w:t>
      </w:r>
      <w:r>
        <w:t xml:space="preserve"> </w:t>
      </w:r>
      <m:oMath>
        <m:r>
          <m:t>t</m:t>
        </m:r>
      </m:oMath>
      <w:r>
        <w:t xml:space="preserve">,</w:t>
      </w:r>
      <w:r>
        <w:t xml:space="preserve"> </w:t>
      </w:r>
      <m:oMath>
        <m:sSubSup>
          <m:e>
            <m:r>
              <m:t>Y</m:t>
            </m:r>
          </m:e>
          <m:sub>
            <m:r>
              <m:t>t</m:t>
            </m:r>
          </m:sub>
          <m:sup>
            <m:r>
              <m:rPr>
                <m:nor/>
                <m:sty m:val="p"/>
              </m:rPr>
              <m:t>US</m:t>
            </m:r>
          </m:sup>
        </m:sSubSup>
      </m:oMath>
      <w:r>
        <w:t xml:space="preserve"> </w:t>
      </w:r>
      <w:r>
        <w:t xml:space="preserve">is the corresponding US GNI per capita, and</w:t>
      </w:r>
      <w:r>
        <w:t xml:space="preserve"> </w:t>
      </w:r>
      <m:oMath>
        <m:r>
          <m:t>η</m:t>
        </m:r>
      </m:oMath>
      <w:r>
        <w:t xml:space="preserve"> </w:t>
      </w:r>
      <w:r>
        <w:t xml:space="preserve">is the income elasticity of VSL.</w:t>
      </w:r>
    </w:p>
    <w:p>
      <w:pPr>
        <w:pStyle w:val="BodyText"/>
      </w:pPr>
      <w:r>
        <w:t xml:space="preserve">The primary estimate uses the differential elasticity recommended by Robinson et al.</w:t>
      </w:r>
      <w:r>
        <w:t xml:space="preserve"> </w:t>
      </w:r>
      <w:r>
        <w:t xml:space="preserve">(2019)</w:t>
      </w:r>
      <w:r>
        <w:t xml:space="preserve">:</w:t>
      </w:r>
    </w:p>
    <w:p>
      <w:pPr>
        <w:pStyle w:val="BodyText"/>
      </w:pPr>
      <m:oMathPara>
        <m:oMathParaPr>
          <m:jc m:val="center"/>
        </m:oMathParaPr>
        <m:oMath>
          <m:r>
            <m:t>η</m:t>
          </m:r>
          <m:r>
            <m:rPr>
              <m:sty m:val="p"/>
            </m:rPr>
            <m:t>=</m:t>
          </m:r>
          <m:d>
            <m:dPr>
              <m:begChr m:val="{"/>
              <m:sepChr m:val=""/>
              <m:endChr m:val=""/>
              <m:grow/>
            </m:dPr>
            <m:e>
              <m:m>
                <m:mPr>
                  <m:baseJc m:val="center"/>
                  <m:plcHide m:val="on"/>
                  <m:mcs>
                    <m:mc>
                      <m:mcPr>
                        <m:mcJc m:val="left"/>
                        <m:count m:val="1"/>
                      </m:mcPr>
                    </m:mc>
                    <m:mc>
                      <m:mcPr>
                        <m:mcJc m:val="left"/>
                        <m:count m:val="1"/>
                      </m:mcPr>
                    </m:mc>
                  </m:mcs>
                </m:mPr>
                <m:mr>
                  <m:e>
                    <m:r>
                      <m:t>0.8</m:t>
                    </m:r>
                  </m:e>
                  <m:e>
                    <m:r>
                      <m:rPr>
                        <m:nor/>
                        <m:sty m:val="p"/>
                      </m:rPr>
                      <m:t>if </m:t>
                    </m:r>
                    <m:sSub>
                      <m:e>
                        <m:r>
                          <m:t>Y</m:t>
                        </m:r>
                      </m:e>
                      <m:sub>
                        <m:r>
                          <m:rPr>
                            <m:sty m:val="p"/>
                          </m:rPr>
                          <m:t>ℓ</m:t>
                        </m:r>
                        <m:r>
                          <m:rPr>
                            <m:sty m:val="p"/>
                          </m:rPr>
                          <m:t>,</m:t>
                        </m:r>
                        <m:r>
                          <m:t>t</m:t>
                        </m:r>
                      </m:sub>
                    </m:sSub>
                    <m:r>
                      <m:rPr>
                        <m:sty m:val="p"/>
                      </m:rPr>
                      <m:t>≥</m:t>
                    </m:r>
                    <m:sSubSup>
                      <m:e>
                        <m:r>
                          <m:t>Y</m:t>
                        </m:r>
                      </m:e>
                      <m:sub>
                        <m:r>
                          <m:t>t</m:t>
                        </m:r>
                      </m:sub>
                      <m:sup>
                        <m:r>
                          <m:rPr>
                            <m:nor/>
                            <m:sty m:val="p"/>
                          </m:rPr>
                          <m:t>US</m:t>
                        </m:r>
                      </m:sup>
                    </m:sSubSup>
                  </m:e>
                </m:mr>
                <m:mr>
                  <m:e>
                    <m:r>
                      <m:t>1.2</m:t>
                    </m:r>
                  </m:e>
                  <m:e>
                    <m:r>
                      <m:rPr>
                        <m:nor/>
                        <m:sty m:val="p"/>
                      </m:rPr>
                      <m:t>if </m:t>
                    </m:r>
                    <m:sSub>
                      <m:e>
                        <m:r>
                          <m:t>Y</m:t>
                        </m:r>
                      </m:e>
                      <m:sub>
                        <m:r>
                          <m:rPr>
                            <m:sty m:val="p"/>
                          </m:rPr>
                          <m:t>ℓ</m:t>
                        </m:r>
                        <m:r>
                          <m:rPr>
                            <m:sty m:val="p"/>
                          </m:rPr>
                          <m:t>,</m:t>
                        </m:r>
                        <m:r>
                          <m:t>t</m:t>
                        </m:r>
                      </m:sub>
                    </m:sSub>
                    <m:r>
                      <m:rPr>
                        <m:sty m:val="p"/>
                      </m:rPr>
                      <m:t>&lt;</m:t>
                    </m:r>
                    <m:sSubSup>
                      <m:e>
                        <m:r>
                          <m:t>Y</m:t>
                        </m:r>
                      </m:e>
                      <m:sub>
                        <m:r>
                          <m:t>t</m:t>
                        </m:r>
                      </m:sub>
                      <m:sup>
                        <m:r>
                          <m:rPr>
                            <m:nor/>
                            <m:sty m:val="p"/>
                          </m:rPr>
                          <m:t>US</m:t>
                        </m:r>
                      </m:sup>
                    </m:sSubSup>
                  </m:e>
                </m:mr>
              </m:m>
            </m:e>
          </m:d>
        </m:oMath>
      </m:oMathPara>
    </w:p>
    <w:p>
      <w:pPr>
        <w:pStyle w:val="FirstParagraph"/>
      </w:pPr>
      <w:r>
        <w:t xml:space="preserve">Sensitivity analyses used uniform elasticities of 1.0 and 1.5.</w:t>
      </w:r>
    </w:p>
    <w:p>
      <w:pPr>
        <w:pStyle w:val="BodyText"/>
      </w:pPr>
      <w:r>
        <w:t xml:space="preserve">A floor constraint ensures that VSL does not fall below a minimum ratio to national income:</w:t>
      </w:r>
    </w:p>
    <w:p>
      <w:pPr>
        <w:pStyle w:val="BodyText"/>
      </w:pPr>
      <m:oMathPara>
        <m:oMathParaPr>
          <m:jc m:val="center"/>
        </m:oMathParaPr>
        <m:oMath>
          <m:sSub>
            <m:e>
              <m:r>
                <m:rPr>
                  <m:nor/>
                  <m:sty m:val="p"/>
                </m:rPr>
                <m:t>VSL</m:t>
              </m:r>
            </m:e>
            <m:sub>
              <m:r>
                <m:rPr>
                  <m:sty m:val="p"/>
                </m:rPr>
                <m:t>ℓ</m:t>
              </m:r>
              <m:r>
                <m:rPr>
                  <m:sty m:val="p"/>
                </m:rPr>
                <m:t>,</m:t>
              </m:r>
              <m:r>
                <m:t>t</m:t>
              </m:r>
            </m:sub>
          </m:sSub>
          <m:r>
            <m:rPr>
              <m:sty m:val="p"/>
            </m:rPr>
            <m:t>=</m:t>
          </m:r>
          <m:r>
            <m:rPr>
              <m:sty m:val="p"/>
            </m:rPr>
            <m:t>max</m:t>
          </m:r>
          <m:r>
            <m:t>​</m:t>
          </m:r>
          <m:d>
            <m:dPr>
              <m:begChr m:val="("/>
              <m:sepChr m:val=""/>
              <m:endChr m:val=")"/>
              <m:grow/>
            </m:dPr>
            <m:e>
              <m:sSub>
                <m:e>
                  <m:r>
                    <m:rPr>
                      <m:nor/>
                      <m:sty m:val="p"/>
                    </m:rPr>
                    <m:t>VSL</m:t>
                  </m:r>
                </m:e>
                <m:sub>
                  <m:r>
                    <m:rPr>
                      <m:sty m:val="p"/>
                    </m:rPr>
                    <m:t>ℓ</m:t>
                  </m:r>
                  <m:r>
                    <m:rPr>
                      <m:sty m:val="p"/>
                    </m:rPr>
                    <m:t>,</m:t>
                  </m:r>
                  <m:r>
                    <m:t>t</m:t>
                  </m:r>
                </m:sub>
              </m:sSub>
              <m:r>
                <m:rPr>
                  <m:sty m:val="p"/>
                </m:rPr>
                <m:t>,</m:t>
              </m:r>
              <m:r>
                <m:t> </m:t>
              </m:r>
              <m:r>
                <m:t>ϕ</m:t>
              </m:r>
              <m:r>
                <m:rPr>
                  <m:sty m:val="p"/>
                </m:rPr>
                <m:t>⋅</m:t>
              </m:r>
              <m:sSub>
                <m:e>
                  <m:r>
                    <m:t>Y</m:t>
                  </m:r>
                </m:e>
                <m:sub>
                  <m:r>
                    <m:rPr>
                      <m:sty m:val="p"/>
                    </m:rPr>
                    <m:t>ℓ</m:t>
                  </m:r>
                  <m:r>
                    <m:rPr>
                      <m:sty m:val="p"/>
                    </m:rPr>
                    <m:t>,</m:t>
                  </m:r>
                  <m:r>
                    <m:t>t</m:t>
                  </m:r>
                </m:sub>
              </m:sSub>
            </m:e>
          </m:d>
        </m:oMath>
      </m:oMathPara>
    </w:p>
    <w:p>
      <w:pPr>
        <w:pStyle w:val="FirstParagraph"/>
      </w:pPr>
      <w:r>
        <w:t xml:space="preserve">where</w:t>
      </w:r>
      <w:r>
        <w:t xml:space="preserve"> </w:t>
      </w:r>
      <m:oMath>
        <m:r>
          <m:t>ϕ</m:t>
        </m:r>
        <m:r>
          <m:rPr>
            <m:sty m:val="p"/>
          </m:rPr>
          <m:t>=</m:t>
        </m:r>
        <m:r>
          <m:t>20</m:t>
        </m:r>
      </m:oMath>
      <w:r>
        <w:t xml:space="preserve"> </w:t>
      </w:r>
      <w:r>
        <w:t xml:space="preserve">is the minimum VSL-to-GNI ratio.</w:t>
      </w:r>
    </w:p>
    <w:bookmarkEnd w:id="178"/>
    <w:bookmarkStart w:id="179" w:name="gni-per-capita-projection"/>
    <w:p>
      <w:pPr>
        <w:pStyle w:val="Heading4"/>
      </w:pPr>
      <w:r>
        <w:rPr>
          <w:rStyle w:val="SectionNumber"/>
        </w:rPr>
        <w:t xml:space="preserve">10.3.7.2</w:t>
      </w:r>
      <w:r>
        <w:tab/>
      </w:r>
      <w:r>
        <w:t xml:space="preserve">GNI Per Capita Projection</w:t>
      </w:r>
    </w:p>
    <w:p>
      <w:pPr>
        <w:pStyle w:val="FirstParagraph"/>
      </w:pPr>
      <w:r>
        <w:t xml:space="preserve">Observed GNI per capita (PPP, constant international dollars) was obtained from World Bank data. For years beyond the last observed value, GNI was projected forward using annual GDP per capita growth rates from the SSP2 scenario (IIASA SSP 3.1):</w:t>
      </w:r>
    </w:p>
    <w:p>
      <w:pPr>
        <w:pStyle w:val="BodyText"/>
      </w:pPr>
      <m:oMathPara>
        <m:oMathParaPr>
          <m:jc m:val="center"/>
        </m:oMathParaPr>
        <m:oMath>
          <m:sSub>
            <m:e>
              <m:r>
                <m:t>Y</m:t>
              </m:r>
            </m:e>
            <m:sub>
              <m:r>
                <m:rPr>
                  <m:sty m:val="p"/>
                </m:rPr>
                <m:t>ℓ</m:t>
              </m:r>
              <m:r>
                <m:rPr>
                  <m:sty m:val="p"/>
                </m:rPr>
                <m:t>,</m:t>
              </m:r>
              <m:r>
                <m:t>t</m:t>
              </m:r>
            </m:sub>
          </m:sSub>
          <m:r>
            <m:rPr>
              <m:sty m:val="p"/>
            </m:rPr>
            <m:t>=</m:t>
          </m:r>
          <m:sSub>
            <m:e>
              <m:r>
                <m:t>Y</m:t>
              </m:r>
            </m:e>
            <m:sub>
              <m:r>
                <m:rPr>
                  <m:sty m:val="p"/>
                </m:rPr>
                <m:t>ℓ</m:t>
              </m:r>
              <m:r>
                <m:rPr>
                  <m:sty m:val="p"/>
                </m:rPr>
                <m:t>,</m:t>
              </m:r>
              <m:sSub>
                <m:e>
                  <m:r>
                    <m:t>t</m:t>
                  </m:r>
                </m:e>
                <m:sub>
                  <m:r>
                    <m:t>0</m:t>
                  </m:r>
                </m:sub>
              </m:sSub>
            </m:sub>
          </m:sSub>
          <m:r>
            <m:rPr>
              <m:sty m:val="p"/>
            </m:rPr>
            <m:t>⋅</m:t>
          </m:r>
          <m:nary>
            <m:naryPr>
              <m:chr m:val="∏"/>
              <m:limLoc m:val="undOvr"/>
              <m:subHide m:val="off"/>
              <m:supHide m:val="off"/>
            </m:naryPr>
            <m:sub>
              <m:r>
                <m:t>j</m:t>
              </m:r>
              <m:r>
                <m:rPr>
                  <m:sty m:val="p"/>
                </m:rPr>
                <m:t>=</m:t>
              </m:r>
              <m:sSub>
                <m:e>
                  <m:r>
                    <m:t>t</m:t>
                  </m:r>
                </m:e>
                <m:sub>
                  <m:r>
                    <m:t>0</m:t>
                  </m:r>
                </m:sub>
              </m:sSub>
              <m:r>
                <m:rPr>
                  <m:sty m:val="p"/>
                </m:rPr>
                <m:t>+</m:t>
              </m:r>
              <m:r>
                <m:t>1</m:t>
              </m:r>
            </m:sub>
            <m:sup>
              <m:r>
                <m:t>t</m:t>
              </m:r>
            </m:sup>
            <m:e>
              <m:d>
                <m:dPr>
                  <m:begChr m:val="("/>
                  <m:sepChr m:val=""/>
                  <m:endChr m:val=")"/>
                  <m:grow/>
                </m:dPr>
                <m:e>
                  <m:r>
                    <m:t>1</m:t>
                  </m:r>
                  <m:r>
                    <m:rPr>
                      <m:sty m:val="p"/>
                    </m:rPr>
                    <m:t>+</m:t>
                  </m:r>
                  <m:sSubSup>
                    <m:e>
                      <m:r>
                        <m:t>g</m:t>
                      </m:r>
                    </m:e>
                    <m:sub>
                      <m:r>
                        <m:rPr>
                          <m:sty m:val="p"/>
                        </m:rPr>
                        <m:t>ℓ</m:t>
                      </m:r>
                      <m:r>
                        <m:rPr>
                          <m:sty m:val="p"/>
                        </m:rPr>
                        <m:t>,</m:t>
                      </m:r>
                      <m:r>
                        <m:t>j</m:t>
                      </m:r>
                    </m:sub>
                    <m:sup>
                      <m:r>
                        <m:rPr>
                          <m:nor/>
                          <m:sty m:val="p"/>
                        </m:rPr>
                        <m:t>SSP2</m:t>
                      </m:r>
                    </m:sup>
                  </m:sSubSup>
                </m:e>
              </m:d>
            </m:e>
          </m:nary>
        </m:oMath>
      </m:oMathPara>
    </w:p>
    <w:p>
      <w:pPr>
        <w:pStyle w:val="FirstParagraph"/>
      </w:pPr>
      <w:r>
        <w:t xml:space="preserve">where</w:t>
      </w:r>
      <w:r>
        <w:t xml:space="preserve"> </w:t>
      </w:r>
      <m:oMath>
        <m:sSub>
          <m:e>
            <m:r>
              <m:t>t</m:t>
            </m:r>
          </m:e>
          <m:sub>
            <m:r>
              <m:t>0</m:t>
            </m:r>
          </m:sub>
        </m:sSub>
      </m:oMath>
      <w:r>
        <w:t xml:space="preserve"> </w:t>
      </w:r>
      <w:r>
        <w:t xml:space="preserve">is the last year with observed GNI and</w:t>
      </w:r>
      <w:r>
        <w:t xml:space="preserve"> </w:t>
      </w:r>
      <m:oMath>
        <m:sSubSup>
          <m:e>
            <m:r>
              <m:t>g</m:t>
            </m:r>
          </m:e>
          <m:sub>
            <m:r>
              <m:rPr>
                <m:sty m:val="p"/>
              </m:rPr>
              <m:t>ℓ</m:t>
            </m:r>
            <m:r>
              <m:rPr>
                <m:sty m:val="p"/>
              </m:rPr>
              <m:t>,</m:t>
            </m:r>
            <m:r>
              <m:t>j</m:t>
            </m:r>
          </m:sub>
          <m:sup>
            <m:r>
              <m:rPr>
                <m:nor/>
                <m:sty m:val="p"/>
              </m:rPr>
              <m:t>SSP2</m:t>
            </m:r>
          </m:sup>
        </m:sSubSup>
      </m:oMath>
      <w:r>
        <w:t xml:space="preserve"> </w:t>
      </w:r>
      <w:r>
        <w:t xml:space="preserve">is the SSP2 GDP per capita growth rate for year</w:t>
      </w:r>
      <w:r>
        <w:t xml:space="preserve"> </w:t>
      </w:r>
      <m:oMath>
        <m:r>
          <m:t>j</m:t>
        </m:r>
      </m:oMath>
      <w:r>
        <w:t xml:space="preserve">, obtained by log-linear interpolation of five-year SSP nodes. This approach preserves observed GNI levels and applies only SSP-implied growth trajectories. A known limitation is that SSP projections provide GDP, not GNI, per capita; these series track closely for most countries but may diverge in economies with large net foreign income flows.</w:t>
      </w:r>
    </w:p>
    <w:bookmarkEnd w:id="179"/>
    <w:bookmarkStart w:id="180" w:name="value-of-a-statistical-life-year-vsly"/>
    <w:p>
      <w:pPr>
        <w:pStyle w:val="Heading4"/>
      </w:pPr>
      <w:r>
        <w:rPr>
          <w:rStyle w:val="SectionNumber"/>
        </w:rPr>
        <w:t xml:space="preserve">10.3.7.3</w:t>
      </w:r>
      <w:r>
        <w:tab/>
      </w:r>
      <w:r>
        <w:t xml:space="preserve">Value of a Statistical Life Year (VSLY)</w:t>
      </w:r>
    </w:p>
    <w:p>
      <w:pPr>
        <w:pStyle w:val="FirstParagraph"/>
      </w:pPr>
      <w:r>
        <w:t xml:space="preserve">A constant VSLY was derived by dividing the VSL by remaining life expectancy at the population-weighted average adult age:</w:t>
      </w:r>
    </w:p>
    <w:p>
      <w:pPr>
        <w:pStyle w:val="BodyText"/>
      </w:pPr>
      <m:oMathPara>
        <m:oMathParaPr>
          <m:jc m:val="center"/>
        </m:oMathParaPr>
        <m:oMath>
          <m:sSub>
            <m:e>
              <m:r>
                <m:rPr>
                  <m:nor/>
                  <m:sty m:val="p"/>
                </m:rPr>
                <m:t>VSLY</m:t>
              </m:r>
            </m:e>
            <m:sub>
              <m:r>
                <m:rPr>
                  <m:sty m:val="p"/>
                </m:rPr>
                <m:t>ℓ</m:t>
              </m:r>
              <m:r>
                <m:rPr>
                  <m:sty m:val="p"/>
                </m:rPr>
                <m:t>,</m:t>
              </m:r>
              <m:r>
                <m:t>t</m:t>
              </m:r>
            </m:sub>
          </m:sSub>
          <m:r>
            <m:rPr>
              <m:sty m:val="p"/>
            </m:rPr>
            <m:t>=</m:t>
          </m:r>
          <m:f>
            <m:fPr>
              <m:type m:val="bar"/>
            </m:fPr>
            <m:num>
              <m:sSub>
                <m:e>
                  <m:r>
                    <m:rPr>
                      <m:nor/>
                      <m:sty m:val="p"/>
                    </m:rPr>
                    <m:t>VSL</m:t>
                  </m:r>
                </m:e>
                <m:sub>
                  <m:r>
                    <m:rPr>
                      <m:sty m:val="p"/>
                    </m:rPr>
                    <m:t>ℓ</m:t>
                  </m:r>
                  <m:r>
                    <m:rPr>
                      <m:sty m:val="p"/>
                    </m:rPr>
                    <m:t>,</m:t>
                  </m:r>
                  <m:r>
                    <m:t>t</m:t>
                  </m:r>
                </m:sub>
              </m:sSub>
            </m:num>
            <m:den>
              <m:sSub>
                <m:e>
                  <m:acc>
                    <m:accPr>
                      <m:chr m:val="‾"/>
                    </m:accPr>
                    <m:e>
                      <m:r>
                        <m:t>e</m:t>
                      </m:r>
                    </m:e>
                  </m:acc>
                </m:e>
                <m:sub>
                  <m:r>
                    <m:rPr>
                      <m:sty m:val="p"/>
                    </m:rPr>
                    <m:t>ℓ</m:t>
                  </m:r>
                  <m:r>
                    <m:rPr>
                      <m:sty m:val="p"/>
                    </m:rPr>
                    <m:t>,</m:t>
                  </m:r>
                  <m:r>
                    <m:t>t</m:t>
                  </m:r>
                </m:sub>
              </m:sSub>
            </m:den>
          </m:f>
        </m:oMath>
      </m:oMathPara>
    </w:p>
    <w:p>
      <w:pPr>
        <w:pStyle w:val="FirstParagraph"/>
      </w:pPr>
      <w:r>
        <w:t xml:space="preserve">where</w:t>
      </w:r>
      <w:r>
        <w:t xml:space="preserve"> </w:t>
      </w:r>
      <m:oMath>
        <m:sSub>
          <m:e>
            <m:acc>
              <m:accPr>
                <m:chr m:val="‾"/>
              </m:accPr>
              <m:e>
                <m:r>
                  <m:t>e</m:t>
                </m:r>
              </m:e>
            </m:acc>
          </m:e>
          <m:sub>
            <m:r>
              <m:rPr>
                <m:sty m:val="p"/>
              </m:rPr>
              <m:t>ℓ</m:t>
            </m:r>
            <m:r>
              <m:rPr>
                <m:sty m:val="p"/>
              </m:rPr>
              <m:t>,</m:t>
            </m:r>
            <m:r>
              <m:t>t</m:t>
            </m:r>
          </m:sub>
        </m:sSub>
      </m:oMath>
      <w:r>
        <w:t xml:space="preserve"> </w:t>
      </w:r>
      <w:r>
        <w:t xml:space="preserve">is the undiscounted remaining life expectancy at the average age of the adult population (</w:t>
      </w:r>
      <m:oMath>
        <m:r>
          <m:rPr>
            <m:sty m:val="p"/>
          </m:rPr>
          <m:t>≥</m:t>
        </m:r>
        <m:r>
          <m:t>20</m:t>
        </m:r>
      </m:oMath>
      <w:r>
        <w:t xml:space="preserve"> </w:t>
      </w:r>
      <w:r>
        <w:t xml:space="preserve">years) in location</w:t>
      </w:r>
      <w:r>
        <w:t xml:space="preserve"> </w:t>
      </w:r>
      <m:oMath>
        <m:r>
          <m:rPr>
            <m:sty m:val="p"/>
          </m:rPr>
          <m:t>ℓ</m:t>
        </m:r>
      </m:oMath>
      <w:r>
        <w:t xml:space="preserve"> </w:t>
      </w:r>
      <w:r>
        <w:t xml:space="preserve">and year</w:t>
      </w:r>
      <w:r>
        <w:t xml:space="preserve"> </w:t>
      </w:r>
      <m:oMath>
        <m:r>
          <m:t>t</m:t>
        </m:r>
      </m:oMath>
      <w:r>
        <w:t xml:space="preserve">, obtained from the United Nations World Population Prospects 2024 period life tables (both sexes combined). The average adult age was computed as:</w:t>
      </w:r>
    </w:p>
    <w:p>
      <w:pPr>
        <w:pStyle w:val="BodyText"/>
      </w:pPr>
      <m:oMathPara>
        <m:oMathParaPr>
          <m:jc m:val="center"/>
        </m:oMathParaPr>
        <m:oMath>
          <m:sSub>
            <m:e>
              <m:acc>
                <m:accPr>
                  <m:chr m:val="‾"/>
                </m:accPr>
                <m:e>
                  <m:r>
                    <m:t>a</m:t>
                  </m:r>
                </m:e>
              </m:acc>
            </m:e>
            <m:sub>
              <m:r>
                <m:rPr>
                  <m:sty m:val="p"/>
                </m:rPr>
                <m:t>ℓ</m:t>
              </m:r>
              <m:r>
                <m:rPr>
                  <m:sty m:val="p"/>
                </m:rPr>
                <m:t>,</m:t>
              </m:r>
              <m:r>
                <m:t>t</m:t>
              </m:r>
            </m:sub>
          </m:sSub>
          <m:r>
            <m:rPr>
              <m:sty m:val="p"/>
            </m:rPr>
            <m:t>=</m:t>
          </m:r>
          <m:f>
            <m:fPr>
              <m:type m:val="bar"/>
            </m:fPr>
            <m:num>
              <m:nary>
                <m:naryPr>
                  <m:chr m:val="∑"/>
                  <m:limLoc m:val="undOvr"/>
                  <m:subHide m:val="off"/>
                  <m:supHide m:val="on"/>
                </m:naryPr>
                <m:sub>
                  <m:r>
                    <m:t>a</m:t>
                  </m:r>
                  <m:r>
                    <m:rPr>
                      <m:sty m:val="p"/>
                    </m:rPr>
                    <m:t>≥</m:t>
                  </m:r>
                  <m:r>
                    <m:t>20</m:t>
                  </m:r>
                </m:sub>
                <m:sup>
                  <m:r>
                    <m:t>​</m:t>
                  </m:r>
                </m:sup>
                <m:e>
                  <m:sSub>
                    <m:e>
                      <m:r>
                        <m:t>N</m:t>
                      </m:r>
                    </m:e>
                    <m:sub>
                      <m:r>
                        <m:t>a</m:t>
                      </m:r>
                      <m:r>
                        <m:rPr>
                          <m:sty m:val="p"/>
                        </m:rPr>
                        <m:t>,</m:t>
                      </m:r>
                      <m:r>
                        <m:rPr>
                          <m:sty m:val="p"/>
                        </m:rPr>
                        <m:t>ℓ</m:t>
                      </m:r>
                      <m:r>
                        <m:rPr>
                          <m:sty m:val="p"/>
                        </m:rPr>
                        <m:t>,</m:t>
                      </m:r>
                      <m:r>
                        <m:t>t</m:t>
                      </m:r>
                    </m:sub>
                  </m:sSub>
                </m:e>
              </m:nary>
              <m:r>
                <m:rPr>
                  <m:sty m:val="p"/>
                </m:rPr>
                <m:t>⋅</m:t>
              </m:r>
              <m:r>
                <m:t>a</m:t>
              </m:r>
            </m:num>
            <m:den>
              <m:nary>
                <m:naryPr>
                  <m:chr m:val="∑"/>
                  <m:limLoc m:val="undOvr"/>
                  <m:subHide m:val="off"/>
                  <m:supHide m:val="on"/>
                </m:naryPr>
                <m:sub>
                  <m:r>
                    <m:t>a</m:t>
                  </m:r>
                  <m:r>
                    <m:rPr>
                      <m:sty m:val="p"/>
                    </m:rPr>
                    <m:t>≥</m:t>
                  </m:r>
                  <m:r>
                    <m:t>20</m:t>
                  </m:r>
                </m:sub>
                <m:sup>
                  <m:r>
                    <m:t>​</m:t>
                  </m:r>
                </m:sup>
                <m:e>
                  <m:sSub>
                    <m:e>
                      <m:r>
                        <m:t>N</m:t>
                      </m:r>
                    </m:e>
                    <m:sub>
                      <m:r>
                        <m:t>a</m:t>
                      </m:r>
                      <m:r>
                        <m:rPr>
                          <m:sty m:val="p"/>
                        </m:rPr>
                        <m:t>,</m:t>
                      </m:r>
                      <m:r>
                        <m:rPr>
                          <m:sty m:val="p"/>
                        </m:rPr>
                        <m:t>ℓ</m:t>
                      </m:r>
                      <m:r>
                        <m:rPr>
                          <m:sty m:val="p"/>
                        </m:rPr>
                        <m:t>,</m:t>
                      </m:r>
                      <m:r>
                        <m:t>t</m:t>
                      </m:r>
                    </m:sub>
                  </m:sSub>
                </m:e>
              </m:nary>
            </m:den>
          </m:f>
        </m:oMath>
      </m:oMathPara>
    </w:p>
    <w:p>
      <w:pPr>
        <w:pStyle w:val="FirstParagraph"/>
      </w:pPr>
      <w:r>
        <w:t xml:space="preserve">where</w:t>
      </w:r>
      <w:r>
        <w:t xml:space="preserve"> </w:t>
      </w:r>
      <m:oMath>
        <m:sSub>
          <m:e>
            <m:r>
              <m:t>N</m:t>
            </m:r>
          </m:e>
          <m:sub>
            <m:r>
              <m:t>a</m:t>
            </m:r>
            <m:r>
              <m:rPr>
                <m:sty m:val="p"/>
              </m:rPr>
              <m:t>,</m:t>
            </m:r>
            <m:r>
              <m:rPr>
                <m:sty m:val="p"/>
              </m:rPr>
              <m:t>ℓ</m:t>
            </m:r>
            <m:r>
              <m:rPr>
                <m:sty m:val="p"/>
              </m:rPr>
              <m:t>,</m:t>
            </m:r>
            <m:r>
              <m:t>t</m:t>
            </m:r>
          </m:sub>
        </m:sSub>
      </m:oMath>
      <w:r>
        <w:t xml:space="preserve"> </w:t>
      </w:r>
      <w:r>
        <w:t xml:space="preserve">is the population at age</w:t>
      </w:r>
      <w:r>
        <w:t xml:space="preserve"> </w:t>
      </w:r>
      <m:oMath>
        <m:r>
          <m:t>a</m:t>
        </m:r>
      </m:oMath>
      <w:r>
        <w:t xml:space="preserve">.</w:t>
      </w:r>
    </w:p>
    <w:bookmarkEnd w:id="180"/>
    <w:bookmarkStart w:id="181" w:name="life-years-gained"/>
    <w:p>
      <w:pPr>
        <w:pStyle w:val="Heading4"/>
      </w:pPr>
      <w:r>
        <w:rPr>
          <w:rStyle w:val="SectionNumber"/>
        </w:rPr>
        <w:t xml:space="preserve">10.3.7.4</w:t>
      </w:r>
      <w:r>
        <w:tab/>
      </w:r>
      <w:r>
        <w:t xml:space="preserve">Life-Years Gained</w:t>
      </w:r>
    </w:p>
    <w:p>
      <w:pPr>
        <w:pStyle w:val="FirstParagraph"/>
      </w:pPr>
      <w:r>
        <w:t xml:space="preserve">The undiscounted life-years gained from avoided deaths were computed as:</w:t>
      </w:r>
    </w:p>
    <w:p>
      <w:pPr>
        <w:pStyle w:val="BodyText"/>
      </w:pPr>
      <m:oMathPara>
        <m:oMathParaPr>
          <m:jc m:val="center"/>
        </m:oMathParaPr>
        <m:oMath>
          <m:sSub>
            <m:e>
              <m:r>
                <m:rPr>
                  <m:nor/>
                  <m:sty m:val="p"/>
                </m:rPr>
                <m:t>LYG</m:t>
              </m:r>
            </m:e>
            <m:sub>
              <m:r>
                <m:rPr>
                  <m:sty m:val="p"/>
                </m:rPr>
                <m:t>ℓ</m:t>
              </m:r>
              <m:r>
                <m:rPr>
                  <m:sty m:val="p"/>
                </m:rPr>
                <m:t>,</m:t>
              </m:r>
              <m:r>
                <m:t>t</m:t>
              </m:r>
              <m:r>
                <m:rPr>
                  <m:sty m:val="p"/>
                </m:rPr>
                <m:t>,</m:t>
              </m:r>
              <m:r>
                <m:t>j</m:t>
              </m:r>
            </m:sub>
          </m:sSub>
          <m:r>
            <m:rPr>
              <m:sty m:val="p"/>
            </m:rPr>
            <m:t>=</m:t>
          </m:r>
          <m:nary>
            <m:naryPr>
              <m:chr m:val="∑"/>
              <m:limLoc m:val="undOvr"/>
              <m:subHide m:val="off"/>
              <m:supHide m:val="on"/>
            </m:naryPr>
            <m:sub>
              <m:r>
                <m:t>a</m:t>
              </m:r>
            </m:sub>
            <m:sup>
              <m:r>
                <m:t>​</m:t>
              </m:r>
            </m:sup>
            <m:e>
              <m:r>
                <m:t>Δ</m:t>
              </m:r>
            </m:e>
          </m:nary>
          <m:sSub>
            <m:e>
              <m:r>
                <m:t>D</m:t>
              </m:r>
            </m:e>
            <m:sub>
              <m:r>
                <m:t>a</m:t>
              </m:r>
              <m:r>
                <m:rPr>
                  <m:sty m:val="p"/>
                </m:rPr>
                <m:t>,</m:t>
              </m:r>
              <m:r>
                <m:rPr>
                  <m:sty m:val="p"/>
                </m:rPr>
                <m:t>ℓ</m:t>
              </m:r>
              <m:r>
                <m:rPr>
                  <m:sty m:val="p"/>
                </m:rPr>
                <m:t>,</m:t>
              </m:r>
              <m:r>
                <m:t>t</m:t>
              </m:r>
              <m:r>
                <m:rPr>
                  <m:sty m:val="p"/>
                </m:rPr>
                <m:t>,</m:t>
              </m:r>
              <m:r>
                <m:t>j</m:t>
              </m:r>
            </m:sub>
          </m:sSub>
          <m:r>
            <m:rPr>
              <m:sty m:val="p"/>
            </m:rPr>
            <m:t>⋅</m:t>
          </m:r>
          <m:sSub>
            <m:e>
              <m:r>
                <m:t>e</m:t>
              </m:r>
            </m:e>
            <m:sub>
              <m:r>
                <m:t>x</m:t>
              </m:r>
            </m:sub>
          </m:sSub>
          <m:d>
            <m:dPr>
              <m:begChr m:val="("/>
              <m:sepChr m:val=""/>
              <m:endChr m:val=")"/>
              <m:grow/>
            </m:dPr>
            <m:e>
              <m:r>
                <m:t>a</m:t>
              </m:r>
              <m:r>
                <m:rPr>
                  <m:sty m:val="p"/>
                </m:rPr>
                <m:t>,</m:t>
              </m:r>
              <m:r>
                <m:t>t</m:t>
              </m:r>
              <m:r>
                <m:rPr>
                  <m:sty m:val="p"/>
                </m:rPr>
                <m:t>,</m:t>
              </m:r>
              <m:r>
                <m:rPr>
                  <m:sty m:val="p"/>
                </m:rPr>
                <m:t>ℓ</m:t>
              </m:r>
            </m:e>
          </m:d>
        </m:oMath>
      </m:oMathPara>
    </w:p>
    <w:p>
      <w:pPr>
        <w:pStyle w:val="FirstParagraph"/>
      </w:pPr>
      <w:r>
        <w:t xml:space="preserve">where</w:t>
      </w:r>
      <w:r>
        <w:t xml:space="preserve"> </w:t>
      </w:r>
      <m:oMath>
        <m:r>
          <m:t>Δ</m:t>
        </m:r>
        <m:sSub>
          <m:e>
            <m:r>
              <m:t>D</m:t>
            </m:r>
          </m:e>
          <m:sub>
            <m:r>
              <m:t>a</m:t>
            </m:r>
            <m:r>
              <m:rPr>
                <m:sty m:val="p"/>
              </m:rPr>
              <m:t>,</m:t>
            </m:r>
            <m:r>
              <m:rPr>
                <m:sty m:val="p"/>
              </m:rPr>
              <m:t>ℓ</m:t>
            </m:r>
            <m:r>
              <m:rPr>
                <m:sty m:val="p"/>
              </m:rPr>
              <m:t>,</m:t>
            </m:r>
            <m:r>
              <m:t>t</m:t>
            </m:r>
            <m:r>
              <m:rPr>
                <m:sty m:val="p"/>
              </m:rPr>
              <m:t>,</m:t>
            </m:r>
            <m:r>
              <m:t>j</m:t>
            </m:r>
          </m:sub>
        </m:sSub>
      </m:oMath>
      <w:r>
        <w:t xml:space="preserve"> </w:t>
      </w:r>
      <w:r>
        <w:t xml:space="preserve">is the number of deaths averted at age</w:t>
      </w:r>
      <w:r>
        <w:t xml:space="preserve"> </w:t>
      </w:r>
      <m:oMath>
        <m:r>
          <m:t>a</m:t>
        </m:r>
      </m:oMath>
      <w:r>
        <w:t xml:space="preserve"> </w:t>
      </w:r>
      <w:r>
        <w:t xml:space="preserve">under intervention scenario</w:t>
      </w:r>
      <w:r>
        <w:t xml:space="preserve"> </w:t>
      </w:r>
      <m:oMath>
        <m:r>
          <m:t>j</m:t>
        </m:r>
      </m:oMath>
      <w:r>
        <w:t xml:space="preserve"> </w:t>
      </w:r>
      <w:r>
        <w:t xml:space="preserve">(baseline minus intervention deaths) and</w:t>
      </w:r>
      <w:r>
        <w:t xml:space="preserve"> </w:t>
      </w:r>
      <m:oMath>
        <m:sSub>
          <m:e>
            <m:r>
              <m:t>e</m:t>
            </m:r>
          </m:e>
          <m:sub>
            <m:r>
              <m:t>x</m:t>
            </m:r>
          </m:sub>
        </m:sSub>
        <m:d>
          <m:dPr>
            <m:begChr m:val="("/>
            <m:sepChr m:val=""/>
            <m:endChr m:val=")"/>
            <m:grow/>
          </m:dPr>
          <m:e>
            <m:r>
              <m:t>a</m:t>
            </m:r>
            <m:r>
              <m:rPr>
                <m:sty m:val="p"/>
              </m:rPr>
              <m:t>,</m:t>
            </m:r>
            <m:r>
              <m:t>t</m:t>
            </m:r>
            <m:r>
              <m:rPr>
                <m:sty m:val="p"/>
              </m:rPr>
              <m:t>,</m:t>
            </m:r>
            <m:r>
              <m:rPr>
                <m:sty m:val="p"/>
              </m:rPr>
              <m:t>ℓ</m:t>
            </m:r>
          </m:e>
        </m:d>
      </m:oMath>
      <w:r>
        <w:t xml:space="preserve"> </w:t>
      </w:r>
      <w:r>
        <w:t xml:space="preserve">is the remaining life expectancy at exact age</w:t>
      </w:r>
      <w:r>
        <w:t xml:space="preserve"> </w:t>
      </w:r>
      <m:oMath>
        <m:r>
          <m:t>a</m:t>
        </m:r>
      </m:oMath>
      <w:r>
        <w:t xml:space="preserve"> </w:t>
      </w:r>
      <w:r>
        <w:t xml:space="preserve">from WPP 2024 period life tables.</w:t>
      </w:r>
    </w:p>
    <w:p>
      <w:pPr>
        <w:pStyle w:val="BodyText"/>
      </w:pPr>
      <w:r>
        <w:t xml:space="preserve">The VSLY-based monetary value of avoided mortality was then:</w:t>
      </w:r>
    </w:p>
    <w:p>
      <w:pPr>
        <w:pStyle w:val="BodyText"/>
      </w:pPr>
      <m:oMathPara>
        <m:oMathParaPr>
          <m:jc m:val="center"/>
        </m:oMathParaPr>
        <m:oMath>
          <m:sSubSup>
            <m:e>
              <m:r>
                <m:t>V</m:t>
              </m:r>
            </m:e>
            <m:sub>
              <m:r>
                <m:rPr>
                  <m:sty m:val="p"/>
                </m:rPr>
                <m:t>ℓ</m:t>
              </m:r>
              <m:r>
                <m:rPr>
                  <m:sty m:val="p"/>
                </m:rPr>
                <m:t>,</m:t>
              </m:r>
              <m:r>
                <m:t>t</m:t>
              </m:r>
              <m:r>
                <m:rPr>
                  <m:sty m:val="p"/>
                </m:rPr>
                <m:t>,</m:t>
              </m:r>
              <m:r>
                <m:t>j</m:t>
              </m:r>
            </m:sub>
            <m:sup>
              <m:r>
                <m:rPr>
                  <m:nor/>
                  <m:sty m:val="p"/>
                </m:rPr>
                <m:t>VSLY</m:t>
              </m:r>
            </m:sup>
          </m:sSubSup>
          <m:r>
            <m:rPr>
              <m:sty m:val="p"/>
            </m:rPr>
            <m:t>=</m:t>
          </m:r>
          <m:sSub>
            <m:e>
              <m:r>
                <m:rPr>
                  <m:nor/>
                  <m:sty m:val="p"/>
                </m:rPr>
                <m:t>VSLY</m:t>
              </m:r>
            </m:e>
            <m:sub>
              <m:r>
                <m:rPr>
                  <m:sty m:val="p"/>
                </m:rPr>
                <m:t>ℓ</m:t>
              </m:r>
              <m:r>
                <m:rPr>
                  <m:sty m:val="p"/>
                </m:rPr>
                <m:t>,</m:t>
              </m:r>
              <m:r>
                <m:t>t</m:t>
              </m:r>
            </m:sub>
          </m:sSub>
          <m:r>
            <m:rPr>
              <m:sty m:val="p"/>
            </m:rPr>
            <m:t>×</m:t>
          </m:r>
          <m:sSub>
            <m:e>
              <m:r>
                <m:rPr>
                  <m:nor/>
                  <m:sty m:val="p"/>
                </m:rPr>
                <m:t>LYG</m:t>
              </m:r>
            </m:e>
            <m:sub>
              <m:r>
                <m:rPr>
                  <m:sty m:val="p"/>
                </m:rPr>
                <m:t>ℓ</m:t>
              </m:r>
              <m:r>
                <m:rPr>
                  <m:sty m:val="p"/>
                </m:rPr>
                <m:t>,</m:t>
              </m:r>
              <m:r>
                <m:t>t</m:t>
              </m:r>
              <m:r>
                <m:rPr>
                  <m:sty m:val="p"/>
                </m:rPr>
                <m:t>,</m:t>
              </m:r>
              <m:r>
                <m:t>j</m:t>
              </m:r>
            </m:sub>
          </m:sSub>
        </m:oMath>
      </m:oMathPara>
    </w:p>
    <w:p>
      <w:pPr>
        <w:pStyle w:val="FirstParagraph"/>
      </w:pPr>
      <w:r>
        <w:t xml:space="preserve">Because the VSLY denominator uses life expectancy at the average adult age while the numerator uses age-specific life expectancy at the age of death, VSLY-based totals are not mechanically equal to VSL-based totals.</w:t>
      </w:r>
    </w:p>
    <w:p>
      <w:pPr>
        <w:pStyle w:val="BodyText"/>
      </w:pPr>
      <w:r>
        <w:t xml:space="preserve">The VSL-based monetary value was computed directly as:</w:t>
      </w:r>
    </w:p>
    <w:p>
      <w:pPr>
        <w:pStyle w:val="BodyText"/>
      </w:pPr>
      <m:oMathPara>
        <m:oMathParaPr>
          <m:jc m:val="center"/>
        </m:oMathParaPr>
        <m:oMath>
          <m:sSubSup>
            <m:e>
              <m:r>
                <m:t>V</m:t>
              </m:r>
            </m:e>
            <m:sub>
              <m:r>
                <m:rPr>
                  <m:sty m:val="p"/>
                </m:rPr>
                <m:t>ℓ</m:t>
              </m:r>
              <m:r>
                <m:rPr>
                  <m:sty m:val="p"/>
                </m:rPr>
                <m:t>,</m:t>
              </m:r>
              <m:r>
                <m:t>t</m:t>
              </m:r>
              <m:r>
                <m:rPr>
                  <m:sty m:val="p"/>
                </m:rPr>
                <m:t>,</m:t>
              </m:r>
              <m:r>
                <m:t>j</m:t>
              </m:r>
            </m:sub>
            <m:sup>
              <m:r>
                <m:rPr>
                  <m:nor/>
                  <m:sty m:val="p"/>
                </m:rPr>
                <m:t>VSL</m:t>
              </m:r>
            </m:sup>
          </m:sSubSup>
          <m:r>
            <m:rPr>
              <m:sty m:val="p"/>
            </m:rPr>
            <m:t>=</m:t>
          </m:r>
          <m:sSub>
            <m:e>
              <m:r>
                <m:rPr>
                  <m:nor/>
                  <m:sty m:val="p"/>
                </m:rPr>
                <m:t>VSL</m:t>
              </m:r>
            </m:e>
            <m:sub>
              <m:r>
                <m:rPr>
                  <m:sty m:val="p"/>
                </m:rPr>
                <m:t>ℓ</m:t>
              </m:r>
              <m:r>
                <m:rPr>
                  <m:sty m:val="p"/>
                </m:rPr>
                <m:t>,</m:t>
              </m:r>
              <m:r>
                <m:t>t</m:t>
              </m:r>
            </m:sub>
          </m:sSub>
          <m:r>
            <m:rPr>
              <m:sty m:val="p"/>
            </m:rPr>
            <m:t>×</m:t>
          </m:r>
          <m:r>
            <m:t>Δ</m:t>
          </m:r>
          <m:sSub>
            <m:e>
              <m:r>
                <m:t>D</m:t>
              </m:r>
            </m:e>
            <m:sub>
              <m:r>
                <m:rPr>
                  <m:sty m:val="p"/>
                </m:rPr>
                <m:t>ℓ</m:t>
              </m:r>
              <m:r>
                <m:rPr>
                  <m:sty m:val="p"/>
                </m:rPr>
                <m:t>,</m:t>
              </m:r>
              <m:r>
                <m:t>t</m:t>
              </m:r>
              <m:r>
                <m:rPr>
                  <m:sty m:val="p"/>
                </m:rPr>
                <m:t>,</m:t>
              </m:r>
              <m:r>
                <m:t>j</m:t>
              </m:r>
            </m:sub>
          </m:sSub>
        </m:oMath>
      </m:oMathPara>
    </w:p>
    <w:p>
      <w:pPr>
        <w:pStyle w:val="FirstParagraph"/>
      </w:pPr>
      <w:r>
        <w:t xml:space="preserve">where</w:t>
      </w:r>
      <w:r>
        <w:t xml:space="preserve"> </w:t>
      </w:r>
      <m:oMath>
        <m:r>
          <m:t>Δ</m:t>
        </m:r>
        <m:sSub>
          <m:e>
            <m:r>
              <m:t>D</m:t>
            </m:r>
          </m:e>
          <m:sub>
            <m:r>
              <m:rPr>
                <m:sty m:val="p"/>
              </m:rPr>
              <m:t>ℓ</m:t>
            </m:r>
            <m:r>
              <m:rPr>
                <m:sty m:val="p"/>
              </m:rPr>
              <m:t>,</m:t>
            </m:r>
            <m:r>
              <m:t>t</m:t>
            </m:r>
            <m:r>
              <m:rPr>
                <m:sty m:val="p"/>
              </m:rPr>
              <m:t>,</m:t>
            </m:r>
            <m:r>
              <m:t>j</m:t>
            </m:r>
          </m:sub>
        </m:sSub>
        <m:r>
          <m:rPr>
            <m:sty m:val="p"/>
          </m:rPr>
          <m:t>=</m:t>
        </m:r>
        <m:nary>
          <m:naryPr>
            <m:chr m:val="∑"/>
            <m:limLoc m:val="undOvr"/>
            <m:subHide m:val="off"/>
            <m:supHide m:val="on"/>
          </m:naryPr>
          <m:sub>
            <m:r>
              <m:t>a</m:t>
            </m:r>
          </m:sub>
          <m:sup>
            <m:r>
              <m:t>​</m:t>
            </m:r>
          </m:sup>
          <m:e>
            <m:r>
              <m:t>Δ</m:t>
            </m:r>
          </m:e>
        </m:nary>
        <m:sSub>
          <m:e>
            <m:r>
              <m:t>D</m:t>
            </m:r>
          </m:e>
          <m:sub>
            <m:r>
              <m:t>a</m:t>
            </m:r>
            <m:r>
              <m:rPr>
                <m:sty m:val="p"/>
              </m:rPr>
              <m:t>,</m:t>
            </m:r>
            <m:r>
              <m:rPr>
                <m:sty m:val="p"/>
              </m:rPr>
              <m:t>ℓ</m:t>
            </m:r>
            <m:r>
              <m:rPr>
                <m:sty m:val="p"/>
              </m:rPr>
              <m:t>,</m:t>
            </m:r>
            <m:r>
              <m:t>t</m:t>
            </m:r>
            <m:r>
              <m:rPr>
                <m:sty m:val="p"/>
              </m:rPr>
              <m:t>,</m:t>
            </m:r>
            <m:r>
              <m:t>j</m:t>
            </m:r>
          </m:sub>
        </m:sSub>
      </m:oMath>
      <w:r>
        <w:t xml:space="preserve"> </w:t>
      </w:r>
      <w:r>
        <w:t xml:space="preserve">is the total number of deaths averted.</w:t>
      </w:r>
    </w:p>
    <w:bookmarkEnd w:id="181"/>
    <w:bookmarkStart w:id="182" w:name="discounting"/>
    <w:p>
      <w:pPr>
        <w:pStyle w:val="Heading4"/>
      </w:pPr>
      <w:r>
        <w:rPr>
          <w:rStyle w:val="SectionNumber"/>
        </w:rPr>
        <w:t xml:space="preserve">10.3.7.5</w:t>
      </w:r>
      <w:r>
        <w:tab/>
      </w:r>
      <w:r>
        <w:t xml:space="preserve">Discounting</w:t>
      </w:r>
    </w:p>
    <w:p>
      <w:pPr>
        <w:pStyle w:val="FirstParagraph"/>
      </w:pPr>
      <w:r>
        <w:t xml:space="preserve">Annual monetary values were discounted to 2026 present value using calendar-year discount factors:</w:t>
      </w:r>
    </w:p>
    <w:p>
      <w:pPr>
        <w:pStyle w:val="BodyText"/>
      </w:pPr>
      <m:oMathPara>
        <m:oMathParaPr>
          <m:jc m:val="center"/>
        </m:oMathParaPr>
        <m:oMath>
          <m:sSub>
            <m:e>
              <m:r>
                <m:t>δ</m:t>
              </m:r>
            </m:e>
            <m:sub>
              <m:r>
                <m:t>t</m:t>
              </m:r>
            </m:sub>
          </m:sSub>
          <m:r>
            <m:rPr>
              <m:sty m:val="p"/>
            </m:rPr>
            <m:t>=</m:t>
          </m:r>
          <m:f>
            <m:fPr>
              <m:type m:val="bar"/>
            </m:fPr>
            <m:num>
              <m:r>
                <m:t>1</m:t>
              </m:r>
            </m:num>
            <m:den>
              <m:sSup>
                <m:e>
                  <m:d>
                    <m:dPr>
                      <m:begChr m:val="("/>
                      <m:sepChr m:val=""/>
                      <m:endChr m:val=")"/>
                      <m:grow/>
                    </m:dPr>
                    <m:e>
                      <m:r>
                        <m:t>1</m:t>
                      </m:r>
                      <m:r>
                        <m:rPr>
                          <m:sty m:val="p"/>
                        </m:rPr>
                        <m:t>+</m:t>
                      </m:r>
                      <m:r>
                        <m:t>r</m:t>
                      </m:r>
                    </m:e>
                  </m:d>
                </m:e>
                <m:sup>
                  <m:r>
                    <m:t>t</m:t>
                  </m:r>
                  <m:r>
                    <m:rPr>
                      <m:sty m:val="p"/>
                    </m:rPr>
                    <m:t>−</m:t>
                  </m:r>
                  <m:r>
                    <m:t>2026</m:t>
                  </m:r>
                </m:sup>
              </m:sSup>
            </m:den>
          </m:f>
        </m:oMath>
      </m:oMathPara>
    </w:p>
    <w:p>
      <w:pPr>
        <w:pStyle w:val="FirstParagraph"/>
      </w:pPr>
      <w:r>
        <w:t xml:space="preserve">where</w:t>
      </w:r>
      <w:r>
        <w:t xml:space="preserve"> </w:t>
      </w:r>
      <m:oMath>
        <m:r>
          <m:t>r</m:t>
        </m:r>
        <m:r>
          <m:rPr>
            <m:sty m:val="p"/>
          </m:rPr>
          <m:t>=</m:t>
        </m:r>
        <m:r>
          <m:t>0.03</m:t>
        </m:r>
      </m:oMath>
      <w:r>
        <w:t xml:space="preserve"> </w:t>
      </w:r>
      <w:r>
        <w:t xml:space="preserve">(3%) for the primary analysis, with sensitivity analyses at</w:t>
      </w:r>
      <w:r>
        <w:t xml:space="preserve"> </w:t>
      </w:r>
      <m:oMath>
        <m:r>
          <m:t>r</m:t>
        </m:r>
        <m:r>
          <m:rPr>
            <m:sty m:val="p"/>
          </m:rPr>
          <m:t>=</m:t>
        </m:r>
        <m:r>
          <m:t>0.01</m:t>
        </m:r>
      </m:oMath>
      <w:r>
        <w:t xml:space="preserve"> </w:t>
      </w:r>
      <w:r>
        <w:t xml:space="preserve">and</w:t>
      </w:r>
      <w:r>
        <w:t xml:space="preserve"> </w:t>
      </w:r>
      <m:oMath>
        <m:r>
          <m:t>r</m:t>
        </m:r>
        <m:r>
          <m:rPr>
            <m:sty m:val="p"/>
          </m:rPr>
          <m:t>=</m:t>
        </m:r>
        <m:r>
          <m:t>0.05</m:t>
        </m:r>
      </m:oMath>
      <w:r>
        <w:t xml:space="preserve">. Discounted cumulative values were computed as:</w:t>
      </w:r>
    </w:p>
    <w:p>
      <w:pPr>
        <w:pStyle w:val="BodyText"/>
      </w:pPr>
      <m:oMathPara>
        <m:oMathParaPr>
          <m:jc m:val="center"/>
        </m:oMathParaPr>
        <m:oMath>
          <m:sSubSup>
            <m:e>
              <m:r>
                <m:t>V</m:t>
              </m:r>
            </m:e>
            <m:sub>
              <m:r>
                <m:rPr>
                  <m:sty m:val="p"/>
                </m:rPr>
                <m:t>ℓ</m:t>
              </m:r>
              <m:r>
                <m:rPr>
                  <m:sty m:val="p"/>
                </m:rPr>
                <m:t>,</m:t>
              </m:r>
              <m:r>
                <m:t>j</m:t>
              </m:r>
            </m:sub>
            <m:sup>
              <m:r>
                <m:rPr>
                  <m:nor/>
                  <m:sty m:val="p"/>
                </m:rPr>
                <m:t>disc</m:t>
              </m:r>
            </m:sup>
          </m:sSubSup>
          <m:r>
            <m:rPr>
              <m:sty m:val="p"/>
            </m:rPr>
            <m:t>=</m:t>
          </m:r>
          <m:nary>
            <m:naryPr>
              <m:chr m:val="∑"/>
              <m:limLoc m:val="undOvr"/>
              <m:subHide m:val="off"/>
              <m:supHide m:val="off"/>
            </m:naryPr>
            <m:sub>
              <m:r>
                <m:t>t</m:t>
              </m:r>
              <m:r>
                <m:rPr>
                  <m:sty m:val="p"/>
                </m:rPr>
                <m:t>=</m:t>
              </m:r>
              <m:r>
                <m:t>2026</m:t>
              </m:r>
            </m:sub>
            <m:sup>
              <m:r>
                <m:t>2050</m:t>
              </m:r>
            </m:sup>
            <m:e>
              <m:sSub>
                <m:e>
                  <m:r>
                    <m:t>δ</m:t>
                  </m:r>
                </m:e>
                <m:sub>
                  <m:r>
                    <m:t>t</m:t>
                  </m:r>
                </m:sub>
              </m:sSub>
            </m:e>
          </m:nary>
          <m:r>
            <m:rPr>
              <m:sty m:val="p"/>
            </m:rPr>
            <m:t>⋅</m:t>
          </m:r>
          <m:sSub>
            <m:e>
              <m:r>
                <m:t>V</m:t>
              </m:r>
            </m:e>
            <m:sub>
              <m:r>
                <m:rPr>
                  <m:sty m:val="p"/>
                </m:rPr>
                <m:t>ℓ</m:t>
              </m:r>
              <m:r>
                <m:rPr>
                  <m:sty m:val="p"/>
                </m:rPr>
                <m:t>,</m:t>
              </m:r>
              <m:r>
                <m:t>t</m:t>
              </m:r>
              <m:r>
                <m:rPr>
                  <m:sty m:val="p"/>
                </m:rPr>
                <m:t>,</m:t>
              </m:r>
              <m:r>
                <m:t>j</m:t>
              </m:r>
            </m:sub>
          </m:sSub>
        </m:oMath>
      </m:oMathPara>
    </w:p>
    <w:p>
      <w:pPr>
        <w:pStyle w:val="FirstParagraph"/>
      </w:pPr>
      <w:r>
        <w:t xml:space="preserve">Results are also expressed as a share of discounted national income to facilitate cross-country comparison:</w:t>
      </w:r>
    </w:p>
    <w:p>
      <w:pPr>
        <w:pStyle w:val="BodyText"/>
      </w:pPr>
      <m:oMathPara>
        <m:oMathParaPr>
          <m:jc m:val="center"/>
        </m:oMathParaPr>
        <m:oMath>
          <m:sSub>
            <m:e>
              <m:r>
                <m:rPr>
                  <m:nor/>
                  <m:sty m:val="p"/>
                </m:rPr>
                <m:t>Income share</m:t>
              </m:r>
            </m:e>
            <m:sub>
              <m:r>
                <m:rPr>
                  <m:sty m:val="p"/>
                </m:rPr>
                <m:t>ℓ</m:t>
              </m:r>
              <m:r>
                <m:rPr>
                  <m:sty m:val="p"/>
                </m:rPr>
                <m:t>,</m:t>
              </m:r>
              <m:r>
                <m:t>j</m:t>
              </m:r>
            </m:sub>
          </m:sSub>
          <m:r>
            <m:rPr>
              <m:sty m:val="p"/>
            </m:rPr>
            <m:t>=</m:t>
          </m:r>
          <m:f>
            <m:fPr>
              <m:type m:val="bar"/>
            </m:fPr>
            <m:num>
              <m:sSubSup>
                <m:e>
                  <m:r>
                    <m:t>V</m:t>
                  </m:r>
                </m:e>
                <m:sub>
                  <m:r>
                    <m:rPr>
                      <m:sty m:val="p"/>
                    </m:rPr>
                    <m:t>ℓ</m:t>
                  </m:r>
                  <m:r>
                    <m:rPr>
                      <m:sty m:val="p"/>
                    </m:rPr>
                    <m:t>,</m:t>
                  </m:r>
                  <m:r>
                    <m:t>j</m:t>
                  </m:r>
                </m:sub>
                <m:sup>
                  <m:r>
                    <m:rPr>
                      <m:nor/>
                      <m:sty m:val="p"/>
                    </m:rPr>
                    <m:t>disc</m:t>
                  </m:r>
                </m:sup>
              </m:sSubSup>
            </m:num>
            <m:den>
              <m:nary>
                <m:naryPr>
                  <m:chr m:val="∑"/>
                  <m:limLoc m:val="undOvr"/>
                  <m:subHide m:val="off"/>
                  <m:supHide m:val="off"/>
                </m:naryPr>
                <m:sub>
                  <m:r>
                    <m:t>t</m:t>
                  </m:r>
                  <m:r>
                    <m:rPr>
                      <m:sty m:val="p"/>
                    </m:rPr>
                    <m:t>=</m:t>
                  </m:r>
                  <m:r>
                    <m:t>2026</m:t>
                  </m:r>
                </m:sub>
                <m:sup>
                  <m:r>
                    <m:t>2050</m:t>
                  </m:r>
                </m:sup>
                <m:e>
                  <m:sSub>
                    <m:e>
                      <m:r>
                        <m:t>δ</m:t>
                      </m:r>
                    </m:e>
                    <m:sub>
                      <m:r>
                        <m:t>t</m:t>
                      </m:r>
                    </m:sub>
                  </m:sSub>
                </m:e>
              </m:nary>
              <m:r>
                <m:rPr>
                  <m:sty m:val="p"/>
                </m:rPr>
                <m:t>⋅</m:t>
              </m:r>
              <m:sSub>
                <m:e>
                  <m:r>
                    <m:t>N</m:t>
                  </m:r>
                </m:e>
                <m:sub>
                  <m:r>
                    <m:rPr>
                      <m:sty m:val="p"/>
                    </m:rPr>
                    <m:t>ℓ</m:t>
                  </m:r>
                  <m:r>
                    <m:rPr>
                      <m:sty m:val="p"/>
                    </m:rPr>
                    <m:t>,</m:t>
                  </m:r>
                  <m:r>
                    <m:t>t</m:t>
                  </m:r>
                </m:sub>
              </m:sSub>
              <m:r>
                <m:rPr>
                  <m:sty m:val="p"/>
                </m:rPr>
                <m:t>⋅</m:t>
              </m:r>
              <m:sSub>
                <m:e>
                  <m:r>
                    <m:t>Y</m:t>
                  </m:r>
                </m:e>
                <m:sub>
                  <m:r>
                    <m:rPr>
                      <m:sty m:val="p"/>
                    </m:rPr>
                    <m:t>ℓ</m:t>
                  </m:r>
                  <m:r>
                    <m:rPr>
                      <m:sty m:val="p"/>
                    </m:rPr>
                    <m:t>,</m:t>
                  </m:r>
                  <m:r>
                    <m:t>t</m:t>
                  </m:r>
                </m:sub>
              </m:sSub>
            </m:den>
          </m:f>
        </m:oMath>
      </m:oMathPara>
    </w:p>
    <w:p>
      <w:pPr>
        <w:pStyle w:val="FirstParagraph"/>
      </w:pPr>
      <w:r>
        <w:t xml:space="preserve">where</w:t>
      </w:r>
      <w:r>
        <w:t xml:space="preserve"> </w:t>
      </w:r>
      <m:oMath>
        <m:sSub>
          <m:e>
            <m:r>
              <m:t>N</m:t>
            </m:r>
          </m:e>
          <m:sub>
            <m:r>
              <m:rPr>
                <m:sty m:val="p"/>
              </m:rPr>
              <m:t>ℓ</m:t>
            </m:r>
            <m:r>
              <m:rPr>
                <m:sty m:val="p"/>
              </m:rPr>
              <m:t>,</m:t>
            </m:r>
            <m:r>
              <m:t>t</m:t>
            </m:r>
          </m:sub>
        </m:sSub>
      </m:oMath>
      <w:r>
        <w:t xml:space="preserve"> </w:t>
      </w:r>
      <w:r>
        <w:t xml:space="preserve">is total population and</w:t>
      </w:r>
      <w:r>
        <w:t xml:space="preserve"> </w:t>
      </w:r>
      <m:oMath>
        <m:sSub>
          <m:e>
            <m:r>
              <m:t>Y</m:t>
            </m:r>
          </m:e>
          <m:sub>
            <m:r>
              <m:rPr>
                <m:sty m:val="p"/>
              </m:rPr>
              <m:t>ℓ</m:t>
            </m:r>
            <m:r>
              <m:rPr>
                <m:sty m:val="p"/>
              </m:rPr>
              <m:t>,</m:t>
            </m:r>
            <m:r>
              <m:t>t</m:t>
            </m:r>
          </m:sub>
        </m:sSub>
      </m:oMath>
      <w:r>
        <w:t xml:space="preserve"> </w:t>
      </w:r>
      <w:r>
        <w:t xml:space="preserve">is GNI per capita.</w:t>
      </w:r>
    </w:p>
    <w:bookmarkEnd w:id="182"/>
    <w:bookmarkStart w:id="183" w:name="parameter-summary"/>
    <w:p>
      <w:pPr>
        <w:pStyle w:val="Heading4"/>
      </w:pPr>
      <w:r>
        <w:rPr>
          <w:rStyle w:val="SectionNumber"/>
        </w:rPr>
        <w:t xml:space="preserve">10.3.7.6</w:t>
      </w:r>
      <w:r>
        <w:tab/>
      </w:r>
      <w:r>
        <w:t xml:space="preserve">Parameter Summary</w:t>
      </w:r>
    </w:p>
    <w:tbl>
      <w:tblPr>
        <w:tblStyle w:val="Table"/>
        <w:tblW w:type="pct" w:w="5000"/>
        <w:tblLayout w:type="fixed"/>
        <w:tblLook w:firstRow="1" w:lastRow="0" w:firstColumn="0" w:lastColumn="0" w:noHBand="0" w:noVBand="0" w:val="0020"/>
      </w:tblPr>
      <w:tblGrid>
        <w:gridCol w:w="2640"/>
        <w:gridCol w:w="3520"/>
        <w:gridCol w:w="176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US VSL-to-income ratio (</w:t>
            </w:r>
            <m:oMath>
              <m:r>
                <m:t>λ</m:t>
              </m:r>
            </m:oMath>
            <w:r>
              <w:t xml:space="preserve">)</w:t>
            </w:r>
          </w:p>
        </w:tc>
        <w:tc>
          <w:tcPr/>
          <w:p>
            <w:pPr>
              <w:pStyle w:val="Compact"/>
              <w:jc w:val="left"/>
            </w:pPr>
            <w:r>
              <w:t xml:space="preserve">160</w:t>
            </w:r>
          </w:p>
        </w:tc>
        <w:tc>
          <w:tcPr/>
          <w:p>
            <w:pPr>
              <w:pStyle w:val="Compact"/>
              <w:jc w:val="left"/>
            </w:pPr>
            <w:r>
              <w:t xml:space="preserve">Robinson et al. (2019)</w:t>
            </w:r>
          </w:p>
        </w:tc>
      </w:tr>
      <w:tr>
        <w:tc>
          <w:tcPr/>
          <w:p>
            <w:pPr>
              <w:pStyle w:val="Compact"/>
              <w:jc w:val="left"/>
            </w:pPr>
            <w:r>
              <w:t xml:space="preserve">Income elasticity, primary (</w:t>
            </w:r>
            <m:oMath>
              <m:r>
                <m:t>η</m:t>
              </m:r>
            </m:oMath>
            <w:r>
              <w:t xml:space="preserve">)</w:t>
            </w:r>
          </w:p>
        </w:tc>
        <w:tc>
          <w:tcPr/>
          <w:p>
            <w:pPr>
              <w:pStyle w:val="Compact"/>
              <w:jc w:val="left"/>
            </w:pPr>
            <w:r>
              <w:t xml:space="preserve">0.8 (HIC) / 1.2 (LMIC)</w:t>
            </w:r>
          </w:p>
        </w:tc>
        <w:tc>
          <w:tcPr/>
          <w:p>
            <w:pPr>
              <w:pStyle w:val="Compact"/>
              <w:jc w:val="left"/>
            </w:pPr>
            <w:r>
              <w:t xml:space="preserve">Robinson et al. (2019)</w:t>
            </w:r>
          </w:p>
        </w:tc>
      </w:tr>
      <w:tr>
        <w:tc>
          <w:tcPr/>
          <w:p>
            <w:pPr>
              <w:pStyle w:val="Compact"/>
              <w:jc w:val="left"/>
            </w:pPr>
            <w:r>
              <w:t xml:space="preserve">Income elasticity, sensitivity low</w:t>
            </w:r>
          </w:p>
        </w:tc>
        <w:tc>
          <w:tcPr/>
          <w:p>
            <w:pPr>
              <w:pStyle w:val="Compact"/>
              <w:jc w:val="left"/>
            </w:pPr>
            <w:r>
              <w:t xml:space="preserve">1.0 (uniform)</w:t>
            </w:r>
          </w:p>
        </w:tc>
        <w:tc>
          <w:tcPr/>
          <w:p>
            <w:pPr>
              <w:pStyle w:val="Compact"/>
              <w:jc w:val="left"/>
            </w:pPr>
            <w:r>
              <w:t xml:space="preserve">Robinson et al. (2019)</w:t>
            </w:r>
          </w:p>
        </w:tc>
      </w:tr>
      <w:tr>
        <w:tc>
          <w:tcPr/>
          <w:p>
            <w:pPr>
              <w:pStyle w:val="Compact"/>
              <w:jc w:val="left"/>
            </w:pPr>
            <w:r>
              <w:t xml:space="preserve">Income elasticity, sensitivity high</w:t>
            </w:r>
          </w:p>
        </w:tc>
        <w:tc>
          <w:tcPr/>
          <w:p>
            <w:pPr>
              <w:pStyle w:val="Compact"/>
              <w:jc w:val="left"/>
            </w:pPr>
            <w:r>
              <w:t xml:space="preserve">1.5 (uniform)</w:t>
            </w:r>
          </w:p>
        </w:tc>
        <w:tc>
          <w:tcPr/>
          <w:p>
            <w:pPr>
              <w:pStyle w:val="Compact"/>
              <w:jc w:val="left"/>
            </w:pPr>
            <w:r>
              <w:t xml:space="preserve">Robinson et al. (2019)</w:t>
            </w:r>
          </w:p>
        </w:tc>
      </w:tr>
      <w:tr>
        <w:tc>
          <w:tcPr/>
          <w:p>
            <w:pPr>
              <w:pStyle w:val="Compact"/>
              <w:jc w:val="left"/>
            </w:pPr>
            <w:r>
              <w:t xml:space="preserve">VSL floor ratio (</w:t>
            </w:r>
            <m:oMath>
              <m:r>
                <m:t>ϕ</m:t>
              </m:r>
            </m:oMath>
            <w:r>
              <w:t xml:space="preserve">)</w:t>
            </w:r>
          </w:p>
        </w:tc>
        <w:tc>
          <w:tcPr/>
          <w:p>
            <w:pPr>
              <w:pStyle w:val="Compact"/>
              <w:jc w:val="left"/>
            </w:pPr>
            <w:r>
              <w:t xml:space="preserve">20</w:t>
            </w:r>
          </w:p>
        </w:tc>
        <w:tc>
          <w:tcPr/>
          <w:p>
            <w:pPr>
              <w:pStyle w:val="Compact"/>
              <w:jc w:val="left"/>
            </w:pPr>
            <w:r>
              <w:t xml:space="preserve">Robinson et al. (2019)</w:t>
            </w:r>
          </w:p>
        </w:tc>
      </w:tr>
      <w:tr>
        <w:tc>
          <w:tcPr/>
          <w:p>
            <w:pPr>
              <w:pStyle w:val="Compact"/>
              <w:jc w:val="left"/>
            </w:pPr>
            <w:r>
              <w:t xml:space="preserve">Income measure</w:t>
            </w:r>
          </w:p>
        </w:tc>
        <w:tc>
          <w:tcPr/>
          <w:p>
            <w:pPr>
              <w:pStyle w:val="Compact"/>
              <w:jc w:val="left"/>
            </w:pPr>
            <w:r>
              <w:t xml:space="preserve">GNI per capita, PPP (constant international $)</w:t>
            </w:r>
          </w:p>
        </w:tc>
        <w:tc>
          <w:tcPr/>
          <w:p>
            <w:pPr>
              <w:pStyle w:val="Compact"/>
              <w:jc w:val="left"/>
            </w:pPr>
            <w:r>
              <w:t xml:space="preserve">World Bank</w:t>
            </w:r>
          </w:p>
        </w:tc>
      </w:tr>
      <w:tr>
        <w:tc>
          <w:tcPr/>
          <w:p>
            <w:pPr>
              <w:pStyle w:val="Compact"/>
              <w:jc w:val="left"/>
            </w:pPr>
            <w:r>
              <w:t xml:space="preserve">Income projection</w:t>
            </w:r>
          </w:p>
        </w:tc>
        <w:tc>
          <w:tcPr/>
          <w:p>
            <w:pPr>
              <w:pStyle w:val="Compact"/>
              <w:jc w:val="left"/>
            </w:pPr>
            <w:r>
              <w:t xml:space="preserve">SSP2 GDP growth rates (IIASA 3.1)</w:t>
            </w:r>
          </w:p>
        </w:tc>
        <w:tc>
          <w:tcPr/>
          <w:p>
            <w:pPr>
              <w:pStyle w:val="Compact"/>
              <w:jc w:val="left"/>
            </w:pPr>
            <w:r>
              <w:t xml:space="preserve">IIASA SSP Database v3.1</w:t>
            </w:r>
          </w:p>
        </w:tc>
      </w:tr>
      <w:tr>
        <w:tc>
          <w:tcPr/>
          <w:p>
            <w:pPr>
              <w:pStyle w:val="Compact"/>
              <w:jc w:val="left"/>
            </w:pPr>
            <w:r>
              <w:t xml:space="preserve">Life table</w:t>
            </w:r>
          </w:p>
        </w:tc>
        <w:tc>
          <w:tcPr/>
          <w:p>
            <w:pPr>
              <w:pStyle w:val="Compact"/>
              <w:jc w:val="left"/>
            </w:pPr>
            <w:r>
              <w:t xml:space="preserve">UNWPP 2024, medium variant, both sexes</w:t>
            </w:r>
          </w:p>
        </w:tc>
        <w:tc>
          <w:tcPr/>
          <w:p>
            <w:pPr>
              <w:pStyle w:val="Compact"/>
              <w:jc w:val="left"/>
            </w:pPr>
            <w:r>
              <w:t xml:space="preserve">United Nations (2024)</w:t>
            </w:r>
          </w:p>
        </w:tc>
      </w:tr>
      <w:tr>
        <w:tc>
          <w:tcPr/>
          <w:p>
            <w:pPr>
              <w:pStyle w:val="Compact"/>
              <w:jc w:val="left"/>
            </w:pPr>
            <w:r>
              <w:t xml:space="preserve">Discount rate, primary (</w:t>
            </w:r>
            <m:oMath>
              <m:r>
                <m:t>r</m:t>
              </m:r>
            </m:oMath>
            <w:r>
              <w:t xml:space="preserve">)</w:t>
            </w:r>
          </w:p>
        </w:tc>
        <w:tc>
          <w:tcPr/>
          <w:p>
            <w:pPr>
              <w:pStyle w:val="Compact"/>
              <w:jc w:val="left"/>
            </w:pPr>
            <w:r>
              <w:t xml:space="preserve">3%</w:t>
            </w:r>
          </w:p>
        </w:tc>
        <w:tc>
          <w:tcPr/>
          <w:p>
            <w:pPr>
              <w:pStyle w:val="Compact"/>
              <w:jc w:val="left"/>
            </w:pPr>
            <w:r>
              <w:t xml:space="preserve">Robinson et al. (2019)</w:t>
            </w:r>
          </w:p>
        </w:tc>
      </w:tr>
      <w:tr>
        <w:tc>
          <w:tcPr/>
          <w:p>
            <w:pPr>
              <w:pStyle w:val="Compact"/>
              <w:jc w:val="left"/>
            </w:pPr>
            <w:r>
              <w:t xml:space="preserve">Discount rate, sensitivity</w:t>
            </w:r>
          </w:p>
        </w:tc>
        <w:tc>
          <w:tcPr/>
          <w:p>
            <w:pPr>
              <w:pStyle w:val="Compact"/>
              <w:jc w:val="left"/>
            </w:pPr>
            <w:r>
              <w:t xml:space="preserve">1%, 5%</w:t>
            </w:r>
          </w:p>
        </w:tc>
        <w:tc>
          <w:tcPr/>
          <w:p>
            <w:pPr>
              <w:pStyle w:val="Compact"/>
              <w:jc w:val="left"/>
            </w:pPr>
            <w:r>
              <w:t xml:space="preserve">—</w:t>
            </w:r>
          </w:p>
        </w:tc>
      </w:tr>
      <w:tr>
        <w:tc>
          <w:tcPr/>
          <w:p>
            <w:pPr>
              <w:pStyle w:val="Compact"/>
              <w:jc w:val="left"/>
            </w:pPr>
            <w:r>
              <w:t xml:space="preserve">Base year</w:t>
            </w:r>
          </w:p>
        </w:tc>
        <w:tc>
          <w:tcPr/>
          <w:p>
            <w:pPr>
              <w:pStyle w:val="Compact"/>
              <w:jc w:val="left"/>
            </w:pPr>
            <w:r>
              <w:t xml:space="preserve">2026</w:t>
            </w:r>
          </w:p>
        </w:tc>
        <w:tc>
          <w:tcPr/>
          <w:p>
            <w:pPr>
              <w:pStyle w:val="Compact"/>
              <w:jc w:val="left"/>
            </w:pPr>
            <w:r>
              <w:t xml:space="preserve">—</w:t>
            </w:r>
          </w:p>
        </w:tc>
      </w:tr>
    </w:tbl>
    <w:bookmarkEnd w:id="183"/>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6" Target="media/rId146.png" /><Relationship Type="http://schemas.openxmlformats.org/officeDocument/2006/relationships/image" Id="rId154" Target="media/rId154.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50" Target="media/rId150.png" /><Relationship Type="http://schemas.openxmlformats.org/officeDocument/2006/relationships/image" Id="rId142" Target="media/rId142.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58" Target="media/rId158.png" /><Relationship Type="http://schemas.openxmlformats.org/officeDocument/2006/relationships/image" Id="rId125" Target="media/rId125.png" /><Relationship Type="http://schemas.openxmlformats.org/officeDocument/2006/relationships/image" Id="rId162" Target="media/rId162.png" /><Relationship Type="http://schemas.openxmlformats.org/officeDocument/2006/relationships/image" Id="rId131" Target="media/rId131.png" /><Relationship Type="http://schemas.openxmlformats.org/officeDocument/2006/relationships/hyperlink" Id="rId58" Target="https://doi.org/10.1016/J.JACC.2025.09.324" TargetMode="External" /><Relationship Type="http://schemas.openxmlformats.org/officeDocument/2006/relationships/hyperlink" Id="rId73" Target="https://doi.org/10.1016/S0140-6736(14)61368-4" TargetMode="External" /><Relationship Type="http://schemas.openxmlformats.org/officeDocument/2006/relationships/hyperlink" Id="rId69" Target="https://doi.org/10.1016/S0140-6736(15)01225-8/ATTACHMENT/603C0742-74C8-441A-9C4C-C02740B35023/MMC1.PDF" TargetMode="External" /><Relationship Type="http://schemas.openxmlformats.org/officeDocument/2006/relationships/hyperlink" Id="rId60" Target="https://doi.org/10.1016/S0140-6736(20)31761-X" TargetMode="External" /><Relationship Type="http://schemas.openxmlformats.org/officeDocument/2006/relationships/hyperlink" Id="rId110" Target="https://doi.org/10.1016/S0140-6736(21)02347-3" TargetMode="External" /><Relationship Type="http://schemas.openxmlformats.org/officeDocument/2006/relationships/hyperlink" Id="rId108" Target="https://doi.org/10.1016/S0140-6736(24)00685-8/ATTACHMENT/92EF98AF-7EAF-4FFE-B0DE-C943208CF6F1/MMC3.PDF" TargetMode="External" /><Relationship Type="http://schemas.openxmlformats.org/officeDocument/2006/relationships/hyperlink" Id="rId75" Target="https://doi.org/10.1016/j.jacadv.2025.102412" TargetMode="External" /><Relationship Type="http://schemas.openxmlformats.org/officeDocument/2006/relationships/hyperlink" Id="rId103" Target="https://doi.org/10.1017/bca.2018.26" TargetMode="External" /><Relationship Type="http://schemas.openxmlformats.org/officeDocument/2006/relationships/hyperlink" Id="rId98" Target="https://doi.org/10.1038/s41591-022-01890-4" TargetMode="External" /><Relationship Type="http://schemas.openxmlformats.org/officeDocument/2006/relationships/hyperlink" Id="rId106" Target="https://doi.org/10.1038/s41591-024-03248-4" TargetMode="External" /><Relationship Type="http://schemas.openxmlformats.org/officeDocument/2006/relationships/hyperlink" Id="rId63" Target="https://doi.org/10.1038/s41591-024-03253-7" TargetMode="External" /><Relationship Type="http://schemas.openxmlformats.org/officeDocument/2006/relationships/hyperlink" Id="rId79" Target="https://doi.org/10.1056/NEJMOA2206916/SUPPL_FILE/NEJMOA2206916_DISCLOSURES.PDF" TargetMode="External" /><Relationship Type="http://schemas.openxmlformats.org/officeDocument/2006/relationships/hyperlink" Id="rId71" Target="https://doi.org/10.1056/NEJMSA053935" TargetMode="External" /><Relationship Type="http://schemas.openxmlformats.org/officeDocument/2006/relationships/hyperlink" Id="rId65" Target="https://doi.org/10.1093/EURJPC/ZWAE281" TargetMode="External" /><Relationship Type="http://schemas.openxmlformats.org/officeDocument/2006/relationships/hyperlink" Id="rId67" Target="https://doi.org/10.1161/01.CIR.0000140668.91896.AE/ASSET/8DE2D8C6-674F-4BA5-BFEE-5AD659C5872D/ASSETS/GRAPHIC/13FF3.JPEG" TargetMode="External" /><Relationship Type="http://schemas.openxmlformats.org/officeDocument/2006/relationships/hyperlink" Id="rId86" Target="https://doi.org/10.1161/CIRCULATIONAHA.118.038160" TargetMode="External" /><Relationship Type="http://schemas.openxmlformats.org/officeDocument/2006/relationships/hyperlink" Id="rId101" Target="https://doi.org/10.2139/SSRN.4015886" TargetMode="External" /><Relationship Type="http://schemas.openxmlformats.org/officeDocument/2006/relationships/hyperlink" Id="rId92" Target="https://doi.org/10.5334/GH.1376" TargetMode="External" /><Relationship Type="http://schemas.openxmlformats.org/officeDocument/2006/relationships/hyperlink" Id="rId29" Target="https://github.com/Disease-Control-Priorities/uw-who-cvdtargets" TargetMode="External" /><Relationship Type="http://schemas.openxmlformats.org/officeDocument/2006/relationships/hyperlink" Id="rId83" Target="https://ssp.apps.ece.iiasa.ac.at/documentation/basic-drivers"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J.JACC.2025.09.324" TargetMode="External" /><Relationship Type="http://schemas.openxmlformats.org/officeDocument/2006/relationships/hyperlink" Id="rId73" Target="https://doi.org/10.1016/S0140-6736(14)61368-4" TargetMode="External" /><Relationship Type="http://schemas.openxmlformats.org/officeDocument/2006/relationships/hyperlink" Id="rId69" Target="https://doi.org/10.1016/S0140-6736(15)01225-8/ATTACHMENT/603C0742-74C8-441A-9C4C-C02740B35023/MMC1.PDF" TargetMode="External" /><Relationship Type="http://schemas.openxmlformats.org/officeDocument/2006/relationships/hyperlink" Id="rId60" Target="https://doi.org/10.1016/S0140-6736(20)31761-X" TargetMode="External" /><Relationship Type="http://schemas.openxmlformats.org/officeDocument/2006/relationships/hyperlink" Id="rId110" Target="https://doi.org/10.1016/S0140-6736(21)02347-3" TargetMode="External" /><Relationship Type="http://schemas.openxmlformats.org/officeDocument/2006/relationships/hyperlink" Id="rId108" Target="https://doi.org/10.1016/S0140-6736(24)00685-8/ATTACHMENT/92EF98AF-7EAF-4FFE-B0DE-C943208CF6F1/MMC3.PDF" TargetMode="External" /><Relationship Type="http://schemas.openxmlformats.org/officeDocument/2006/relationships/hyperlink" Id="rId75" Target="https://doi.org/10.1016/j.jacadv.2025.102412" TargetMode="External" /><Relationship Type="http://schemas.openxmlformats.org/officeDocument/2006/relationships/hyperlink" Id="rId103" Target="https://doi.org/10.1017/bca.2018.26" TargetMode="External" /><Relationship Type="http://schemas.openxmlformats.org/officeDocument/2006/relationships/hyperlink" Id="rId98" Target="https://doi.org/10.1038/s41591-022-01890-4" TargetMode="External" /><Relationship Type="http://schemas.openxmlformats.org/officeDocument/2006/relationships/hyperlink" Id="rId106" Target="https://doi.org/10.1038/s41591-024-03248-4" TargetMode="External" /><Relationship Type="http://schemas.openxmlformats.org/officeDocument/2006/relationships/hyperlink" Id="rId63" Target="https://doi.org/10.1038/s41591-024-03253-7" TargetMode="External" /><Relationship Type="http://schemas.openxmlformats.org/officeDocument/2006/relationships/hyperlink" Id="rId79" Target="https://doi.org/10.1056/NEJMOA2206916/SUPPL_FILE/NEJMOA2206916_DISCLOSURES.PDF" TargetMode="External" /><Relationship Type="http://schemas.openxmlformats.org/officeDocument/2006/relationships/hyperlink" Id="rId71" Target="https://doi.org/10.1056/NEJMSA053935" TargetMode="External" /><Relationship Type="http://schemas.openxmlformats.org/officeDocument/2006/relationships/hyperlink" Id="rId65" Target="https://doi.org/10.1093/EURJPC/ZWAE281" TargetMode="External" /><Relationship Type="http://schemas.openxmlformats.org/officeDocument/2006/relationships/hyperlink" Id="rId67" Target="https://doi.org/10.1161/01.CIR.0000140668.91896.AE/ASSET/8DE2D8C6-674F-4BA5-BFEE-5AD659C5872D/ASSETS/GRAPHIC/13FF3.JPEG" TargetMode="External" /><Relationship Type="http://schemas.openxmlformats.org/officeDocument/2006/relationships/hyperlink" Id="rId86" Target="https://doi.org/10.1161/CIRCULATIONAHA.118.038160" TargetMode="External" /><Relationship Type="http://schemas.openxmlformats.org/officeDocument/2006/relationships/hyperlink" Id="rId101" Target="https://doi.org/10.2139/SSRN.4015886" TargetMode="External" /><Relationship Type="http://schemas.openxmlformats.org/officeDocument/2006/relationships/hyperlink" Id="rId92" Target="https://doi.org/10.5334/GH.1376" TargetMode="External" /><Relationship Type="http://schemas.openxmlformats.org/officeDocument/2006/relationships/hyperlink" Id="rId29" Target="https://github.com/Disease-Control-Priorities/uw-who-cvdtargets" TargetMode="External" /><Relationship Type="http://schemas.openxmlformats.org/officeDocument/2006/relationships/hyperlink" Id="rId83" Target="https://ssp.apps.ece.iiasa.ac.at/documentation/basic-driv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and economic gains from achieving WHO targets for hypertension control and lipid-lowering therapy: a global modelling study in 190 countries, 2026–2050</dc:title>
  <dc:creator>WHO \cdot University of Washington</dc:creator>
  <cp:keywords/>
  <dcterms:created xsi:type="dcterms:W3CDTF">2026-06-09T13:50:53Z</dcterms:created>
  <dcterms:modified xsi:type="dcterms:W3CDTF">2026-06-09T13:50:53Z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June 09,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ies>
</file>