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D7885" w14:textId="77777777" w:rsidR="00B21F49" w:rsidRPr="0005428B" w:rsidRDefault="00B21F49" w:rsidP="00B21F49">
      <w:pPr>
        <w:pStyle w:val="NoSpacing"/>
        <w:jc w:val="both"/>
      </w:pPr>
      <w:r w:rsidRPr="0005428B">
        <w:t>Research Article</w:t>
      </w:r>
    </w:p>
    <w:p w14:paraId="693543D5" w14:textId="77777777" w:rsidR="00B21F49" w:rsidRPr="0005428B" w:rsidRDefault="00B21F49" w:rsidP="00B21F49">
      <w:pPr>
        <w:jc w:val="both"/>
        <w:rPr>
          <w:rFonts w:asciiTheme="majorHAnsi" w:hAnsiTheme="majorHAnsi" w:cs="Arial"/>
          <w:b/>
          <w:bCs/>
          <w:sz w:val="32"/>
          <w:szCs w:val="32"/>
        </w:rPr>
      </w:pPr>
      <w:r w:rsidRPr="0005428B">
        <w:rPr>
          <w:rFonts w:asciiTheme="majorHAnsi" w:hAnsiTheme="majorHAnsi" w:cs="Arial"/>
          <w:b/>
          <w:bCs/>
          <w:sz w:val="32"/>
          <w:szCs w:val="32"/>
        </w:rPr>
        <w:t>Revisiting Stress Granule Transcriptomes Reveals Mitochondrial RNA Enrichment Despite Methodological Bias</w:t>
      </w:r>
    </w:p>
    <w:p w14:paraId="3B782117" w14:textId="77777777" w:rsidR="00B21F49" w:rsidRPr="0005428B" w:rsidRDefault="00B21F49" w:rsidP="00B21F49">
      <w:pPr>
        <w:jc w:val="both"/>
        <w:rPr>
          <w:rFonts w:cs="Arial"/>
          <w:sz w:val="24"/>
          <w:szCs w:val="24"/>
          <w:lang w:val="pt-PT"/>
        </w:rPr>
      </w:pPr>
      <w:r w:rsidRPr="0005428B">
        <w:rPr>
          <w:rFonts w:cs="Arial"/>
          <w:sz w:val="24"/>
          <w:szCs w:val="24"/>
          <w:lang w:val="pt-PT"/>
        </w:rPr>
        <w:t>Alexandre Kaizeler</w:t>
      </w:r>
      <w:r w:rsidRPr="0005428B">
        <w:rPr>
          <w:rFonts w:cs="Arial"/>
          <w:sz w:val="24"/>
          <w:szCs w:val="24"/>
          <w:vertAlign w:val="superscript"/>
          <w:lang w:val="pt-PT"/>
        </w:rPr>
        <w:t>1,2</w:t>
      </w:r>
      <w:r>
        <w:rPr>
          <w:rFonts w:cs="Arial"/>
          <w:sz w:val="24"/>
          <w:szCs w:val="24"/>
          <w:vertAlign w:val="superscript"/>
          <w:lang w:val="pt-PT"/>
        </w:rPr>
        <w:t>,3</w:t>
      </w:r>
      <w:r w:rsidRPr="0005428B">
        <w:rPr>
          <w:rFonts w:cs="Arial"/>
          <w:sz w:val="24"/>
          <w:szCs w:val="24"/>
          <w:lang w:val="pt-PT"/>
        </w:rPr>
        <w:t>*</w:t>
      </w:r>
    </w:p>
    <w:p w14:paraId="0A9A399D" w14:textId="77777777" w:rsidR="00B21F49" w:rsidRDefault="00B21F49" w:rsidP="00B21F49">
      <w:pPr>
        <w:jc w:val="both"/>
        <w:rPr>
          <w:rFonts w:cs="Arial"/>
          <w:sz w:val="24"/>
          <w:szCs w:val="24"/>
          <w:lang w:val="pt-PT"/>
        </w:rPr>
      </w:pPr>
      <w:r>
        <w:rPr>
          <w:rFonts w:cs="Arial"/>
          <w:sz w:val="24"/>
          <w:szCs w:val="24"/>
          <w:lang w:val="pt-PT"/>
        </w:rPr>
        <w:t>Diogo Coutinho</w:t>
      </w:r>
      <w:r w:rsidRPr="0005428B">
        <w:rPr>
          <w:rFonts w:cs="Arial"/>
          <w:sz w:val="24"/>
          <w:szCs w:val="24"/>
          <w:vertAlign w:val="superscript"/>
          <w:lang w:val="pt-PT"/>
        </w:rPr>
        <w:t>1</w:t>
      </w:r>
    </w:p>
    <w:p w14:paraId="59A0EFBC" w14:textId="77777777" w:rsidR="00B21F49" w:rsidRPr="0005428B" w:rsidRDefault="00B21F49" w:rsidP="00B21F49">
      <w:pPr>
        <w:jc w:val="both"/>
        <w:rPr>
          <w:rFonts w:cs="Arial"/>
          <w:sz w:val="24"/>
          <w:szCs w:val="24"/>
          <w:lang w:val="pt-PT"/>
        </w:rPr>
      </w:pPr>
      <w:r w:rsidRPr="0005428B">
        <w:rPr>
          <w:rFonts w:cs="Arial"/>
          <w:sz w:val="24"/>
          <w:szCs w:val="24"/>
          <w:lang w:val="pt-PT"/>
        </w:rPr>
        <w:t>Diana V. Vieira</w:t>
      </w:r>
      <w:r w:rsidRPr="0005428B">
        <w:rPr>
          <w:rFonts w:cs="Arial"/>
          <w:sz w:val="24"/>
          <w:szCs w:val="24"/>
          <w:vertAlign w:val="superscript"/>
          <w:lang w:val="pt-PT"/>
        </w:rPr>
        <w:t>1</w:t>
      </w:r>
    </w:p>
    <w:p w14:paraId="0E19E5E1" w14:textId="77777777" w:rsidR="00B21F49" w:rsidRPr="0005428B" w:rsidRDefault="00B21F49" w:rsidP="00B21F49">
      <w:pPr>
        <w:jc w:val="both"/>
        <w:rPr>
          <w:rFonts w:cs="Arial"/>
          <w:sz w:val="24"/>
          <w:szCs w:val="24"/>
          <w:lang w:val="pt-PT"/>
        </w:rPr>
      </w:pPr>
      <w:r w:rsidRPr="0005428B">
        <w:rPr>
          <w:rFonts w:cs="Arial"/>
          <w:sz w:val="24"/>
          <w:szCs w:val="24"/>
          <w:lang w:val="pt-PT"/>
        </w:rPr>
        <w:t>Vanessa A. Morais</w:t>
      </w:r>
      <w:r w:rsidRPr="0005428B">
        <w:rPr>
          <w:rFonts w:cs="Arial"/>
          <w:sz w:val="24"/>
          <w:szCs w:val="24"/>
          <w:vertAlign w:val="superscript"/>
          <w:lang w:val="pt-PT"/>
        </w:rPr>
        <w:t>1,2</w:t>
      </w:r>
      <w:r>
        <w:rPr>
          <w:rFonts w:cs="Arial"/>
          <w:sz w:val="24"/>
          <w:szCs w:val="24"/>
          <w:vertAlign w:val="superscript"/>
          <w:lang w:val="pt-PT"/>
        </w:rPr>
        <w:t>,</w:t>
      </w:r>
      <w:r w:rsidRPr="0005428B">
        <w:rPr>
          <w:rFonts w:cs="Arial"/>
          <w:sz w:val="24"/>
          <w:szCs w:val="24"/>
          <w:lang w:val="pt-PT"/>
        </w:rPr>
        <w:t>*</w:t>
      </w:r>
      <w:r>
        <w:rPr>
          <w:rFonts w:cs="Arial"/>
          <w:sz w:val="24"/>
          <w:szCs w:val="24"/>
          <w:lang w:val="pt-PT"/>
        </w:rPr>
        <w:t>*</w:t>
      </w:r>
    </w:p>
    <w:p w14:paraId="12948F68" w14:textId="77777777" w:rsidR="00B21F49" w:rsidRPr="0005428B" w:rsidRDefault="00B21F49" w:rsidP="00B21F49">
      <w:pPr>
        <w:jc w:val="both"/>
        <w:rPr>
          <w:rFonts w:cs="Arial"/>
          <w:sz w:val="24"/>
          <w:szCs w:val="24"/>
          <w:lang w:val="pt-PT"/>
        </w:rPr>
      </w:pPr>
      <w:r w:rsidRPr="0005428B">
        <w:rPr>
          <w:rFonts w:cs="Arial"/>
          <w:sz w:val="24"/>
          <w:szCs w:val="24"/>
          <w:lang w:val="pt-PT"/>
        </w:rPr>
        <w:t>Nuno L. Barbosa-Morais</w:t>
      </w:r>
      <w:r w:rsidRPr="0005428B">
        <w:rPr>
          <w:rFonts w:cs="Arial"/>
          <w:sz w:val="24"/>
          <w:szCs w:val="24"/>
          <w:vertAlign w:val="superscript"/>
          <w:lang w:val="pt-PT"/>
        </w:rPr>
        <w:t>1,2</w:t>
      </w:r>
      <w:r>
        <w:rPr>
          <w:rFonts w:cs="Arial"/>
          <w:sz w:val="24"/>
          <w:szCs w:val="24"/>
          <w:vertAlign w:val="superscript"/>
          <w:lang w:val="pt-PT"/>
        </w:rPr>
        <w:t>,3</w:t>
      </w:r>
      <w:commentRangeStart w:id="0"/>
      <w:commentRangeStart w:id="1"/>
      <w:r w:rsidRPr="0005428B">
        <w:rPr>
          <w:rFonts w:cs="Arial"/>
          <w:sz w:val="24"/>
          <w:szCs w:val="24"/>
          <w:lang w:val="pt-PT"/>
        </w:rPr>
        <w:t>**</w:t>
      </w:r>
      <w:commentRangeEnd w:id="0"/>
      <w:r>
        <w:rPr>
          <w:rStyle w:val="CommentReference"/>
          <w:rFonts w:cs="Arial"/>
          <w:sz w:val="24"/>
          <w:szCs w:val="24"/>
          <w:lang w:val="pt-PT"/>
        </w:rPr>
        <w:commentReference w:id="0"/>
      </w:r>
      <w:commentRangeEnd w:id="1"/>
      <w:r w:rsidR="00000000">
        <w:rPr>
          <w:rStyle w:val="CommentReference"/>
          <w:rFonts w:cs="Arial"/>
          <w:sz w:val="24"/>
          <w:szCs w:val="24"/>
          <w:lang w:val="pt-PT"/>
        </w:rPr>
        <w:commentReference w:id="1"/>
      </w:r>
      <w:r>
        <w:rPr>
          <w:rFonts w:cs="Arial"/>
          <w:sz w:val="24"/>
          <w:szCs w:val="24"/>
          <w:lang w:val="pt-PT"/>
        </w:rPr>
        <w:t>*</w:t>
      </w:r>
    </w:p>
    <w:p w14:paraId="684E31C4" w14:textId="77777777" w:rsidR="00B21F49" w:rsidRPr="0005428B" w:rsidRDefault="00B21F49" w:rsidP="00B21F49">
      <w:pPr>
        <w:jc w:val="both"/>
        <w:rPr>
          <w:rFonts w:cs="Arial"/>
          <w:sz w:val="24"/>
          <w:szCs w:val="24"/>
          <w:lang w:val="pt-PT"/>
        </w:rPr>
      </w:pPr>
      <w:r w:rsidRPr="0005428B">
        <w:rPr>
          <w:rFonts w:cs="Arial"/>
          <w:sz w:val="24"/>
          <w:szCs w:val="24"/>
          <w:vertAlign w:val="superscript"/>
          <w:lang w:val="pt-PT"/>
        </w:rPr>
        <w:t>1</w:t>
      </w:r>
      <w:r w:rsidRPr="0005428B">
        <w:rPr>
          <w:rFonts w:cs="Arial"/>
          <w:sz w:val="24"/>
          <w:szCs w:val="24"/>
          <w:lang w:val="pt-PT"/>
        </w:rPr>
        <w:t xml:space="preserve"> Gulbenkian Institute for Molecular Medicine, 1649-0</w:t>
      </w:r>
      <w:r>
        <w:rPr>
          <w:rFonts w:cs="Arial"/>
          <w:sz w:val="24"/>
          <w:szCs w:val="24"/>
          <w:lang w:val="pt-PT"/>
        </w:rPr>
        <w:t>28</w:t>
      </w:r>
      <w:r w:rsidRPr="0005428B">
        <w:rPr>
          <w:rFonts w:cs="Arial"/>
          <w:sz w:val="24"/>
          <w:szCs w:val="24"/>
          <w:lang w:val="pt-PT"/>
        </w:rPr>
        <w:t xml:space="preserve"> Lisbon, Portugal</w:t>
      </w:r>
    </w:p>
    <w:p w14:paraId="1AD813C2" w14:textId="77777777" w:rsidR="00B21F49" w:rsidRDefault="00B21F49" w:rsidP="00B21F49">
      <w:pPr>
        <w:jc w:val="both"/>
        <w:rPr>
          <w:rFonts w:cs="Arial"/>
          <w:sz w:val="24"/>
          <w:szCs w:val="24"/>
          <w:lang w:val="pt-PT"/>
        </w:rPr>
      </w:pPr>
      <w:r w:rsidRPr="0005428B">
        <w:rPr>
          <w:rFonts w:cs="Arial"/>
          <w:sz w:val="24"/>
          <w:szCs w:val="24"/>
          <w:vertAlign w:val="superscript"/>
          <w:lang w:val="pt-PT"/>
        </w:rPr>
        <w:t>2</w:t>
      </w:r>
      <w:r w:rsidRPr="0005428B">
        <w:rPr>
          <w:rFonts w:cs="Arial"/>
          <w:sz w:val="24"/>
          <w:szCs w:val="24"/>
          <w:lang w:val="pt-PT"/>
        </w:rPr>
        <w:t xml:space="preserve"> Faculdade de Medicina, Universidade de Lisboa, 1649-028 Lisbon, Portugal</w:t>
      </w:r>
    </w:p>
    <w:p w14:paraId="6E7AAE00" w14:textId="77777777" w:rsidR="00B21F49" w:rsidRPr="0005428B" w:rsidRDefault="00B21F49" w:rsidP="00B21F49">
      <w:pPr>
        <w:jc w:val="both"/>
        <w:rPr>
          <w:rFonts w:cs="Arial"/>
          <w:sz w:val="24"/>
          <w:szCs w:val="24"/>
          <w:lang w:val="pt-PT"/>
        </w:rPr>
      </w:pPr>
      <w:r w:rsidRPr="00C66E8B">
        <w:rPr>
          <w:rFonts w:cs="Arial"/>
          <w:sz w:val="24"/>
          <w:szCs w:val="24"/>
          <w:vertAlign w:val="superscript"/>
          <w:lang w:val="pt-PT"/>
        </w:rPr>
        <w:t>3</w:t>
      </w:r>
      <w:r>
        <w:rPr>
          <w:rFonts w:cs="Arial"/>
          <w:sz w:val="24"/>
          <w:szCs w:val="24"/>
          <w:lang w:val="pt-PT"/>
        </w:rPr>
        <w:t xml:space="preserve"> </w:t>
      </w:r>
      <w:r w:rsidRPr="00C66E8B">
        <w:rPr>
          <w:rFonts w:cs="Arial"/>
          <w:sz w:val="24"/>
          <w:szCs w:val="24"/>
          <w:lang w:val="pt-PT"/>
        </w:rPr>
        <w:t>Comprehensive Health Research Centre (CHRC), NOVA Medical School|Faculdade de Ciências Médicas, NMS|FCM, Universidade NOVA de Lisboa, 1169-056 Lisbon, Portugal</w:t>
      </w:r>
    </w:p>
    <w:p w14:paraId="73721C80" w14:textId="77777777" w:rsidR="00B21F49" w:rsidRPr="0005428B" w:rsidRDefault="00B21F49" w:rsidP="00B21F49">
      <w:pPr>
        <w:jc w:val="both"/>
        <w:rPr>
          <w:rFonts w:cs="Arial"/>
          <w:sz w:val="24"/>
          <w:szCs w:val="24"/>
        </w:rPr>
      </w:pPr>
      <w:r w:rsidRPr="0005428B">
        <w:rPr>
          <w:rFonts w:cs="Arial"/>
          <w:sz w:val="24"/>
          <w:szCs w:val="24"/>
        </w:rPr>
        <w:t xml:space="preserve">* First Corresponding Author: Alexandre Kaizeler – </w:t>
      </w:r>
      <w:hyperlink r:id="rId9" w:history="1">
        <w:r w:rsidRPr="0005428B">
          <w:rPr>
            <w:rStyle w:val="Hyperlink"/>
            <w:rFonts w:cs="Arial"/>
            <w:sz w:val="24"/>
            <w:szCs w:val="24"/>
          </w:rPr>
          <w:t>alexandre.afonso@gimm.pt</w:t>
        </w:r>
      </w:hyperlink>
    </w:p>
    <w:p w14:paraId="7BBC46EB" w14:textId="77777777" w:rsidR="00B21F49" w:rsidRPr="0005428B" w:rsidRDefault="00B21F49" w:rsidP="00B21F49">
      <w:pPr>
        <w:jc w:val="both"/>
        <w:rPr>
          <w:rFonts w:cs="Arial"/>
          <w:sz w:val="24"/>
          <w:szCs w:val="24"/>
        </w:rPr>
      </w:pPr>
      <w:r w:rsidRPr="0005428B">
        <w:rPr>
          <w:rFonts w:cs="Arial"/>
          <w:sz w:val="24"/>
          <w:szCs w:val="24"/>
        </w:rPr>
        <w:t xml:space="preserve">** </w:t>
      </w:r>
      <w:r>
        <w:rPr>
          <w:rFonts w:cs="Arial"/>
          <w:sz w:val="24"/>
          <w:szCs w:val="24"/>
        </w:rPr>
        <w:t>Second</w:t>
      </w:r>
      <w:r w:rsidRPr="0005428B">
        <w:rPr>
          <w:rFonts w:cs="Arial"/>
          <w:sz w:val="24"/>
          <w:szCs w:val="24"/>
        </w:rPr>
        <w:t xml:space="preserve"> Corresponding Author: </w:t>
      </w:r>
      <w:r>
        <w:rPr>
          <w:rFonts w:cs="Arial"/>
          <w:sz w:val="24"/>
          <w:szCs w:val="24"/>
        </w:rPr>
        <w:t>Vanessa A. Morais</w:t>
      </w:r>
      <w:r w:rsidRPr="0005428B">
        <w:rPr>
          <w:rFonts w:cs="Arial"/>
          <w:sz w:val="24"/>
          <w:szCs w:val="24"/>
        </w:rPr>
        <w:t xml:space="preserve"> – nuno.morais@gimm.pt</w:t>
      </w:r>
    </w:p>
    <w:p w14:paraId="5E016046" w14:textId="49634EAF" w:rsidR="00B21F49" w:rsidRPr="00B21F49" w:rsidRDefault="00B21F49" w:rsidP="00B21F49">
      <w:pPr>
        <w:jc w:val="both"/>
        <w:rPr>
          <w:rFonts w:cs="Arial"/>
          <w:sz w:val="24"/>
          <w:szCs w:val="24"/>
        </w:rPr>
      </w:pPr>
      <w:r w:rsidRPr="0005428B">
        <w:rPr>
          <w:rFonts w:cs="Arial"/>
          <w:sz w:val="24"/>
          <w:szCs w:val="24"/>
        </w:rPr>
        <w:t>*</w:t>
      </w:r>
      <w:r>
        <w:rPr>
          <w:rFonts w:cs="Arial"/>
          <w:sz w:val="24"/>
          <w:szCs w:val="24"/>
        </w:rPr>
        <w:t>*</w:t>
      </w:r>
      <w:r w:rsidRPr="0005428B">
        <w:rPr>
          <w:rFonts w:cs="Arial"/>
          <w:sz w:val="24"/>
          <w:szCs w:val="24"/>
        </w:rPr>
        <w:t xml:space="preserve">* </w:t>
      </w:r>
      <w:r>
        <w:rPr>
          <w:rFonts w:cs="Arial"/>
          <w:sz w:val="24"/>
          <w:szCs w:val="24"/>
        </w:rPr>
        <w:t>Third</w:t>
      </w:r>
      <w:r w:rsidRPr="0005428B">
        <w:rPr>
          <w:rFonts w:cs="Arial"/>
          <w:sz w:val="24"/>
          <w:szCs w:val="24"/>
        </w:rPr>
        <w:t xml:space="preserve"> Corresponding Author: Nuno L. Barbosa-Morais – nuno.morais@</w:t>
      </w:r>
      <w:r>
        <w:rPr>
          <w:rFonts w:cs="Arial"/>
          <w:sz w:val="24"/>
          <w:szCs w:val="24"/>
        </w:rPr>
        <w:t>nms.unl.pt</w:t>
      </w:r>
    </w:p>
    <w:p w14:paraId="5BF0668C" w14:textId="407AFDB1" w:rsidR="00B21F49" w:rsidRDefault="00B21F49" w:rsidP="00B21F49">
      <w:pPr>
        <w:pStyle w:val="Heading1"/>
      </w:pPr>
      <w:r>
        <w:t>Supplementary File</w:t>
      </w:r>
    </w:p>
    <w:p w14:paraId="7156CC5C" w14:textId="7D51DCF5" w:rsidR="00B21F49" w:rsidRPr="00B21F49" w:rsidRDefault="00B00EB2" w:rsidP="00B00EB2">
      <w:pPr>
        <w:pStyle w:val="Heading2"/>
      </w:pPr>
      <w:commentRangeStart w:id="2"/>
      <w:commentRangeStart w:id="3"/>
      <w:r w:rsidRPr="00B00B8B">
        <w:rPr>
          <w:highlight w:val="yellow"/>
        </w:rPr>
        <w:t xml:space="preserve">Sampling bias does not explain the RNA length bias in </w:t>
      </w:r>
      <w:r w:rsidRPr="009A3A3C">
        <w:rPr>
          <w:highlight w:val="yellow"/>
        </w:rPr>
        <w:t>DC</w:t>
      </w:r>
      <w:r w:rsidRPr="00B00B8B">
        <w:rPr>
          <w:highlight w:val="yellow"/>
        </w:rPr>
        <w:t>-derived SGs</w:t>
      </w:r>
      <w:commentRangeEnd w:id="2"/>
      <w:r w:rsidRPr="00B21F49">
        <w:rPr>
          <w:rStyle w:val="CommentReference"/>
          <w:sz w:val="32"/>
          <w:szCs w:val="32"/>
        </w:rPr>
        <w:commentReference w:id="2"/>
      </w:r>
      <w:commentRangeEnd w:id="3"/>
      <w:r w:rsidR="00000000" w:rsidRPr="00B21F49">
        <w:rPr>
          <w:rStyle w:val="CommentReference"/>
          <w:sz w:val="32"/>
          <w:szCs w:val="32"/>
        </w:rPr>
        <w:commentReference w:id="3"/>
      </w:r>
    </w:p>
    <w:p w14:paraId="3574EE59" w14:textId="60B04A40" w:rsidR="00B21F49" w:rsidRPr="00657FA8" w:rsidRDefault="00B00EB2" w:rsidP="00B21F49">
      <w:pPr>
        <w:jc w:val="both"/>
        <w:rPr>
          <w:rFonts w:ascii="Arial" w:hAnsi="Arial" w:cs="Arial"/>
          <w:sz w:val="24"/>
          <w:szCs w:val="24"/>
        </w:rPr>
      </w:pPr>
      <w:r>
        <w:rPr>
          <w:rFonts w:ascii="Arial" w:hAnsi="Arial" w:cs="Arial"/>
          <w:sz w:val="24"/>
          <w:szCs w:val="24"/>
        </w:rPr>
        <w:t>S</w:t>
      </w:r>
      <w:r w:rsidR="00B21F49" w:rsidRPr="00657FA8">
        <w:rPr>
          <w:rFonts w:ascii="Arial" w:hAnsi="Arial" w:cs="Arial"/>
          <w:sz w:val="24"/>
          <w:szCs w:val="24"/>
        </w:rPr>
        <w:t>ince SGs contain only about 10% of the total cellular mRNA</w:t>
      </w:r>
      <w:r w:rsidR="00B21F49" w:rsidRPr="00657FA8">
        <w:rPr>
          <w:rFonts w:ascii="Arial" w:hAnsi="Arial" w:cs="Arial"/>
          <w:sz w:val="24"/>
          <w:szCs w:val="24"/>
        </w:rPr>
        <w:fldChar w:fldCharType="begin"/>
      </w:r>
      <w:r w:rsidR="00B21F49">
        <w:rPr>
          <w:rFonts w:ascii="Arial" w:hAnsi="Arial" w:cs="Arial"/>
          <w:sz w:val="24"/>
          <w:szCs w:val="24"/>
        </w:rPr>
        <w:instrText xml:space="preserve"> ADDIN ZOTERO_ITEM CSL_CITATION {"citationID":"y5zvKBav","properties":{"formattedCitation":"\\super 29\\nosupersub{}","plainCitation":"29","noteIndex":0},"citationItems":[{"id":"eWYkGb3f/WirzUfmV","uris":["http://zotero.org/users/local/1p9EH8ax/items/WPA4SC2G"],"itemData":{"id":"ixGPuM3I/VImHyTyI","type":"article-journal","container-title":"Molecular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B21F49" w:rsidRPr="00657FA8">
        <w:rPr>
          <w:rFonts w:ascii="Arial" w:hAnsi="Arial" w:cs="Arial"/>
          <w:sz w:val="24"/>
          <w:szCs w:val="24"/>
        </w:rPr>
        <w:fldChar w:fldCharType="separate"/>
      </w:r>
      <w:r w:rsidR="00B21F49" w:rsidRPr="00657FA8">
        <w:rPr>
          <w:rFonts w:ascii="Arial" w:hAnsi="Arial" w:cs="Arial"/>
          <w:kern w:val="0"/>
          <w:sz w:val="24"/>
          <w:szCs w:val="24"/>
          <w:vertAlign w:val="superscript"/>
        </w:rPr>
        <w:t>29</w:t>
      </w:r>
      <w:r w:rsidR="00B21F49" w:rsidRPr="00657FA8">
        <w:rPr>
          <w:rFonts w:ascii="Arial" w:hAnsi="Arial" w:cs="Arial"/>
          <w:sz w:val="24"/>
          <w:szCs w:val="24"/>
        </w:rPr>
        <w:fldChar w:fldCharType="end"/>
      </w:r>
      <w:r w:rsidR="00B21F49" w:rsidRPr="00657FA8">
        <w:rPr>
          <w:rFonts w:ascii="Arial" w:hAnsi="Arial" w:cs="Arial"/>
          <w:sz w:val="24"/>
          <w:szCs w:val="24"/>
        </w:rPr>
        <w:t xml:space="preserve">, the RNAs detected in SGs may not fully represent the diversity of the whole-cell transcriptome. </w:t>
      </w:r>
      <w:r w:rsidR="00B21F49" w:rsidRPr="00A97F02">
        <w:rPr>
          <w:rFonts w:ascii="Arial" w:hAnsi="Arial" w:cs="Arial"/>
          <w:sz w:val="24"/>
          <w:szCs w:val="24"/>
        </w:rPr>
        <w:t>In small mRNA samples, longer transcripts may be overrepresented. This occurs because the RNA-seq library preparation process involves fragmentation, which yields more short sequencing reads per full molecule for longer transcripts. Standard normalization methods that account for transcript length do not fully correct for this overrepresentation bias</w:t>
      </w:r>
      <w:r w:rsidR="00B21F49" w:rsidRPr="009A3A3C">
        <w:rPr>
          <w:rFonts w:ascii="Arial" w:hAnsi="Arial" w:cs="Arial"/>
          <w:sz w:val="24"/>
          <w:szCs w:val="24"/>
        </w:rPr>
        <w:fldChar w:fldCharType="begin"/>
      </w:r>
      <w:r w:rsidR="00B21F49">
        <w:rPr>
          <w:rFonts w:ascii="Arial" w:hAnsi="Arial" w:cs="Arial"/>
          <w:sz w:val="24"/>
          <w:szCs w:val="24"/>
        </w:rPr>
        <w:instrText xml:space="preserve"> ADDIN ZOTERO_ITEM CSL_CITATION {"citationID":"IbkTzySx","properties":{"formattedCitation":"\\super 38,39\\nosupersub{}","plainCitation":"38,39","noteIndex":0},"citationItems":[{"id":"eWYkGb3f/imAWaWvV","uris":["http://zotero.org/users/local/1p9EH8ax/items/DBQW49LU"],"itemData":{"id":79,"type":"article-journal","abstract":"Abstract\n            \n              Background\n              In order to correctly decode phenotypic information from RNA-sequencing (RNA-seq) data, careful selection of the RNA-seq quantification measure is critical for inter-sample comparisons and for downstream analyses, such as differential gene expression between two or more conditions. Several methods have been proposed and continue to be used. However, a consensus has not been reached regarding the best gene expression quantification method for RNA-seq data analysis.\n            \n            \n              Methods\n              In the present study, we used replicate samples from each of 20 patient-derived xenograft (PDX) models spanning 15 tumor types, for a total of 61 human tumor xenograft samples available through the NCI patient-derived model repository (PDMR). We compared the reproducibility across replicate samples based on TPM (transcripts per million), FPKM (fragments per kilobase of transcript per million fragments mapped), and normalized counts using coefficient of variation, intraclass correlation coefficient, and cluster analysis.\n            \n            \n              Results\n              Our results revealed that hierarchical clustering on normalized count data tended to group replicate samples from the same PDX model together more accurately than TPM and FPKM data. Furthermore, normalized count data were observed to have the lowest median coefficient of variation (CV), and highest intraclass correlation (ICC) values across all replicate samples from the same model and for the same gene across all PDX models compared to TPM and FPKM data.\n            \n            \n              Conclusion\n              We provided compelling evidence for a preferred quantification measure to conduct downstream analyses of PDX RNA-seq data. To our knowledge, this is the first comparative study of RNA-seq data quantification measures conducted on PDX models, which are known to be inherently more variable than cell line models. Our findings are consistent with what others have shown for human tumors and cell lines and add further support to the thesis that normalized counts are the best choice for the analysis of RNA-seq data across samples.","container-title":"Journal of Translational Medicine","DOI":"10.1186/s12967-021-02936-w","ISSN":"1479-5876","issue":"1","journalAbbreviation":"J Transl Med","language":"en","page":"269","source":"DOI.org (Crossref)","title":"TPM, FPKM, or Normalized Counts? A Comparative Study of Quantification Measures for the Analysis of RNA-seq Data from the NCI Patient-Derived Models Repository","title-short":"TPM, FPKM, or Normalized Counts?","volume":"19","author":[{"family":"Zhao","given":"Yingdong"},{"family":"Li","given":"Ming-Chung"},{"family":"Konaté","given":"Mariam M."},{"family":"Chen","given":"Li"},{"family":"Das","given":"Biswajit"},{"family":"Karlovich","given":"Chris"},{"family":"Williams","given":"P. Mickey"},{"family":"Evrard","given":"Yvonne A."},{"family":"Doroshow","given":"James H."},{"family":"McShane","given":"Lisa M."}],"issued":{"date-parts":[["2021",12]]}}},{"id":116,"uris":["http://zotero.org/users/local/q86rvdj2/items/C363EF79"],"itemData":{"id":116,"type":"article-journal","container-title":"PLOS Biology","DOI":"10.1371/journal.pbio.3000481","ISSN":"1545-7885","issue":"11","journalAbbreviation":"PLoS Biol","language":"en","page":"e3000481","source":"DOI.org (Crossref)","title":"Recurrent functional misinterpretation of RNA-seq data caused by sample-specific gene length bias","volume":"17","author":[{"family":"Mandelboum","given":"Shir"},{"family":"Manber","given":"Zohar"},{"family":"Elroy-Stein","given":"Orna"},{"family":"Elkon","given":"Ran"}],"editor":[{"family":"Huang","given":"Sui"}],"issued":{"date-parts":[["2019",11,12]]}}}],"schema":"https://github.com/citation-style-language/schema/raw/master/csl-citation.json"} </w:instrText>
      </w:r>
      <w:r w:rsidR="00B21F49" w:rsidRPr="009A3A3C">
        <w:rPr>
          <w:rFonts w:ascii="Arial" w:hAnsi="Arial" w:cs="Arial"/>
          <w:sz w:val="24"/>
          <w:szCs w:val="24"/>
        </w:rPr>
        <w:fldChar w:fldCharType="separate"/>
      </w:r>
      <w:r w:rsidR="00B21F49" w:rsidRPr="00657FA8">
        <w:rPr>
          <w:rFonts w:ascii="Arial" w:hAnsi="Arial" w:cs="Arial"/>
          <w:kern w:val="0"/>
          <w:sz w:val="24"/>
          <w:szCs w:val="24"/>
          <w:vertAlign w:val="superscript"/>
        </w:rPr>
        <w:t>38,39</w:t>
      </w:r>
      <w:r w:rsidR="00B21F49" w:rsidRPr="009A3A3C">
        <w:rPr>
          <w:rFonts w:ascii="Arial" w:hAnsi="Arial" w:cs="Arial"/>
          <w:sz w:val="24"/>
          <w:szCs w:val="24"/>
        </w:rPr>
        <w:fldChar w:fldCharType="end"/>
      </w:r>
      <w:r w:rsidR="00B21F49" w:rsidRPr="00657FA8">
        <w:rPr>
          <w:rFonts w:ascii="Arial" w:hAnsi="Arial" w:cs="Arial"/>
          <w:sz w:val="24"/>
          <w:szCs w:val="24"/>
        </w:rPr>
        <w:t>.</w:t>
      </w:r>
    </w:p>
    <w:p w14:paraId="61E89310" w14:textId="77777777" w:rsidR="00B21F49" w:rsidRPr="00657FA8" w:rsidRDefault="00B21F49" w:rsidP="00B21F49">
      <w:pPr>
        <w:jc w:val="both"/>
        <w:rPr>
          <w:rFonts w:ascii="Arial" w:hAnsi="Arial" w:cs="Arial"/>
          <w:sz w:val="24"/>
          <w:szCs w:val="24"/>
        </w:rPr>
      </w:pPr>
      <w:r w:rsidRPr="00657FA8">
        <w:rPr>
          <w:rFonts w:ascii="Arial" w:hAnsi="Arial" w:cs="Arial"/>
          <w:sz w:val="24"/>
          <w:szCs w:val="24"/>
        </w:rPr>
        <w:t xml:space="preserve">To formally assess whether technical or sampling effects could contribute to a length bias, we performed </w:t>
      </w:r>
      <w:r w:rsidRPr="00657FA8">
        <w:rPr>
          <w:rFonts w:ascii="Arial" w:hAnsi="Arial" w:cs="Arial"/>
          <w:i/>
          <w:iCs/>
          <w:sz w:val="24"/>
          <w:szCs w:val="24"/>
        </w:rPr>
        <w:t>in silico</w:t>
      </w:r>
      <w:r w:rsidRPr="00657FA8">
        <w:rPr>
          <w:rFonts w:ascii="Arial" w:hAnsi="Arial" w:cs="Arial"/>
          <w:sz w:val="24"/>
          <w:szCs w:val="24"/>
        </w:rPr>
        <w:t xml:space="preserve"> RNA</w:t>
      </w:r>
      <w:r>
        <w:rPr>
          <w:rFonts w:ascii="Arial" w:hAnsi="Arial" w:cs="Arial"/>
          <w:sz w:val="24"/>
          <w:szCs w:val="24"/>
        </w:rPr>
        <w:t xml:space="preserve"> </w:t>
      </w:r>
      <w:r w:rsidRPr="00657FA8">
        <w:rPr>
          <w:rFonts w:ascii="Arial" w:hAnsi="Arial" w:cs="Arial"/>
          <w:sz w:val="24"/>
          <w:szCs w:val="24"/>
        </w:rPr>
        <w:t>seq</w:t>
      </w:r>
      <w:r>
        <w:rPr>
          <w:rFonts w:ascii="Arial" w:hAnsi="Arial" w:cs="Arial"/>
          <w:sz w:val="24"/>
          <w:szCs w:val="24"/>
        </w:rPr>
        <w:t>uencing</w:t>
      </w:r>
      <w:r w:rsidRPr="00657FA8">
        <w:rPr>
          <w:rFonts w:ascii="Arial" w:hAnsi="Arial" w:cs="Arial"/>
          <w:sz w:val="24"/>
          <w:szCs w:val="24"/>
        </w:rPr>
        <w:t xml:space="preserve"> (RNA</w:t>
      </w:r>
      <w:r>
        <w:rPr>
          <w:rFonts w:ascii="Arial" w:hAnsi="Arial" w:cs="Arial"/>
          <w:sz w:val="24"/>
          <w:szCs w:val="24"/>
        </w:rPr>
        <w:t>-seq</w:t>
      </w:r>
      <w:r w:rsidRPr="00657FA8">
        <w:rPr>
          <w:rFonts w:ascii="Arial" w:hAnsi="Arial" w:cs="Arial"/>
          <w:sz w:val="24"/>
          <w:szCs w:val="24"/>
        </w:rPr>
        <w:t xml:space="preserve">) simulations using empirical RNA expression levels and fragment </w:t>
      </w:r>
      <w:r>
        <w:rPr>
          <w:rFonts w:ascii="Arial" w:hAnsi="Arial" w:cs="Arial"/>
          <w:sz w:val="24"/>
          <w:szCs w:val="24"/>
        </w:rPr>
        <w:t>length</w:t>
      </w:r>
      <w:r w:rsidRPr="00657FA8">
        <w:rPr>
          <w:rFonts w:ascii="Arial" w:hAnsi="Arial" w:cs="Arial"/>
          <w:sz w:val="24"/>
          <w:szCs w:val="24"/>
        </w:rPr>
        <w:t xml:space="preserve"> distributions from the original SG and WC samples</w:t>
      </w:r>
      <w:r w:rsidRPr="00657FA8">
        <w:rPr>
          <w:rFonts w:ascii="Arial" w:hAnsi="Arial" w:cs="Arial"/>
          <w:sz w:val="24"/>
          <w:szCs w:val="24"/>
        </w:rPr>
        <w:fldChar w:fldCharType="begin"/>
      </w:r>
      <w:r>
        <w:rPr>
          <w:rFonts w:ascii="Arial" w:hAnsi="Arial" w:cs="Arial"/>
          <w:sz w:val="24"/>
          <w:szCs w:val="24"/>
        </w:rPr>
        <w:instrText xml:space="preserve"> ADDIN ZOTERO_ITEM CSL_CITATION {"citationID":"BJJaCXgK","properties":{"formattedCitation":"\\super 29\\nosupersub{}","plainCitation":"29","noteIndex":0},"citationItems":[{"id":"eWYkGb3f/WirzUfmV","uris":["http://zotero.org/users/local/1p9EH8ax/items/WPA4SC2G"],"itemData":{"id":"BBFnzxKo/8GC0EoNN","type":"article-journal","container-title":"Molecular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657FA8">
        <w:rPr>
          <w:rFonts w:ascii="Arial" w:hAnsi="Arial" w:cs="Arial"/>
          <w:sz w:val="24"/>
          <w:szCs w:val="24"/>
        </w:rPr>
        <w:fldChar w:fldCharType="separate"/>
      </w:r>
      <w:r w:rsidRPr="00657FA8">
        <w:rPr>
          <w:rFonts w:ascii="Arial" w:hAnsi="Arial" w:cs="Arial"/>
          <w:kern w:val="0"/>
          <w:sz w:val="24"/>
          <w:vertAlign w:val="superscript"/>
        </w:rPr>
        <w:t>29</w:t>
      </w:r>
      <w:r w:rsidRPr="00657FA8">
        <w:rPr>
          <w:rFonts w:ascii="Arial" w:hAnsi="Arial" w:cs="Arial"/>
          <w:sz w:val="24"/>
          <w:szCs w:val="24"/>
        </w:rPr>
        <w:fldChar w:fldCharType="end"/>
      </w:r>
      <w:r w:rsidRPr="00657FA8">
        <w:rPr>
          <w:rFonts w:ascii="Arial" w:hAnsi="Arial" w:cs="Arial"/>
          <w:sz w:val="24"/>
          <w:szCs w:val="24"/>
        </w:rPr>
        <w:t> (schematic shown in Figure 2A</w:t>
      </w:r>
      <w:r>
        <w:rPr>
          <w:rFonts w:ascii="Arial" w:hAnsi="Arial" w:cs="Arial"/>
          <w:sz w:val="24"/>
          <w:szCs w:val="24"/>
        </w:rPr>
        <w:t>,B</w:t>
      </w:r>
      <w:r w:rsidRPr="00657FA8">
        <w:rPr>
          <w:rFonts w:ascii="Arial" w:hAnsi="Arial" w:cs="Arial"/>
          <w:sz w:val="24"/>
          <w:szCs w:val="24"/>
        </w:rPr>
        <w:t>; v. Methods).</w:t>
      </w:r>
      <w:commentRangeStart w:id="4"/>
      <w:commentRangeStart w:id="5"/>
      <w:r w:rsidRPr="00657FA8">
        <w:rPr>
          <w:rFonts w:ascii="Arial" w:hAnsi="Arial" w:cs="Arial"/>
          <w:sz w:val="24"/>
          <w:szCs w:val="24"/>
        </w:rPr>
        <w:t> </w:t>
      </w:r>
      <w:bookmarkStart w:id="6" w:name="OLE_LINK1"/>
      <w:commentRangeEnd w:id="4"/>
      <w:r w:rsidRPr="00657FA8">
        <w:rPr>
          <w:rStyle w:val="CommentReference"/>
          <w:rFonts w:ascii="Arial" w:hAnsi="Arial" w:cs="Arial"/>
          <w:sz w:val="24"/>
          <w:szCs w:val="24"/>
        </w:rPr>
        <w:commentReference w:id="4"/>
      </w:r>
      <w:commentRangeEnd w:id="5"/>
      <w:r w:rsidR="00000000" w:rsidRPr="00657FA8">
        <w:rPr>
          <w:rStyle w:val="CommentReference"/>
          <w:rFonts w:ascii="Arial" w:hAnsi="Arial" w:cs="Arial"/>
          <w:sz w:val="24"/>
          <w:szCs w:val="24"/>
        </w:rPr>
        <w:commentReference w:id="5"/>
      </w:r>
      <w:r w:rsidRPr="00657FA8">
        <w:rPr>
          <w:rFonts w:ascii="Arial" w:hAnsi="Arial" w:cs="Arial"/>
          <w:sz w:val="24"/>
          <w:szCs w:val="24"/>
        </w:rPr>
        <w:t>Additional simulations</w:t>
      </w:r>
      <w:r>
        <w:rPr>
          <w:rFonts w:ascii="Arial" w:hAnsi="Arial" w:cs="Arial"/>
          <w:sz w:val="24"/>
          <w:szCs w:val="24"/>
        </w:rPr>
        <w:t>,</w:t>
      </w:r>
      <w:r w:rsidRPr="00657FA8">
        <w:rPr>
          <w:rFonts w:ascii="Arial" w:hAnsi="Arial" w:cs="Arial"/>
          <w:sz w:val="24"/>
          <w:szCs w:val="24"/>
        </w:rPr>
        <w:t xml:space="preserve"> in which expression data from one population were paired with the alternate fragmentation profile</w:t>
      </w:r>
      <w:r>
        <w:rPr>
          <w:rFonts w:ascii="Arial" w:hAnsi="Arial" w:cs="Arial"/>
          <w:sz w:val="24"/>
          <w:szCs w:val="24"/>
        </w:rPr>
        <w:t>,</w:t>
      </w:r>
      <w:r w:rsidRPr="00657FA8">
        <w:rPr>
          <w:rFonts w:ascii="Arial" w:hAnsi="Arial" w:cs="Arial"/>
          <w:sz w:val="24"/>
          <w:szCs w:val="24"/>
        </w:rPr>
        <w:t xml:space="preserve"> demonstrated that fragmentation patterns depended only on the input expression, confirming equivalence of SG and WC fragmentation profiles (Supplementary Figure 2).</w:t>
      </w:r>
      <w:r>
        <w:rPr>
          <w:rFonts w:ascii="Arial" w:hAnsi="Arial" w:cs="Arial"/>
          <w:sz w:val="24"/>
          <w:szCs w:val="24"/>
        </w:rPr>
        <w:t xml:space="preserve"> </w:t>
      </w:r>
      <w:r w:rsidRPr="00657FA8">
        <w:rPr>
          <w:rFonts w:ascii="Arial" w:hAnsi="Arial" w:cs="Arial"/>
          <w:sz w:val="24"/>
          <w:szCs w:val="24"/>
        </w:rPr>
        <w:t xml:space="preserve">Finally, we simulated WC and SG samples by drawing reads from the full WC transcriptome, with SG samples representing a 10% subset of that expression. These simulated SG transcriptomes exhibited a negative length bias, in contrast to the positive bias in DC-purified SG transcriptomes (Figure 2C). This </w:t>
      </w:r>
      <w:r w:rsidRPr="00657FA8">
        <w:rPr>
          <w:rFonts w:ascii="Arial" w:hAnsi="Arial" w:cs="Arial"/>
          <w:sz w:val="24"/>
          <w:szCs w:val="24"/>
        </w:rPr>
        <w:lastRenderedPageBreak/>
        <w:t>reversal is most likely due to the high abundance of short RN7SL1–3 RNAs in the original WC transcriptome, which constitute approximately 50% of total reads</w:t>
      </w:r>
      <w:r w:rsidRPr="00657FA8">
        <w:rPr>
          <w:rFonts w:ascii="Arial" w:hAnsi="Arial" w:cs="Arial"/>
          <w:sz w:val="24"/>
          <w:szCs w:val="24"/>
        </w:rPr>
        <w:fldChar w:fldCharType="begin"/>
      </w:r>
      <w:r>
        <w:rPr>
          <w:rFonts w:ascii="Arial" w:hAnsi="Arial" w:cs="Arial"/>
          <w:sz w:val="24"/>
          <w:szCs w:val="24"/>
        </w:rPr>
        <w:instrText xml:space="preserve"> ADDIN ZOTERO_ITEM CSL_CITATION {"citationID":"L2wTegYY","properties":{"formattedCitation":"\\super 29\\nosupersub{}","plainCitation":"29","noteIndex":0},"citationItems":[{"id":"eWYkGb3f/WirzUfmV","uris":["http://zotero.org/users/local/1p9EH8ax/items/WPA4SC2G"],"itemData":{"id":"Ffjo3497/U4TBB5NL","type":"article-journal","container-title":"Molecular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657FA8">
        <w:rPr>
          <w:rFonts w:ascii="Arial" w:hAnsi="Arial" w:cs="Arial"/>
          <w:sz w:val="24"/>
          <w:szCs w:val="24"/>
        </w:rPr>
        <w:fldChar w:fldCharType="separate"/>
      </w:r>
      <w:r w:rsidRPr="00657FA8">
        <w:rPr>
          <w:rFonts w:ascii="Arial" w:hAnsi="Arial" w:cs="Arial"/>
          <w:kern w:val="0"/>
          <w:sz w:val="24"/>
          <w:szCs w:val="24"/>
          <w:vertAlign w:val="superscript"/>
        </w:rPr>
        <w:t>29</w:t>
      </w:r>
      <w:r w:rsidRPr="00657FA8">
        <w:rPr>
          <w:rFonts w:ascii="Arial" w:hAnsi="Arial" w:cs="Arial"/>
          <w:sz w:val="24"/>
          <w:szCs w:val="24"/>
        </w:rPr>
        <w:fldChar w:fldCharType="end"/>
      </w:r>
      <w:r w:rsidRPr="00657FA8">
        <w:rPr>
          <w:rFonts w:ascii="Arial" w:hAnsi="Arial" w:cs="Arial"/>
          <w:sz w:val="24"/>
          <w:szCs w:val="24"/>
        </w:rPr>
        <w:t xml:space="preserve">, and outweigh contributions from longer transcripts in the simulation. </w:t>
      </w:r>
    </w:p>
    <w:p w14:paraId="325EB8A3" w14:textId="77777777" w:rsidR="00B21F49" w:rsidRPr="00657FA8" w:rsidRDefault="00B21F49" w:rsidP="00B21F49">
      <w:pPr>
        <w:jc w:val="both"/>
        <w:rPr>
          <w:rFonts w:ascii="Arial" w:hAnsi="Arial" w:cs="Arial"/>
          <w:sz w:val="24"/>
          <w:szCs w:val="24"/>
        </w:rPr>
      </w:pPr>
      <w:r w:rsidRPr="00657FA8">
        <w:rPr>
          <w:rFonts w:ascii="Arial" w:hAnsi="Arial" w:cs="Arial"/>
          <w:sz w:val="24"/>
          <w:szCs w:val="24"/>
        </w:rPr>
        <w:t xml:space="preserve">Even in this simplified scenario, designed to maximize technical enrichment of longer RNAs, the positive length bias in SGs was not reproduced. In fact, </w:t>
      </w:r>
      <w:r>
        <w:rPr>
          <w:rFonts w:ascii="Arial" w:hAnsi="Arial" w:cs="Arial"/>
          <w:sz w:val="24"/>
          <w:szCs w:val="24"/>
        </w:rPr>
        <w:t xml:space="preserve">library complexity and </w:t>
      </w:r>
      <w:r w:rsidRPr="00657FA8">
        <w:rPr>
          <w:rFonts w:ascii="Arial" w:hAnsi="Arial" w:cs="Arial"/>
          <w:sz w:val="24"/>
          <w:szCs w:val="24"/>
        </w:rPr>
        <w:t>sequencing depth of SGs in the original study</w:t>
      </w:r>
      <w:r w:rsidRPr="00657FA8">
        <w:rPr>
          <w:rFonts w:ascii="Arial" w:hAnsi="Arial" w:cs="Arial"/>
          <w:sz w:val="24"/>
          <w:szCs w:val="24"/>
        </w:rPr>
        <w:fldChar w:fldCharType="begin"/>
      </w:r>
      <w:r>
        <w:rPr>
          <w:rFonts w:ascii="Arial" w:hAnsi="Arial" w:cs="Arial"/>
          <w:sz w:val="24"/>
          <w:szCs w:val="24"/>
        </w:rPr>
        <w:instrText xml:space="preserve"> ADDIN ZOTERO_ITEM CSL_CITATION {"citationID":"HzkJfGpF","properties":{"formattedCitation":"\\super 29\\nosupersub{}","plainCitation":"29","noteIndex":0},"citationItems":[{"id":"eWYkGb3f/WirzUfmV","uris":["http://zotero.org/users/local/1p9EH8ax/items/WPA4SC2G"],"itemData":{"id":"ixGPuM3I/VImHyTyI","type":"article-journal","container-title":"Molecular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657FA8">
        <w:rPr>
          <w:rFonts w:ascii="Arial" w:hAnsi="Arial" w:cs="Arial"/>
          <w:sz w:val="24"/>
          <w:szCs w:val="24"/>
        </w:rPr>
        <w:fldChar w:fldCharType="separate"/>
      </w:r>
      <w:r w:rsidRPr="00657FA8">
        <w:rPr>
          <w:rFonts w:ascii="Arial" w:hAnsi="Arial" w:cs="Arial"/>
          <w:kern w:val="0"/>
          <w:sz w:val="24"/>
          <w:szCs w:val="24"/>
          <w:vertAlign w:val="superscript"/>
        </w:rPr>
        <w:t>29</w:t>
      </w:r>
      <w:r w:rsidRPr="00657FA8">
        <w:rPr>
          <w:rFonts w:ascii="Arial" w:hAnsi="Arial" w:cs="Arial"/>
          <w:sz w:val="24"/>
          <w:szCs w:val="24"/>
        </w:rPr>
        <w:fldChar w:fldCharType="end"/>
      </w:r>
      <w:r w:rsidRPr="00657FA8">
        <w:rPr>
          <w:rFonts w:ascii="Arial" w:hAnsi="Arial" w:cs="Arial"/>
          <w:sz w:val="24"/>
          <w:szCs w:val="24"/>
        </w:rPr>
        <w:t xml:space="preserve"> appear sufficient to prevent </w:t>
      </w:r>
      <w:r>
        <w:rPr>
          <w:rFonts w:ascii="Arial" w:hAnsi="Arial" w:cs="Arial"/>
          <w:sz w:val="24"/>
          <w:szCs w:val="24"/>
        </w:rPr>
        <w:t>the hypothesized sampling bias</w:t>
      </w:r>
      <w:r w:rsidRPr="00657FA8">
        <w:rPr>
          <w:rFonts w:ascii="Arial" w:hAnsi="Arial" w:cs="Arial"/>
          <w:sz w:val="24"/>
          <w:szCs w:val="24"/>
        </w:rPr>
        <w:t xml:space="preserve"> (Figure 2D). </w:t>
      </w:r>
    </w:p>
    <w:p w14:paraId="76DE074C" w14:textId="77777777" w:rsidR="00B21F49" w:rsidRPr="009A3A3C" w:rsidRDefault="00B21F49" w:rsidP="00B21F49">
      <w:pPr>
        <w:jc w:val="both"/>
        <w:rPr>
          <w:rFonts w:ascii="Arial" w:hAnsi="Arial" w:cs="Arial"/>
          <w:sz w:val="24"/>
          <w:szCs w:val="24"/>
        </w:rPr>
      </w:pPr>
      <w:r w:rsidRPr="00657FA8">
        <w:rPr>
          <w:rFonts w:ascii="Arial" w:hAnsi="Arial" w:cs="Arial"/>
          <w:sz w:val="24"/>
          <w:szCs w:val="24"/>
        </w:rPr>
        <w:t xml:space="preserve">Collectively, these results suggest that the positive length bias in DC-purified SG transcriptomes is unlikely to arise from either sampling </w:t>
      </w:r>
      <w:r>
        <w:rPr>
          <w:rFonts w:ascii="Arial" w:hAnsi="Arial" w:cs="Arial"/>
          <w:sz w:val="24"/>
          <w:szCs w:val="24"/>
        </w:rPr>
        <w:t xml:space="preserve">bias </w:t>
      </w:r>
      <w:r w:rsidRPr="00657FA8">
        <w:rPr>
          <w:rFonts w:ascii="Arial" w:hAnsi="Arial" w:cs="Arial"/>
          <w:sz w:val="24"/>
          <w:szCs w:val="24"/>
        </w:rPr>
        <w:t xml:space="preserve">or </w:t>
      </w:r>
      <w:r>
        <w:rPr>
          <w:rFonts w:ascii="Arial" w:hAnsi="Arial" w:cs="Arial"/>
          <w:sz w:val="24"/>
          <w:szCs w:val="24"/>
        </w:rPr>
        <w:t xml:space="preserve">other </w:t>
      </w:r>
      <w:r w:rsidRPr="00657FA8">
        <w:rPr>
          <w:rFonts w:ascii="Arial" w:hAnsi="Arial" w:cs="Arial"/>
          <w:sz w:val="24"/>
          <w:szCs w:val="24"/>
        </w:rPr>
        <w:t xml:space="preserve">RNA-seq technical effects owing to the lower number of RNA molecules </w:t>
      </w:r>
      <w:r>
        <w:rPr>
          <w:rFonts w:ascii="Arial" w:hAnsi="Arial" w:cs="Arial"/>
          <w:sz w:val="24"/>
          <w:szCs w:val="24"/>
        </w:rPr>
        <w:t>i</w:t>
      </w:r>
      <w:r w:rsidRPr="00657FA8">
        <w:rPr>
          <w:rFonts w:ascii="Arial" w:hAnsi="Arial" w:cs="Arial"/>
          <w:sz w:val="24"/>
          <w:szCs w:val="24"/>
        </w:rPr>
        <w:t>n SGs, when compared to the remainder of the cell.</w:t>
      </w:r>
      <w:bookmarkEnd w:id="6"/>
    </w:p>
    <w:p w14:paraId="51139792" w14:textId="7DCED965" w:rsidR="00B21F49" w:rsidRDefault="00B21F49"/>
    <w:sectPr w:rsidR="00B21F49">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ita Martins-Silva" w:date="2025-08-11T10:39:00Z" w:initials="RMS">
    <w:p w14:paraId="03605504" w14:textId="77777777" w:rsidR="00B21F49" w:rsidRDefault="00B21F49" w:rsidP="00126274">
      <w:r>
        <w:rPr>
          <w:rStyle w:val="CommentReference"/>
        </w:rPr>
        <w:annotationRef/>
      </w:r>
      <w:r>
        <w:rPr>
          <w:sz w:val="20"/>
          <w:szCs w:val="20"/>
        </w:rPr>
        <w:t>Não tens legenda para o que significam estes dois asteriscos</w:t>
      </w:r>
    </w:p>
  </w:comment>
  <w:comment w:id="1" w:author="Alexandre Miguel Kaizeler Guedes da Silva Afonso" w:date="2025-09-01T12:45:00Z" w:initials="AA">
    <w:p w14:paraId="21AA355A" w14:textId="77777777" w:rsidR="00B21F49" w:rsidRDefault="00B21F49" w:rsidP="00B21F49">
      <w:pPr>
        <w:pStyle w:val="CommentText"/>
        <w:numPr>
          <w:ilvl w:val="0"/>
          <w:numId w:val="1"/>
        </w:numPr>
        <w:ind w:left="360"/>
      </w:pPr>
      <w:r>
        <w:rPr>
          <w:rStyle w:val="CommentReference"/>
        </w:rPr>
        <w:annotationRef/>
      </w:r>
      <w:r>
        <w:t>Na pagina da cell obrigam o ultimo autor a ser correspondente, mas também têm esta observação “</w:t>
      </w:r>
      <w:r>
        <w:rPr>
          <w:color w:val="333F48"/>
          <w:highlight w:val="white"/>
        </w:rPr>
        <w:t>All corresponding authors should be indicated with an asterisk (*) in the author list. Use 2 asterisks (**) for the second-listed corresponding author, 3 (***) for the third-listed, and so on.</w:t>
      </w:r>
    </w:p>
    <w:p w14:paraId="19CD73D4" w14:textId="77777777" w:rsidR="00B21F49" w:rsidRDefault="00B21F49" w:rsidP="00B21F49">
      <w:pPr>
        <w:pStyle w:val="CommentText"/>
      </w:pPr>
      <w:r>
        <w:t>“</w:t>
      </w:r>
    </w:p>
  </w:comment>
  <w:comment w:id="2" w:author="Alexandre Miguel Kaizeler Guedes da Silva Afonso" w:date="2025-09-02T11:35:00Z" w:initials="AA">
    <w:p w14:paraId="41510625" w14:textId="77777777" w:rsidR="00B00EB2" w:rsidRDefault="00B00EB2" w:rsidP="004E41DA">
      <w:pPr>
        <w:pStyle w:val="CommentText"/>
      </w:pPr>
      <w:r>
        <w:rPr>
          <w:rStyle w:val="CommentReference"/>
        </w:rPr>
        <w:annotationRef/>
      </w:r>
      <w:r>
        <w:t>Continuo unsure da importãncia desta secção. Acho que podiamos colocar como supplementary data e deixar apenas uma frase do tipo “</w:t>
      </w:r>
      <w:r>
        <w:rPr>
          <w:color w:val="D1D2D3"/>
        </w:rPr>
        <w:t>Colocámos a hipótese de o enriquecimento em longer RNAs ser puramente técnico pelo próprio processo de RNA-seq, mas mesmo assim fazendo uma simulação simples que maximizaria esse resultado temos resultados que sugerem que não é o caso, pelo que o enriquecimento em longer RNAs vem mesmo das samples isoladas de SG e não do processo de RNA-seq</w:t>
      </w:r>
      <w:r>
        <w:t xml:space="preserve"> “</w:t>
      </w:r>
    </w:p>
  </w:comment>
  <w:comment w:id="3" w:author="Nuno Morais" w:date="2025-11-26T15:49:00Z" w:initials="NM">
    <w:p w14:paraId="5C65A27D" w14:textId="77777777" w:rsidR="00B00EB2" w:rsidRDefault="00B00EB2" w:rsidP="00B00EB2">
      <w:r>
        <w:rPr>
          <w:rStyle w:val="CommentReference"/>
        </w:rPr>
        <w:annotationRef/>
      </w:r>
      <w:r>
        <w:rPr>
          <w:sz w:val="20"/>
          <w:szCs w:val="20"/>
        </w:rPr>
        <w:t>I agree. You can have such a sentence at the beginning of the next sentence and, in my opinion, refer to one of two options (or some compromise between the two):</w:t>
      </w:r>
    </w:p>
    <w:p w14:paraId="42178893" w14:textId="77777777" w:rsidR="00B00EB2" w:rsidRDefault="00B00EB2" w:rsidP="00B00EB2">
      <w:r>
        <w:rPr>
          <w:sz w:val="20"/>
          <w:szCs w:val="20"/>
        </w:rPr>
        <w:t>1. Merge current Figures 2 and S2 in a new S2. Expand its caption with the text you have here.</w:t>
      </w:r>
    </w:p>
    <w:p w14:paraId="1BDF5036" w14:textId="77777777" w:rsidR="00B00EB2" w:rsidRDefault="00B00EB2" w:rsidP="00B00EB2">
      <w:r>
        <w:rPr>
          <w:sz w:val="20"/>
          <w:szCs w:val="20"/>
        </w:rPr>
        <w:t>2. If you have more instances like this, i.e., several paragraphs of results that could be in a suplementary document, just create a structured Supplementary Materials file to which you can transfer this extra sections. In this case, you can even have the panels from Figs. 2 and S2 next to the text.</w:t>
      </w:r>
    </w:p>
  </w:comment>
  <w:comment w:id="4" w:author="Nuno Morais" w:date="2025-11-27T11:08:00Z" w:initials="NM">
    <w:p w14:paraId="3ECAF6C1" w14:textId="77777777" w:rsidR="00B21F49" w:rsidRDefault="00B21F49" w:rsidP="00D93BFE">
      <w:r>
        <w:rPr>
          <w:rStyle w:val="CommentReference"/>
        </w:rPr>
        <w:annotationRef/>
      </w:r>
      <w:r>
        <w:rPr>
          <w:sz w:val="20"/>
          <w:szCs w:val="20"/>
        </w:rPr>
        <w:t>The deleted sentence was redundant with the first.</w:t>
      </w:r>
    </w:p>
  </w:comment>
  <w:comment w:id="5" w:author="Nuno Morais" w:date="2025-11-28T16:51:00Z" w:initials="NM">
    <w:p w14:paraId="0B69259B" w14:textId="77777777" w:rsidR="00B21F49" w:rsidRDefault="00B21F49" w:rsidP="00A97F02">
      <w:r>
        <w:rPr>
          <w:rStyle w:val="CommentReference"/>
        </w:rPr>
        <w:annotationRef/>
      </w:r>
      <w:r>
        <w:rPr>
          <w:sz w:val="20"/>
          <w:szCs w:val="20"/>
        </w:rPr>
        <w:t>I also removed the first source of bias because it wasn't specific. I did not understand what you meant.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605504" w15:done="1"/>
  <w15:commentEx w15:paraId="19CD73D4" w15:paraIdParent="03605504" w15:done="1"/>
  <w15:commentEx w15:paraId="41510625" w15:done="0"/>
  <w15:commentEx w15:paraId="1BDF5036" w15:paraIdParent="41510625" w15:done="0"/>
  <w15:commentEx w15:paraId="3ECAF6C1" w15:done="1"/>
  <w15:commentEx w15:paraId="0B69259B" w15:paraIdParent="3ECAF6C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88B658" w16cex:dateUtc="2025-08-11T09:39:00Z"/>
  <w16cex:commentExtensible w16cex:durableId="2BFFA2BE" w16cex:dateUtc="2025-09-01T11:45:00Z"/>
  <w16cex:commentExtensible w16cex:durableId="52002332" w16cex:dateUtc="2025-09-02T10:35:00Z"/>
  <w16cex:commentExtensible w16cex:durableId="1A7EBD6E" w16cex:dateUtc="2025-11-26T15:49:00Z"/>
  <w16cex:commentExtensible w16cex:durableId="45E1B0E4" w16cex:dateUtc="2025-11-27T11:08:00Z"/>
  <w16cex:commentExtensible w16cex:durableId="5355177D" w16cex:dateUtc="2025-11-28T16: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605504" w16cid:durableId="3D88B658"/>
  <w16cid:commentId w16cid:paraId="19CD73D4" w16cid:durableId="2BFFA2BE"/>
  <w16cid:commentId w16cid:paraId="41510625" w16cid:durableId="52002332"/>
  <w16cid:commentId w16cid:paraId="1BDF5036" w16cid:durableId="1A7EBD6E"/>
  <w16cid:commentId w16cid:paraId="3ECAF6C1" w16cid:durableId="45E1B0E4"/>
  <w16cid:commentId w16cid:paraId="0B69259B" w16cid:durableId="5355177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FA417A"/>
    <w:multiLevelType w:val="hybridMultilevel"/>
    <w:tmpl w:val="643829EA"/>
    <w:lvl w:ilvl="0" w:tplc="7332D098">
      <w:start w:val="1"/>
      <w:numFmt w:val="bullet"/>
      <w:lvlText w:val=""/>
      <w:lvlJc w:val="left"/>
      <w:pPr>
        <w:ind w:left="1080" w:hanging="360"/>
      </w:pPr>
      <w:rPr>
        <w:rFonts w:ascii="Symbol" w:hAnsi="Symbol"/>
      </w:rPr>
    </w:lvl>
    <w:lvl w:ilvl="1" w:tplc="F5CC1B0C">
      <w:start w:val="1"/>
      <w:numFmt w:val="bullet"/>
      <w:lvlText w:val=""/>
      <w:lvlJc w:val="left"/>
      <w:pPr>
        <w:ind w:left="1080" w:hanging="360"/>
      </w:pPr>
      <w:rPr>
        <w:rFonts w:ascii="Symbol" w:hAnsi="Symbol"/>
      </w:rPr>
    </w:lvl>
    <w:lvl w:ilvl="2" w:tplc="E7704546">
      <w:start w:val="1"/>
      <w:numFmt w:val="bullet"/>
      <w:lvlText w:val=""/>
      <w:lvlJc w:val="left"/>
      <w:pPr>
        <w:ind w:left="1080" w:hanging="360"/>
      </w:pPr>
      <w:rPr>
        <w:rFonts w:ascii="Symbol" w:hAnsi="Symbol"/>
      </w:rPr>
    </w:lvl>
    <w:lvl w:ilvl="3" w:tplc="DDD83E86">
      <w:start w:val="1"/>
      <w:numFmt w:val="bullet"/>
      <w:lvlText w:val=""/>
      <w:lvlJc w:val="left"/>
      <w:pPr>
        <w:ind w:left="1080" w:hanging="360"/>
      </w:pPr>
      <w:rPr>
        <w:rFonts w:ascii="Symbol" w:hAnsi="Symbol"/>
      </w:rPr>
    </w:lvl>
    <w:lvl w:ilvl="4" w:tplc="0704A0DC">
      <w:start w:val="1"/>
      <w:numFmt w:val="bullet"/>
      <w:lvlText w:val=""/>
      <w:lvlJc w:val="left"/>
      <w:pPr>
        <w:ind w:left="1080" w:hanging="360"/>
      </w:pPr>
      <w:rPr>
        <w:rFonts w:ascii="Symbol" w:hAnsi="Symbol"/>
      </w:rPr>
    </w:lvl>
    <w:lvl w:ilvl="5" w:tplc="A7EA3D96">
      <w:start w:val="1"/>
      <w:numFmt w:val="bullet"/>
      <w:lvlText w:val=""/>
      <w:lvlJc w:val="left"/>
      <w:pPr>
        <w:ind w:left="1080" w:hanging="360"/>
      </w:pPr>
      <w:rPr>
        <w:rFonts w:ascii="Symbol" w:hAnsi="Symbol"/>
      </w:rPr>
    </w:lvl>
    <w:lvl w:ilvl="6" w:tplc="F56CDB04">
      <w:start w:val="1"/>
      <w:numFmt w:val="bullet"/>
      <w:lvlText w:val=""/>
      <w:lvlJc w:val="left"/>
      <w:pPr>
        <w:ind w:left="1080" w:hanging="360"/>
      </w:pPr>
      <w:rPr>
        <w:rFonts w:ascii="Symbol" w:hAnsi="Symbol"/>
      </w:rPr>
    </w:lvl>
    <w:lvl w:ilvl="7" w:tplc="D110F608">
      <w:start w:val="1"/>
      <w:numFmt w:val="bullet"/>
      <w:lvlText w:val=""/>
      <w:lvlJc w:val="left"/>
      <w:pPr>
        <w:ind w:left="1080" w:hanging="360"/>
      </w:pPr>
      <w:rPr>
        <w:rFonts w:ascii="Symbol" w:hAnsi="Symbol"/>
      </w:rPr>
    </w:lvl>
    <w:lvl w:ilvl="8" w:tplc="2686648A">
      <w:start w:val="1"/>
      <w:numFmt w:val="bullet"/>
      <w:lvlText w:val=""/>
      <w:lvlJc w:val="left"/>
      <w:pPr>
        <w:ind w:left="1080" w:hanging="360"/>
      </w:pPr>
      <w:rPr>
        <w:rFonts w:ascii="Symbol" w:hAnsi="Symbol"/>
      </w:rPr>
    </w:lvl>
  </w:abstractNum>
  <w:num w:numId="1" w16cid:durableId="112519580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ita Martins-Silva">
    <w15:presenceInfo w15:providerId="None" w15:userId="Rita Martins-Silva"/>
  </w15:person>
  <w15:person w15:author="Alexandre Miguel Kaizeler Guedes da Silva Afonso">
    <w15:presenceInfo w15:providerId="AD" w15:userId="S::alexandre.afonso@gimm.pt::11b227d9-189b-47ee-a0d5-49389f09c2f2"/>
  </w15:person>
  <w15:person w15:author="Nuno Morais">
    <w15:presenceInfo w15:providerId="Windows Live" w15:userId="7de284d5646a18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F49"/>
    <w:rsid w:val="004D0E81"/>
    <w:rsid w:val="0085348E"/>
    <w:rsid w:val="00B00EB2"/>
    <w:rsid w:val="00B21F49"/>
  </w:rsids>
  <m:mathPr>
    <m:mathFont m:val="Cambria Math"/>
    <m:brkBin m:val="before"/>
    <m:brkBinSub m:val="--"/>
    <m:smallFrac m:val="0"/>
    <m:dispDef/>
    <m:lMargin m:val="0"/>
    <m:rMargin m:val="0"/>
    <m:defJc m:val="centerGroup"/>
    <m:wrapIndent m:val="1440"/>
    <m:intLim m:val="subSup"/>
    <m:naryLim m:val="undOvr"/>
  </m:mathPr>
  <w:themeFontLang w:val="en-PT"/>
  <w:clrSchemeMapping w:bg1="light1" w:t1="dark1" w:bg2="light2" w:t2="dark2" w:accent1="accent1" w:accent2="accent2" w:accent3="accent3" w:accent4="accent4" w:accent5="accent5" w:accent6="accent6" w:hyperlink="hyperlink" w:followedHyperlink="followedHyperlink"/>
  <w:decimalSymbol w:val=","/>
  <w:listSeparator w:val=","/>
  <w14:docId w14:val="17537ECF"/>
  <w15:chartTrackingRefBased/>
  <w15:docId w15:val="{954B9381-2DB1-1B49-A9F7-6A2355661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F49"/>
    <w:pPr>
      <w:spacing w:line="259" w:lineRule="auto"/>
    </w:pPr>
    <w:rPr>
      <w:rFonts w:eastAsiaTheme="minorEastAsia"/>
      <w:sz w:val="22"/>
      <w:szCs w:val="22"/>
      <w:lang w:val="en-US"/>
    </w:rPr>
  </w:style>
  <w:style w:type="paragraph" w:styleId="Heading1">
    <w:name w:val="heading 1"/>
    <w:basedOn w:val="Normal"/>
    <w:next w:val="Normal"/>
    <w:link w:val="Heading1Char"/>
    <w:uiPriority w:val="9"/>
    <w:qFormat/>
    <w:rsid w:val="00B21F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1F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1F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1F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1F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1F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1F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1F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1F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F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1F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1F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1F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1F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1F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F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F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F49"/>
    <w:rPr>
      <w:rFonts w:eastAsiaTheme="majorEastAsia" w:cstheme="majorBidi"/>
      <w:color w:val="272727" w:themeColor="text1" w:themeTint="D8"/>
    </w:rPr>
  </w:style>
  <w:style w:type="paragraph" w:styleId="Title">
    <w:name w:val="Title"/>
    <w:basedOn w:val="Normal"/>
    <w:next w:val="Normal"/>
    <w:link w:val="TitleChar"/>
    <w:uiPriority w:val="10"/>
    <w:qFormat/>
    <w:rsid w:val="00B21F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F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F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F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F49"/>
    <w:pPr>
      <w:spacing w:before="160"/>
      <w:jc w:val="center"/>
    </w:pPr>
    <w:rPr>
      <w:i/>
      <w:iCs/>
      <w:color w:val="404040" w:themeColor="text1" w:themeTint="BF"/>
    </w:rPr>
  </w:style>
  <w:style w:type="character" w:customStyle="1" w:styleId="QuoteChar">
    <w:name w:val="Quote Char"/>
    <w:basedOn w:val="DefaultParagraphFont"/>
    <w:link w:val="Quote"/>
    <w:uiPriority w:val="29"/>
    <w:rsid w:val="00B21F49"/>
    <w:rPr>
      <w:i/>
      <w:iCs/>
      <w:color w:val="404040" w:themeColor="text1" w:themeTint="BF"/>
    </w:rPr>
  </w:style>
  <w:style w:type="paragraph" w:styleId="ListParagraph">
    <w:name w:val="List Paragraph"/>
    <w:basedOn w:val="Normal"/>
    <w:uiPriority w:val="34"/>
    <w:qFormat/>
    <w:rsid w:val="00B21F49"/>
    <w:pPr>
      <w:ind w:left="720"/>
      <w:contextualSpacing/>
    </w:pPr>
  </w:style>
  <w:style w:type="character" w:styleId="IntenseEmphasis">
    <w:name w:val="Intense Emphasis"/>
    <w:basedOn w:val="DefaultParagraphFont"/>
    <w:uiPriority w:val="21"/>
    <w:qFormat/>
    <w:rsid w:val="00B21F49"/>
    <w:rPr>
      <w:i/>
      <w:iCs/>
      <w:color w:val="0F4761" w:themeColor="accent1" w:themeShade="BF"/>
    </w:rPr>
  </w:style>
  <w:style w:type="paragraph" w:styleId="IntenseQuote">
    <w:name w:val="Intense Quote"/>
    <w:basedOn w:val="Normal"/>
    <w:next w:val="Normal"/>
    <w:link w:val="IntenseQuoteChar"/>
    <w:uiPriority w:val="30"/>
    <w:qFormat/>
    <w:rsid w:val="00B21F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1F49"/>
    <w:rPr>
      <w:i/>
      <w:iCs/>
      <w:color w:val="0F4761" w:themeColor="accent1" w:themeShade="BF"/>
    </w:rPr>
  </w:style>
  <w:style w:type="character" w:styleId="IntenseReference">
    <w:name w:val="Intense Reference"/>
    <w:basedOn w:val="DefaultParagraphFont"/>
    <w:uiPriority w:val="32"/>
    <w:qFormat/>
    <w:rsid w:val="00B21F49"/>
    <w:rPr>
      <w:b/>
      <w:bCs/>
      <w:smallCaps/>
      <w:color w:val="0F4761" w:themeColor="accent1" w:themeShade="BF"/>
      <w:spacing w:val="5"/>
    </w:rPr>
  </w:style>
  <w:style w:type="character" w:styleId="CommentReference">
    <w:name w:val="annotation reference"/>
    <w:basedOn w:val="DefaultParagraphFont"/>
    <w:uiPriority w:val="99"/>
    <w:semiHidden/>
    <w:unhideWhenUsed/>
    <w:rsid w:val="00B21F49"/>
    <w:rPr>
      <w:sz w:val="16"/>
      <w:szCs w:val="16"/>
    </w:rPr>
  </w:style>
  <w:style w:type="paragraph" w:styleId="CommentText">
    <w:name w:val="annotation text"/>
    <w:basedOn w:val="Normal"/>
    <w:link w:val="CommentTextChar"/>
    <w:uiPriority w:val="99"/>
    <w:unhideWhenUsed/>
    <w:rsid w:val="00B21F49"/>
    <w:pPr>
      <w:spacing w:line="240" w:lineRule="auto"/>
    </w:pPr>
    <w:rPr>
      <w:sz w:val="20"/>
      <w:szCs w:val="20"/>
    </w:rPr>
  </w:style>
  <w:style w:type="character" w:customStyle="1" w:styleId="CommentTextChar">
    <w:name w:val="Comment Text Char"/>
    <w:basedOn w:val="DefaultParagraphFont"/>
    <w:link w:val="CommentText"/>
    <w:uiPriority w:val="99"/>
    <w:rsid w:val="00B21F49"/>
    <w:rPr>
      <w:rFonts w:eastAsiaTheme="minorEastAsia"/>
      <w:sz w:val="20"/>
      <w:szCs w:val="20"/>
      <w:lang w:val="en-US"/>
    </w:rPr>
  </w:style>
  <w:style w:type="character" w:styleId="Hyperlink">
    <w:name w:val="Hyperlink"/>
    <w:basedOn w:val="DefaultParagraphFont"/>
    <w:uiPriority w:val="99"/>
    <w:unhideWhenUsed/>
    <w:rsid w:val="00B21F49"/>
    <w:rPr>
      <w:color w:val="0000FF"/>
      <w:u w:val="single"/>
    </w:rPr>
  </w:style>
  <w:style w:type="paragraph" w:styleId="NoSpacing">
    <w:name w:val="No Spacing"/>
    <w:uiPriority w:val="1"/>
    <w:qFormat/>
    <w:rsid w:val="00B21F49"/>
    <w:pPr>
      <w:spacing w:after="0" w:line="240" w:lineRule="auto"/>
    </w:pPr>
    <w:rPr>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alexandre.afonso@gimm.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1709</Words>
  <Characters>9743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Miguel Kaizeler Guedes Da Silva Afonso</dc:creator>
  <cp:keywords/>
  <dc:description/>
  <cp:lastModifiedBy>Alexandre Miguel Kaizeler Guedes Da Silva Afonso</cp:lastModifiedBy>
  <cp:revision>1</cp:revision>
  <dcterms:created xsi:type="dcterms:W3CDTF">2026-06-01T11:03:00Z</dcterms:created>
  <dcterms:modified xsi:type="dcterms:W3CDTF">2026-06-01T12:16:00Z</dcterms:modified>
</cp:coreProperties>
</file>