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6239" w14:textId="77777777" w:rsidR="007B636F" w:rsidRDefault="007B636F">
      <w:pPr>
        <w:spacing w:after="480"/>
      </w:pPr>
    </w:p>
    <w:p w14:paraId="496116C9" w14:textId="77777777" w:rsidR="007B636F" w:rsidRDefault="00000000">
      <w:pPr>
        <w:spacing w:after="120"/>
        <w:jc w:val="center"/>
      </w:pPr>
      <w:r>
        <w:rPr>
          <w:b/>
          <w:bCs/>
          <w:sz w:val="32"/>
          <w:szCs w:val="32"/>
        </w:rPr>
        <w:t>AQUADET: AN EDGE AI SYSTEM FOR UNDERWATER WASTE DETECTION,</w:t>
      </w:r>
    </w:p>
    <w:p w14:paraId="2CB3F8A9" w14:textId="77777777" w:rsidR="007B636F" w:rsidRDefault="00000000">
      <w:pPr>
        <w:spacing w:after="480"/>
        <w:jc w:val="center"/>
      </w:pPr>
      <w:r>
        <w:rPr>
          <w:b/>
          <w:bCs/>
          <w:sz w:val="32"/>
          <w:szCs w:val="32"/>
        </w:rPr>
        <w:t>SIZE ESTIMATION, AND PHYSICAL IMAGE GEOMETRY ENHANCEMENT</w:t>
      </w:r>
    </w:p>
    <w:p w14:paraId="0F57247E" w14:textId="77777777" w:rsidR="007B636F" w:rsidRDefault="007B636F">
      <w:pPr>
        <w:pBdr>
          <w:bottom w:val="single" w:sz="6" w:space="0" w:color="000000"/>
        </w:pBdr>
        <w:spacing w:before="120" w:after="120"/>
      </w:pPr>
    </w:p>
    <w:p w14:paraId="1D1FB8FD" w14:textId="77777777" w:rsidR="007B636F" w:rsidRDefault="007B636F">
      <w:pPr>
        <w:spacing w:before="240" w:after="240"/>
      </w:pPr>
    </w:p>
    <w:p w14:paraId="650872C3" w14:textId="77777777" w:rsidR="007B636F" w:rsidRDefault="00000000">
      <w:pPr>
        <w:spacing w:after="160"/>
        <w:jc w:val="center"/>
      </w:pPr>
      <w:r>
        <w:rPr>
          <w:b/>
          <w:bCs/>
        </w:rPr>
        <w:t>ABSTRACT</w:t>
      </w:r>
    </w:p>
    <w:p w14:paraId="10278D2B" w14:textId="77777777" w:rsidR="007B636F" w:rsidRDefault="00000000">
      <w:pPr>
        <w:spacing w:after="160" w:line="276" w:lineRule="auto"/>
        <w:jc w:val="both"/>
      </w:pPr>
      <w:r>
        <w:t xml:space="preserve">Aquatic macro-plastic and organic waste constitutes one of the most severe and accelerating environmental crises of the current era. The World Economic Forum estimates that </w:t>
      </w:r>
      <w:proofErr w:type="gramStart"/>
      <w:r>
        <w:t>in excess of</w:t>
      </w:r>
      <w:proofErr w:type="gramEnd"/>
      <w:r>
        <w:t xml:space="preserve"> eight million metric tons of plastic enter oceanic and fluvial systems annually, producing cascading and often irreversible harm across marine ecosystems. Addressing this at scale necessitates the deployment of autonomous robotic systems capable of sustained sub-surface operation; yet the perceptual efficacy of Autonomous Underwater Vehicles (AUVs) remains fundamentally constrained by the optical conditions characteristic of underwater environments.</w:t>
      </w:r>
    </w:p>
    <w:p w14:paraId="585F546E" w14:textId="237F987F" w:rsidR="007B636F" w:rsidRDefault="00000000">
      <w:pPr>
        <w:spacing w:after="160" w:line="276" w:lineRule="auto"/>
        <w:jc w:val="both"/>
      </w:pPr>
      <w:r>
        <w:t xml:space="preserve">This paper presents </w:t>
      </w:r>
      <w:proofErr w:type="spellStart"/>
      <w:r>
        <w:t>AquaDet</w:t>
      </w:r>
      <w:proofErr w:type="spellEnd"/>
      <w:r w:rsidR="004A4731">
        <w:t xml:space="preserve"> - </w:t>
      </w:r>
      <w:r>
        <w:t xml:space="preserve">a multidisciplinary Edge AI framework engineered for the autonomous detection, real-time tracking, and calibrated dimensional measurement of underwater debris on resource-constrained embedded hardware. The central contribution of this work is the Physical-Image-Geometry Enhancement (PI-GE) module: a differentiable, physics-grounded pre-processing stage that analytically inverts the standard underwater image formation model to restore optically degraded input frames prior to neural feature extraction. The PI-GE module is coupled with an </w:t>
      </w:r>
      <w:proofErr w:type="spellStart"/>
      <w:r>
        <w:t>Atrous</w:t>
      </w:r>
      <w:proofErr w:type="spellEnd"/>
      <w:r>
        <w:t xml:space="preserve"> Spatial Pyramid Pooling (ASPP) multi-task head that simultaneously predicts bounding boxes, semantic segmentation masks, and monocular depth arrays, from which absolute real-world object dimensions are derived via the pinhole camera formula.</w:t>
      </w:r>
    </w:p>
    <w:p w14:paraId="5C36E76F" w14:textId="26E82049" w:rsidR="007B636F" w:rsidRDefault="00000000">
      <w:pPr>
        <w:spacing w:after="160" w:line="276" w:lineRule="auto"/>
        <w:jc w:val="both"/>
      </w:pPr>
      <w:r>
        <w:t>The system was trained on a consolidated benchmark merging the Trash-ICRA19 and TACO datasets into four macro-classes</w:t>
      </w:r>
      <w:r w:rsidR="004A4731">
        <w:t xml:space="preserve"> - </w:t>
      </w:r>
      <w:r>
        <w:t>plastic, metal, organic, and microplastic</w:t>
      </w:r>
      <w:r w:rsidR="004A4731">
        <w:t xml:space="preserve"> - </w:t>
      </w:r>
      <w:r>
        <w:t xml:space="preserve">using Automatic Mixed Precision on cloud-based NVIDIA GPU infrastructure. Experimental evaluation demonstrates a 35% improvement in Mean Average Precision (mAP@50) under severe turbidity conditions relative to unmodified convolutional baselines, with monocular size estimates accurate to within ±15% of ground truth. These results establish </w:t>
      </w:r>
      <w:proofErr w:type="spellStart"/>
      <w:r>
        <w:t>AquaDet</w:t>
      </w:r>
      <w:proofErr w:type="spellEnd"/>
      <w:r>
        <w:t xml:space="preserve"> as a computationally viable and physically principled perception module for AUV-based robotic waste collection systems.</w:t>
      </w:r>
    </w:p>
    <w:p w14:paraId="4159879C" w14:textId="77777777" w:rsidR="007B636F" w:rsidRDefault="007B636F">
      <w:pPr>
        <w:spacing w:before="80" w:after="80"/>
      </w:pPr>
    </w:p>
    <w:p w14:paraId="22B42FEF" w14:textId="77777777" w:rsidR="007B636F" w:rsidRDefault="00000000">
      <w:r>
        <w:rPr>
          <w:b/>
          <w:bCs/>
          <w:i/>
          <w:iCs/>
        </w:rPr>
        <w:lastRenderedPageBreak/>
        <w:t>Keywords—</w:t>
      </w:r>
      <w:r>
        <w:t>underwater computer vision; Edge AI; object detection; physical image restoration; monocular depth estimation; autonomous underwater vehicles; marine debris remediation.</w:t>
      </w:r>
    </w:p>
    <w:p w14:paraId="759FA981" w14:textId="77777777" w:rsidR="007B636F" w:rsidRDefault="007B636F">
      <w:pPr>
        <w:spacing w:before="60" w:after="60"/>
      </w:pPr>
    </w:p>
    <w:p w14:paraId="0936B739" w14:textId="77777777" w:rsidR="007B636F" w:rsidRDefault="007B636F">
      <w:pPr>
        <w:pBdr>
          <w:bottom w:val="single" w:sz="6" w:space="0" w:color="000000"/>
        </w:pBdr>
        <w:spacing w:before="120" w:after="120"/>
      </w:pPr>
    </w:p>
    <w:p w14:paraId="131FB4D7" w14:textId="77777777" w:rsidR="007B636F" w:rsidRDefault="00000000">
      <w:pPr>
        <w:pStyle w:val="Heading1"/>
      </w:pPr>
      <w:r>
        <w:t>I. Introduction</w:t>
      </w:r>
    </w:p>
    <w:p w14:paraId="4269593F" w14:textId="77777777" w:rsidR="007B636F" w:rsidRDefault="00000000">
      <w:pPr>
        <w:spacing w:after="160" w:line="276" w:lineRule="auto"/>
        <w:ind w:firstLine="720"/>
        <w:jc w:val="both"/>
      </w:pPr>
      <w:r>
        <w:t>The proliferation of plastic and anthropogenic waste in marine environments represents a well-documented and escalating global crisis. Beyond direct ecological consequences for aquatic fauna, the persistence and fragmentation of plastic debris into microparticulate form poses a documented risk to human food chains via bioaccumulation. Autonomous robotic intervention has been widely proposed as the most scalable mechanism for sub-surface debris remediation; however, the operational efficacy of existing AUV platforms is severely limited by the quality of their perceptual subsystems.</w:t>
      </w:r>
    </w:p>
    <w:p w14:paraId="5E91A81E" w14:textId="7813AC1D" w:rsidR="007B636F" w:rsidRDefault="00000000">
      <w:pPr>
        <w:spacing w:after="160" w:line="276" w:lineRule="auto"/>
        <w:ind w:firstLine="720"/>
        <w:jc w:val="both"/>
      </w:pPr>
      <w:r>
        <w:t>Current commercial sub-sea remediation platforms rely predominantly upon acoustic sonar or unmodified terrestrial computer vision architectures. Sonar-based approaches lack the semantic resolution required to distinguish material types</w:t>
      </w:r>
      <w:r w:rsidR="004A4731">
        <w:t xml:space="preserve"> - </w:t>
      </w:r>
      <w:r>
        <w:t>they cannot differentiate plastic debris from organic matter</w:t>
      </w:r>
      <w:r w:rsidR="004A4731">
        <w:t xml:space="preserve"> - </w:t>
      </w:r>
      <w:r>
        <w:t>and thus cannot support automated sorting or classification. Standard terrestrial detection models, such as YOLOv8 or Faster R-CNN, fail systematically when applied to underwater imagery due to two physically well-characterised optical phenomena. The first is wavelength-dependent light attenuation: the rapid absorption of the red and yellow spectral bands with increasing depth produces severe chromatic distortion and contrast loss. The second is backscatter: the diffuse reflection of illumination by suspended biological particulates generates pervasive visual haze that degrades edge definition and obscures object boundaries. Published studies in oceanographic computer vision report detection confidence losses exceeding 45% when unmodified YOLO variants are applied to sub-surface footage with optical visibility below two metres.</w:t>
      </w:r>
    </w:p>
    <w:p w14:paraId="14EB65C3" w14:textId="77777777" w:rsidR="007B636F" w:rsidRDefault="00000000">
      <w:pPr>
        <w:spacing w:after="160" w:line="276" w:lineRule="auto"/>
        <w:ind w:firstLine="720"/>
        <w:jc w:val="both"/>
      </w:pPr>
      <w:r>
        <w:t>Existing systems that address object dimensioning in underwater environments predominantly rely upon dual-stereo camera configurations. Such hardware-centric approaches introduce prohibitive cost, mechanical fragility under sustained hydrostatic pressure, and computational overhead incompatible with the size and power envelope of lightweight AUV platforms. The present work addresses this compound gap: the absence of an integrated, single-camera software framework capable of simultaneously performing physics-grounded optical restoration, temporal object tracking, and full spatial analysis encompassing two-dimensional localisation, semantic segmentation, and monocular depth estimation.</w:t>
      </w:r>
    </w:p>
    <w:p w14:paraId="25AB9BAB" w14:textId="77777777" w:rsidR="007B636F" w:rsidRDefault="00000000">
      <w:pPr>
        <w:pStyle w:val="Heading2"/>
      </w:pPr>
      <w:r>
        <w:t>A. Research Objectives</w:t>
      </w:r>
    </w:p>
    <w:p w14:paraId="437FC0F1" w14:textId="77777777" w:rsidR="007B636F" w:rsidRDefault="00000000">
      <w:pPr>
        <w:spacing w:after="160" w:line="276" w:lineRule="auto"/>
        <w:jc w:val="both"/>
      </w:pPr>
      <w:r>
        <w:t>This research pursues four principal technical objectives:</w:t>
      </w:r>
    </w:p>
    <w:p w14:paraId="1719C4E1" w14:textId="77777777" w:rsidR="007B636F" w:rsidRDefault="00000000">
      <w:pPr>
        <w:pStyle w:val="ListParagraph"/>
        <w:numPr>
          <w:ilvl w:val="0"/>
          <w:numId w:val="2"/>
        </w:numPr>
        <w:spacing w:before="60" w:after="60" w:line="276" w:lineRule="auto"/>
        <w:jc w:val="both"/>
      </w:pPr>
      <w:r>
        <w:rPr>
          <w:b/>
          <w:bCs/>
        </w:rPr>
        <w:lastRenderedPageBreak/>
        <w:t xml:space="preserve">Physical Restoration: </w:t>
      </w:r>
      <w:r>
        <w:t>To develop the PI-GE module, capable of dynamically compensating for underwater colour attenuation and turbidity by analytically inverting the physical image formation model within the neural network forward pass.</w:t>
      </w:r>
    </w:p>
    <w:p w14:paraId="52A2B1B8" w14:textId="77777777" w:rsidR="007B636F" w:rsidRDefault="00000000">
      <w:pPr>
        <w:pStyle w:val="ListParagraph"/>
        <w:numPr>
          <w:ilvl w:val="0"/>
          <w:numId w:val="2"/>
        </w:numPr>
        <w:spacing w:before="60" w:after="60" w:line="276" w:lineRule="auto"/>
        <w:jc w:val="both"/>
      </w:pPr>
      <w:r>
        <w:rPr>
          <w:b/>
          <w:bCs/>
        </w:rPr>
        <w:t xml:space="preserve">Multi-Class Detection: </w:t>
      </w:r>
      <w:r>
        <w:t>To accurately detect, track, and semantically segment objects across four consolidated waste categories: organic waste, plastic debris, metal objects, and microplastic aggregations.</w:t>
      </w:r>
    </w:p>
    <w:p w14:paraId="4688D2B5" w14:textId="77777777" w:rsidR="007B636F" w:rsidRDefault="00000000">
      <w:pPr>
        <w:pStyle w:val="ListParagraph"/>
        <w:numPr>
          <w:ilvl w:val="0"/>
          <w:numId w:val="2"/>
        </w:numPr>
        <w:spacing w:before="60" w:after="60" w:line="276" w:lineRule="auto"/>
        <w:jc w:val="both"/>
      </w:pPr>
      <w:r>
        <w:rPr>
          <w:b/>
          <w:bCs/>
        </w:rPr>
        <w:t xml:space="preserve">Monocular Depth-Based Sizing: </w:t>
      </w:r>
      <w:r>
        <w:t>To estimate absolute real-world object dimensions via monocular depth inference using an ASPP architecture, eliminating the requirement for stereo camera or LiDAR hardware.</w:t>
      </w:r>
    </w:p>
    <w:p w14:paraId="0A08550E" w14:textId="77777777" w:rsidR="007B636F" w:rsidRDefault="00000000">
      <w:pPr>
        <w:pStyle w:val="ListParagraph"/>
        <w:numPr>
          <w:ilvl w:val="0"/>
          <w:numId w:val="2"/>
        </w:numPr>
        <w:spacing w:before="60" w:after="60" w:line="276" w:lineRule="auto"/>
        <w:jc w:val="both"/>
      </w:pPr>
      <w:r>
        <w:rPr>
          <w:b/>
          <w:bCs/>
        </w:rPr>
        <w:t xml:space="preserve">Edge Deployment: </w:t>
      </w:r>
      <w:r>
        <w:t xml:space="preserve">To guarantee sustained real-time inference throughput on embedded hardware through ONNX dynamic-axis export and </w:t>
      </w:r>
      <w:proofErr w:type="spellStart"/>
      <w:r>
        <w:t>TensorRT</w:t>
      </w:r>
      <w:proofErr w:type="spellEnd"/>
      <w:r>
        <w:t xml:space="preserve"> compilation targeting the NVIDIA Jetson Orin platform.</w:t>
      </w:r>
    </w:p>
    <w:p w14:paraId="7CB3B1C1" w14:textId="77777777" w:rsidR="007B636F" w:rsidRDefault="007B636F">
      <w:pPr>
        <w:spacing w:before="80" w:after="40"/>
      </w:pPr>
    </w:p>
    <w:p w14:paraId="14B737BF" w14:textId="77777777" w:rsidR="007B636F" w:rsidRDefault="00000000">
      <w:pPr>
        <w:pStyle w:val="Heading1"/>
      </w:pPr>
      <w:r>
        <w:t>II. Related Work</w:t>
      </w:r>
    </w:p>
    <w:p w14:paraId="53E24CD0" w14:textId="22AF8288" w:rsidR="007B636F" w:rsidRDefault="00000000">
      <w:pPr>
        <w:spacing w:after="160" w:line="276" w:lineRule="auto"/>
        <w:ind w:firstLine="720"/>
        <w:jc w:val="both"/>
      </w:pPr>
      <w:r>
        <w:t xml:space="preserve">Traditional underwater image enhancement methods are grounded in handcrafted mathematical priors derived from physical models of light propagation. The Dark Channel Prior (DCP) proposed by </w:t>
      </w:r>
      <w:proofErr w:type="gramStart"/>
      <w:r>
        <w:t>He</w:t>
      </w:r>
      <w:proofErr w:type="gramEnd"/>
      <w:r>
        <w:t xml:space="preserve">, Sun, and Tang [1] and </w:t>
      </w:r>
      <w:proofErr w:type="spellStart"/>
      <w:r>
        <w:t>Retinex</w:t>
      </w:r>
      <w:proofErr w:type="spellEnd"/>
      <w:r>
        <w:t>-based colour correction models assume a spatially uniform distribution of ambient illumination</w:t>
      </w:r>
      <w:r w:rsidR="004A4731">
        <w:t xml:space="preserve"> - </w:t>
      </w:r>
      <w:r>
        <w:t>an assumption that fails under dynamic lighting conditions, optical caustics, and the depth-dependent pressure gradients encountered in active underwater recording environments.</w:t>
      </w:r>
    </w:p>
    <w:p w14:paraId="2BA9AAC5" w14:textId="77777777" w:rsidR="007B636F" w:rsidRDefault="00000000">
      <w:pPr>
        <w:spacing w:after="160" w:line="276" w:lineRule="auto"/>
        <w:ind w:firstLine="720"/>
        <w:jc w:val="both"/>
      </w:pPr>
      <w:r>
        <w:t>On the deep learning front, single-stage YOLO-class architectures offer state-of-the-art inference throughput for terrestrial detection tasks [2]. These architectures, however, possess no internal mechanism for modelling structured underwater optical degradation; they treat backscatter and chromatic shift as arbitrary pixel noise rather than as physically interpretable signal corruption, which produces systematic and severe performance degradation in sub-surface deployment conditions.</w:t>
      </w:r>
    </w:p>
    <w:p w14:paraId="27090DED" w14:textId="77777777" w:rsidR="007B636F" w:rsidRDefault="00000000">
      <w:pPr>
        <w:spacing w:after="160" w:line="276" w:lineRule="auto"/>
        <w:ind w:firstLine="720"/>
        <w:jc w:val="both"/>
      </w:pPr>
      <w:r>
        <w:t>Existing approaches to underwater object dimensioning predominantly employ multi-camera stereo rig configurations [3]. Such hardware-centric designs introduce significant acquisition cost, mechanical fragility, and computational overhead that are fundamentally incompatible with the physical constraints of lightweight autonomous underwater platforms. The present work addresses the consequent absence from the literature of an integrated, single-camera software pipeline capable of performing physics-grounded optical restoration, temporal tracking, and full spatial analysis within a unified architecture.</w:t>
      </w:r>
    </w:p>
    <w:p w14:paraId="21680614" w14:textId="77777777" w:rsidR="007B636F" w:rsidRDefault="00000000">
      <w:pPr>
        <w:pStyle w:val="Heading1"/>
      </w:pPr>
      <w:r>
        <w:t>III. Methodology</w:t>
      </w:r>
    </w:p>
    <w:p w14:paraId="2EBE03F6" w14:textId="77777777" w:rsidR="007B636F" w:rsidRDefault="00000000">
      <w:pPr>
        <w:pStyle w:val="Heading2"/>
      </w:pPr>
      <w:r>
        <w:t>A. Dataset Aggregation and Preparation</w:t>
      </w:r>
    </w:p>
    <w:p w14:paraId="4AAAADE9" w14:textId="77777777" w:rsidR="007B636F" w:rsidRDefault="00000000">
      <w:pPr>
        <w:spacing w:after="160" w:line="276" w:lineRule="auto"/>
        <w:ind w:firstLine="720"/>
        <w:jc w:val="both"/>
      </w:pPr>
      <w:r>
        <w:lastRenderedPageBreak/>
        <w:t>A significant and well-recognised practical barrier to the application of machine learning in underwater environments is the absence of a large-scale, standardised marine debris benchmark dataset. To address this limitation, a custom dataset aggregation pipeline was developed to programmatically consolidate two established external corpora into a single unified training set.</w:t>
      </w:r>
    </w:p>
    <w:p w14:paraId="10DEB0AB" w14:textId="77777777" w:rsidR="007B636F" w:rsidRDefault="00000000">
      <w:pPr>
        <w:spacing w:after="160" w:line="276" w:lineRule="auto"/>
        <w:ind w:firstLine="720"/>
        <w:jc w:val="both"/>
      </w:pPr>
      <w:r>
        <w:t>The Trash-ICRA19 dataset provides bounding box annotations for submerged plastics, rubbers, and metals recorded across a range of realistic visibility depths [4]. Coastal and shallow-water image subsets from the TACO dataset were selectively incorporated to improve the model's capacity to discriminate synthetic waste objects from natural organic structures such as coral formations and aquatic vegetation [5]. To counteract class imbalance and to simulate the high-turbidity variability absent from the source datasets, the training corpus was augmented with synthetically generated samples incorporating Gaussian blur, stochastic RGB channel dropout, and simulated optical caustic effects. All source annotations were remapped to four universal macro-classes: plastic, metal, organic, and microplastic.</w:t>
      </w:r>
    </w:p>
    <w:p w14:paraId="4A2C4E9C" w14:textId="77777777" w:rsidR="007B636F" w:rsidRDefault="00000000">
      <w:pPr>
        <w:spacing w:after="160" w:line="276" w:lineRule="auto"/>
        <w:ind w:firstLine="720"/>
        <w:jc w:val="both"/>
      </w:pPr>
      <w:r>
        <w:t xml:space="preserve">The consolidated benchmark comprises </w:t>
      </w:r>
      <w:proofErr w:type="gramStart"/>
      <w:r>
        <w:t>in excess of</w:t>
      </w:r>
      <w:proofErr w:type="gramEnd"/>
      <w:r>
        <w:t xml:space="preserve"> three thousand image tensors, normalised to 640×640 pixels and partitioned into training (80%), validation (10%), and test (10%) subsets.</w:t>
      </w:r>
    </w:p>
    <w:p w14:paraId="20D0A33F" w14:textId="77777777" w:rsidR="007B636F" w:rsidRDefault="00000000">
      <w:pPr>
        <w:pStyle w:val="Heading2"/>
      </w:pPr>
      <w:r>
        <w:t>B. Network Architecture</w:t>
      </w:r>
    </w:p>
    <w:p w14:paraId="7F1362ED" w14:textId="77777777" w:rsidR="007B636F" w:rsidRDefault="00000000">
      <w:pPr>
        <w:spacing w:after="160" w:line="276" w:lineRule="auto"/>
        <w:ind w:firstLine="720"/>
        <w:jc w:val="both"/>
      </w:pPr>
      <w:proofErr w:type="spellStart"/>
      <w:r>
        <w:t>AquaDet</w:t>
      </w:r>
      <w:proofErr w:type="spellEnd"/>
      <w:r>
        <w:t xml:space="preserve"> is implemented as a unified multi-task neural network in </w:t>
      </w:r>
      <w:proofErr w:type="spellStart"/>
      <w:r>
        <w:t>PyTorch</w:t>
      </w:r>
      <w:proofErr w:type="spellEnd"/>
      <w:r>
        <w:t>, with two principal architectural contributions: the PI-GE physics-based pre-processing module and the ASPP monocular depth estimation head.</w:t>
      </w:r>
    </w:p>
    <w:p w14:paraId="25C72366" w14:textId="77777777" w:rsidR="007B636F" w:rsidRDefault="00000000">
      <w:pPr>
        <w:spacing w:before="160" w:after="80"/>
      </w:pPr>
      <w:r>
        <w:rPr>
          <w:b/>
          <w:bCs/>
        </w:rPr>
        <w:t>1) Physical-Image-Geometry Enhancement (PI-GE)</w:t>
      </w:r>
    </w:p>
    <w:p w14:paraId="63A5B8EC" w14:textId="77777777" w:rsidR="007B636F" w:rsidRDefault="00000000">
      <w:pPr>
        <w:spacing w:after="160" w:line="276" w:lineRule="auto"/>
        <w:ind w:firstLine="720"/>
        <w:jc w:val="both"/>
      </w:pPr>
      <w:r>
        <w:t>The PI-GE module is derived from the standard underwater optical image formation model, which characterises image degradation as a linear combination of attenuated scene radiance and ambient backscatter luminance:</w:t>
      </w:r>
    </w:p>
    <w:p w14:paraId="67B430C4" w14:textId="77777777" w:rsidR="007B636F" w:rsidRDefault="00000000">
      <w:pPr>
        <w:spacing w:before="160" w:after="160"/>
        <w:jc w:val="center"/>
      </w:pPr>
      <w:r>
        <w:rPr>
          <w:rFonts w:ascii="Courier New" w:eastAsia="Courier New" w:hAnsi="Courier New" w:cs="Courier New"/>
        </w:rPr>
        <w:t>I(x) = J(x) · t(x) + A · (1 – t(x))</w:t>
      </w:r>
    </w:p>
    <w:p w14:paraId="06BFB2C9" w14:textId="77777777" w:rsidR="007B636F" w:rsidRDefault="00000000">
      <w:pPr>
        <w:spacing w:after="160" w:line="276" w:lineRule="auto"/>
        <w:ind w:firstLine="720"/>
        <w:jc w:val="both"/>
      </w:pPr>
      <w:r>
        <w:t xml:space="preserve">In this formulation, I(x) </w:t>
      </w:r>
      <w:proofErr w:type="gramStart"/>
      <w:r>
        <w:t>denotes</w:t>
      </w:r>
      <w:proofErr w:type="gramEnd"/>
      <w:r>
        <w:t xml:space="preserve"> the observed degraded image tensor, J(x) is the latent scene radiance to be recovered, t(x) is the per-pixel transmission map encoding the fraction of scene light that reaches the imaging sensor, and A is the global background illumination coefficient. The PI-GE module estimates both t(x) and A via lightweight convolutional branches incorporating Adaptive Average Pooling. Transmission values are constrained to the interval [0.1, 1.0] through sigmoid activation </w:t>
      </w:r>
      <w:proofErr w:type="gramStart"/>
      <w:r>
        <w:t>in order to</w:t>
      </w:r>
      <w:proofErr w:type="gramEnd"/>
      <w:r>
        <w:t xml:space="preserve"> preclude arithmetic singularities during the subsequent inversion step, which recovers the underlying scene radiance as follows:</w:t>
      </w:r>
    </w:p>
    <w:p w14:paraId="033A8BDC" w14:textId="77777777" w:rsidR="007B636F" w:rsidRDefault="00000000">
      <w:pPr>
        <w:spacing w:before="160" w:after="160"/>
        <w:jc w:val="center"/>
      </w:pPr>
      <w:r>
        <w:rPr>
          <w:rFonts w:ascii="Courier New" w:eastAsia="Courier New" w:hAnsi="Courier New" w:cs="Courier New"/>
        </w:rPr>
        <w:t>J(x) = (I(x) – A · (1 – t(x))) / t(x)</w:t>
      </w:r>
    </w:p>
    <w:p w14:paraId="78142B4B" w14:textId="77777777" w:rsidR="007B636F" w:rsidRDefault="00000000">
      <w:pPr>
        <w:spacing w:after="160" w:line="276" w:lineRule="auto"/>
        <w:ind w:firstLine="720"/>
        <w:jc w:val="both"/>
      </w:pPr>
      <w:r>
        <w:t xml:space="preserve">Critically, this inversion operation is executed entirely within the differentiable forward pass of the network, such that colour restoration contributes negligible additional inference </w:t>
      </w:r>
      <w:proofErr w:type="gramStart"/>
      <w:r>
        <w:t>latency</w:t>
      </w:r>
      <w:proofErr w:type="gramEnd"/>
      <w:r>
        <w:t xml:space="preserve"> and the module remains fully trainable via standard backpropagation. The PI-GE stage precedes </w:t>
      </w:r>
      <w:r>
        <w:lastRenderedPageBreak/>
        <w:t>all downstream feature extraction, ensuring that subsequent convolutional operations receive physically corrected inputs rather than degraded raw frames.</w:t>
      </w:r>
    </w:p>
    <w:p w14:paraId="38CDDB2D" w14:textId="77777777" w:rsidR="007B636F" w:rsidRDefault="00000000">
      <w:pPr>
        <w:spacing w:before="160" w:after="80"/>
      </w:pPr>
      <w:r>
        <w:rPr>
          <w:b/>
          <w:bCs/>
        </w:rPr>
        <w:t xml:space="preserve">2) </w:t>
      </w:r>
      <w:proofErr w:type="spellStart"/>
      <w:r>
        <w:rPr>
          <w:b/>
          <w:bCs/>
        </w:rPr>
        <w:t>Atrous</w:t>
      </w:r>
      <w:proofErr w:type="spellEnd"/>
      <w:r>
        <w:rPr>
          <w:b/>
          <w:bCs/>
        </w:rPr>
        <w:t xml:space="preserve"> Spatial Pyramid Pooling (ASPP) Depth Head</w:t>
      </w:r>
    </w:p>
    <w:p w14:paraId="4C5E3293" w14:textId="77777777" w:rsidR="007B636F" w:rsidRDefault="00000000">
      <w:pPr>
        <w:spacing w:after="160" w:line="276" w:lineRule="auto"/>
        <w:ind w:firstLine="720"/>
        <w:jc w:val="both"/>
      </w:pPr>
      <w:r>
        <w:t xml:space="preserve">In lieu of a conventional planar depth regression branch, </w:t>
      </w:r>
      <w:proofErr w:type="spellStart"/>
      <w:r>
        <w:t>AquaDet</w:t>
      </w:r>
      <w:proofErr w:type="spellEnd"/>
      <w:r>
        <w:t xml:space="preserve"> employs an ASPP module with parallel </w:t>
      </w:r>
      <w:proofErr w:type="spellStart"/>
      <w:r>
        <w:t>atrous</w:t>
      </w:r>
      <w:proofErr w:type="spellEnd"/>
      <w:r>
        <w:t xml:space="preserve"> convolution rates of 1, 6, and 12, combined with Global Average Pooling. This multi-scale receptive field architecture enables the network to infer metric depth by contextualising object size relative to the surrounding scene, permitting object-relative scale reasoning without any external depth-sensing hardware.</w:t>
      </w:r>
    </w:p>
    <w:p w14:paraId="54C71A73" w14:textId="77777777" w:rsidR="007B636F" w:rsidRDefault="00000000">
      <w:pPr>
        <w:pStyle w:val="Heading2"/>
      </w:pPr>
      <w:r>
        <w:t>C. Real-World Size Estimation</w:t>
      </w:r>
    </w:p>
    <w:p w14:paraId="754EA0F0" w14:textId="77777777" w:rsidR="007B636F" w:rsidRDefault="00000000">
      <w:pPr>
        <w:spacing w:after="160" w:line="276" w:lineRule="auto"/>
        <w:ind w:firstLine="720"/>
        <w:jc w:val="both"/>
      </w:pPr>
      <w:r>
        <w:t>Predicted metric depth values Z, expressed in metres, are combined with detected pixel extents to compute calibrated real-world object dimensions in accordance with the standard pinhole camera projection model:</w:t>
      </w:r>
    </w:p>
    <w:p w14:paraId="64811E5B" w14:textId="77777777" w:rsidR="007B636F" w:rsidRPr="005244A4" w:rsidRDefault="00000000">
      <w:pPr>
        <w:spacing w:before="160" w:after="160"/>
        <w:jc w:val="center"/>
      </w:pPr>
      <w:proofErr w:type="spellStart"/>
      <w:r>
        <w:rPr>
          <w:rFonts w:ascii="Courier New" w:eastAsia="Courier New" w:hAnsi="Courier New" w:cs="Courier New"/>
        </w:rPr>
        <w:t>Size_real</w:t>
      </w:r>
      <w:proofErr w:type="spellEnd"/>
      <w:r>
        <w:rPr>
          <w:rFonts w:ascii="Courier New" w:eastAsia="Courier New" w:hAnsi="Courier New" w:cs="Courier New"/>
        </w:rPr>
        <w:t xml:space="preserve"> (mm) = </w:t>
      </w:r>
      <w:proofErr w:type="spellStart"/>
      <w:r>
        <w:rPr>
          <w:rFonts w:ascii="Courier New" w:eastAsia="Courier New" w:hAnsi="Courier New" w:cs="Courier New"/>
        </w:rPr>
        <w:t>Size_pixel</w:t>
      </w:r>
      <w:proofErr w:type="spellEnd"/>
      <w:r>
        <w:rPr>
          <w:rFonts w:ascii="Courier New" w:eastAsia="Courier New" w:hAnsi="Courier New" w:cs="Courier New"/>
        </w:rPr>
        <w:t xml:space="preserve"> × (f / Z)</w:t>
      </w:r>
    </w:p>
    <w:p w14:paraId="48767CF9" w14:textId="77777777" w:rsidR="007B636F" w:rsidRDefault="00000000">
      <w:pPr>
        <w:spacing w:after="160" w:line="276" w:lineRule="auto"/>
        <w:ind w:firstLine="720"/>
        <w:jc w:val="both"/>
      </w:pPr>
      <w:r>
        <w:t>The focal length parameter f is loaded at runtime from a hardware-specific YAML configuration file. This design renders the sizing pipeline fully portable across AUV hardware configurations without necessitating model retraining or architectural modification.</w:t>
      </w:r>
    </w:p>
    <w:p w14:paraId="04A5363A" w14:textId="77777777" w:rsidR="007B636F" w:rsidRDefault="00000000">
      <w:pPr>
        <w:pStyle w:val="Heading2"/>
      </w:pPr>
      <w:r>
        <w:t>D. Training Protocol</w:t>
      </w:r>
    </w:p>
    <w:p w14:paraId="511DF369" w14:textId="77777777" w:rsidR="007B636F" w:rsidRDefault="00000000">
      <w:pPr>
        <w:spacing w:after="160" w:line="276" w:lineRule="auto"/>
        <w:ind w:firstLine="720"/>
        <w:jc w:val="both"/>
      </w:pPr>
      <w:r>
        <w:t xml:space="preserve">Network training was conducted on Kaggle cloud infrastructure utilising NVIDIA P100 and T4 GPU accelerators. Automatic Mixed Precision via </w:t>
      </w:r>
      <w:proofErr w:type="spellStart"/>
      <w:proofErr w:type="gramStart"/>
      <w:r>
        <w:t>torch.amp.autocast</w:t>
      </w:r>
      <w:proofErr w:type="spellEnd"/>
      <w:proofErr w:type="gramEnd"/>
      <w:r>
        <w:t xml:space="preserve"> was applied throughout all training runs to reduce peak VRAM consumption while accelerating batch throughput. The composite training objective combines four task-specific loss functions: SmoothL1Loss for bounding box regression, </w:t>
      </w:r>
      <w:proofErr w:type="spellStart"/>
      <w:r>
        <w:t>BCEWithLogitsLoss</w:t>
      </w:r>
      <w:proofErr w:type="spellEnd"/>
      <w:r>
        <w:t xml:space="preserve"> for binary semantic segmentation, L1Loss for monocular depth supervision, and </w:t>
      </w:r>
      <w:proofErr w:type="spellStart"/>
      <w:r>
        <w:t>CrossEntropyLoss</w:t>
      </w:r>
      <w:proofErr w:type="spellEnd"/>
      <w:r>
        <w:t xml:space="preserve"> for class prediction. Loss weights across all task heads were held uniform throughout all reported experiments.</w:t>
      </w:r>
    </w:p>
    <w:p w14:paraId="050FE0A9" w14:textId="77777777" w:rsidR="007B636F" w:rsidRDefault="00000000">
      <w:pPr>
        <w:pStyle w:val="Heading1"/>
      </w:pPr>
      <w:r>
        <w:t>IV. Results and Discussion</w:t>
      </w:r>
    </w:p>
    <w:p w14:paraId="4D2A5AE2" w14:textId="77777777" w:rsidR="007B636F" w:rsidRDefault="00000000">
      <w:pPr>
        <w:spacing w:after="160" w:line="276" w:lineRule="auto"/>
        <w:ind w:firstLine="720"/>
        <w:jc w:val="both"/>
      </w:pPr>
      <w:r>
        <w:t>Model training on the consolidated benchmark dataset converged reliably within 50 epochs under Mixed Precision, with no gradient instability or loss divergence observed across any task head. Three principal evaluation findings are reported and discussed below.</w:t>
      </w:r>
    </w:p>
    <w:p w14:paraId="6CED5F60" w14:textId="77777777" w:rsidR="007B636F" w:rsidRDefault="00000000">
      <w:pPr>
        <w:pStyle w:val="Heading2"/>
      </w:pPr>
      <w:r>
        <w:t>A. Temporal Tracking Stability</w:t>
      </w:r>
    </w:p>
    <w:p w14:paraId="6970C675" w14:textId="77777777" w:rsidR="007B636F" w:rsidRDefault="00000000">
      <w:pPr>
        <w:spacing w:after="160" w:line="276" w:lineRule="auto"/>
        <w:ind w:firstLine="720"/>
        <w:jc w:val="both"/>
      </w:pPr>
      <w:r>
        <w:t xml:space="preserve">The integrated </w:t>
      </w:r>
      <w:proofErr w:type="spellStart"/>
      <w:r>
        <w:t>SimpleIoUTracker</w:t>
      </w:r>
      <w:proofErr w:type="spellEnd"/>
      <w:r>
        <w:t xml:space="preserve"> module maintained consistent object identity across sequences containing up to ten consecutive frames of complete occlusion, as defined by the </w:t>
      </w:r>
      <w:proofErr w:type="spellStart"/>
      <w:r>
        <w:t>max_missed</w:t>
      </w:r>
      <w:proofErr w:type="spellEnd"/>
      <w:r>
        <w:t xml:space="preserve"> = 10 configuration parameter. This temporal robustness is operationally essential in real-world aquatic deployment, where transient fauna, suspended particulate matter, and </w:t>
      </w:r>
      <w:r>
        <w:lastRenderedPageBreak/>
        <w:t>unpredictable hydrodynamic currents routinely obscure camera lines of sight. No identity-switch failures were recorded within the established occlusion tolerance threshold across the full evaluation sequence.</w:t>
      </w:r>
    </w:p>
    <w:p w14:paraId="267A5597" w14:textId="77777777" w:rsidR="007B636F" w:rsidRDefault="00000000">
      <w:pPr>
        <w:pStyle w:val="Heading2"/>
      </w:pPr>
      <w:r>
        <w:t>B. Turbidity Resilience</w:t>
      </w:r>
    </w:p>
    <w:p w14:paraId="3E324897" w14:textId="30F12C3A" w:rsidR="007B636F" w:rsidRDefault="00000000">
      <w:pPr>
        <w:spacing w:after="160" w:line="276" w:lineRule="auto"/>
        <w:ind w:firstLine="720"/>
        <w:jc w:val="both"/>
      </w:pPr>
      <w:r>
        <w:t>Under simulated severe turbidity conditions, unmodified convolutional baseline architectures exhibited catastrophic recall collapse, with per-class detection confidence falling to approximately 12%. With the PI-GE module enabled, classification confidence remained consistently above 45% under equivalent degradation conditions</w:t>
      </w:r>
      <w:r w:rsidR="004A4731">
        <w:t xml:space="preserve"> - </w:t>
      </w:r>
      <w:r>
        <w:t xml:space="preserve">representing a greater than three-fold improvement in worst-case detection performance. At moderate turbidity levels, the complete </w:t>
      </w:r>
      <w:proofErr w:type="spellStart"/>
      <w:r>
        <w:t>AquaDet</w:t>
      </w:r>
      <w:proofErr w:type="spellEnd"/>
      <w:r>
        <w:t xml:space="preserve"> system achieves a 35% improvement in mAP@50 relative to the convolutional baseline, providing empirical confirmation of the utility of physics-grounded image pre-processing as a component of a robust underwater detection pipeline.</w:t>
      </w:r>
    </w:p>
    <w:p w14:paraId="2A178E51" w14:textId="77777777" w:rsidR="007B636F" w:rsidRDefault="00000000">
      <w:pPr>
        <w:pStyle w:val="Heading2"/>
      </w:pPr>
      <w:r>
        <w:t>C. Monocular Size Estimation Accuracy</w:t>
      </w:r>
    </w:p>
    <w:p w14:paraId="64BB7B83" w14:textId="77777777" w:rsidR="007B636F" w:rsidRDefault="00000000">
      <w:pPr>
        <w:spacing w:after="160" w:line="276" w:lineRule="auto"/>
        <w:ind w:firstLine="720"/>
        <w:jc w:val="both"/>
      </w:pPr>
      <w:r>
        <w:t>The ASPP-based depth head achieved object size estimates within ±15% of ground-truth physical measurements across the controlled simulation benchmark. Residual estimation error is attributable primarily to rotational gimbal displacement during image capture, an inherent limitation of monocular depth inference that stereo configurations would partially mitigate. Within the operational constraints of the current hardware configuration, this accuracy level is considered sufficient for AUV-based robotic grasping and debris classification applications.</w:t>
      </w:r>
    </w:p>
    <w:p w14:paraId="077E3260" w14:textId="77777777" w:rsidR="007B636F" w:rsidRDefault="00000000">
      <w:pPr>
        <w:pStyle w:val="Heading1"/>
      </w:pPr>
      <w:r>
        <w:t>V. Comparative Architecture Analysis and Future Improvements</w:t>
      </w:r>
    </w:p>
    <w:p w14:paraId="0F5F41ED" w14:textId="77777777" w:rsidR="007B636F" w:rsidRDefault="00000000">
      <w:pPr>
        <w:spacing w:after="160" w:line="276" w:lineRule="auto"/>
        <w:ind w:firstLine="720"/>
        <w:jc w:val="both"/>
      </w:pPr>
      <w:r>
        <w:t xml:space="preserve">To contextualise the </w:t>
      </w:r>
      <w:proofErr w:type="spellStart"/>
      <w:r>
        <w:t>AquaDet</w:t>
      </w:r>
      <w:proofErr w:type="spellEnd"/>
      <w:r>
        <w:t xml:space="preserve"> design within the broader landscape of state-of-the-art oceanographic perception systems, this section presents a structured comparative analysis and identifies specific technical vectors for future architectural enhancement.</w:t>
      </w:r>
    </w:p>
    <w:p w14:paraId="5470EBA6" w14:textId="77777777" w:rsidR="007B636F" w:rsidRDefault="00000000">
      <w:pPr>
        <w:pStyle w:val="Heading2"/>
      </w:pPr>
      <w:r>
        <w:t>A. Current Architecture Overview</w:t>
      </w:r>
    </w:p>
    <w:p w14:paraId="0B0D353F" w14:textId="77777777" w:rsidR="007B636F" w:rsidRDefault="00000000">
      <w:pPr>
        <w:spacing w:after="160" w:line="276" w:lineRule="auto"/>
        <w:jc w:val="both"/>
      </w:pPr>
      <w:proofErr w:type="spellStart"/>
      <w:r>
        <w:t>AquaDet</w:t>
      </w:r>
      <w:proofErr w:type="spellEnd"/>
      <w:r>
        <w:t xml:space="preserve"> operates as a decoupled, sequential multi-stage pipeline. The processing chain may be summarised as follows:</w:t>
      </w:r>
    </w:p>
    <w:p w14:paraId="14C0619E" w14:textId="77777777" w:rsidR="007B636F" w:rsidRDefault="00000000">
      <w:pPr>
        <w:pStyle w:val="ListParagraph"/>
        <w:numPr>
          <w:ilvl w:val="0"/>
          <w:numId w:val="2"/>
        </w:numPr>
        <w:spacing w:before="60" w:after="60" w:line="276" w:lineRule="auto"/>
        <w:jc w:val="both"/>
      </w:pPr>
      <w:r>
        <w:rPr>
          <w:b/>
          <w:bCs/>
        </w:rPr>
        <w:t xml:space="preserve">Input Layer: </w:t>
      </w:r>
      <w:r>
        <w:t>RGB frames are ingested directly from standard monocular camera hardware mounted on the AUV platform.</w:t>
      </w:r>
    </w:p>
    <w:p w14:paraId="336DB8ED" w14:textId="77777777" w:rsidR="007B636F" w:rsidRDefault="00000000">
      <w:pPr>
        <w:pStyle w:val="ListParagraph"/>
        <w:numPr>
          <w:ilvl w:val="0"/>
          <w:numId w:val="2"/>
        </w:numPr>
        <w:spacing w:before="60" w:after="60" w:line="276" w:lineRule="auto"/>
        <w:jc w:val="both"/>
      </w:pPr>
      <w:r>
        <w:rPr>
          <w:b/>
          <w:bCs/>
        </w:rPr>
        <w:t xml:space="preserve">PI-GE Pre-Processing: </w:t>
      </w:r>
      <w:r>
        <w:t xml:space="preserve">Unlike conventional networks that feed raw pixels directly to the backbone, </w:t>
      </w:r>
      <w:proofErr w:type="spellStart"/>
      <w:r>
        <w:t>AquaDet</w:t>
      </w:r>
      <w:proofErr w:type="spellEnd"/>
      <w:r>
        <w:t xml:space="preserve"> routes the input through the PI-GE module. This sub-network explicitly learns the per-pixel water transmission map t(x) and the global backscatter coefficient </w:t>
      </w:r>
      <w:proofErr w:type="gramStart"/>
      <w:r>
        <w:t>A in order to</w:t>
      </w:r>
      <w:proofErr w:type="gramEnd"/>
      <w:r>
        <w:t xml:space="preserve"> mathematically invert the underwater image formation model, yielding a colour-restored tensor for downstream processing.</w:t>
      </w:r>
    </w:p>
    <w:p w14:paraId="135C1D5D" w14:textId="3A744199" w:rsidR="007B636F" w:rsidRDefault="00000000">
      <w:pPr>
        <w:pStyle w:val="ListParagraph"/>
        <w:numPr>
          <w:ilvl w:val="0"/>
          <w:numId w:val="2"/>
        </w:numPr>
        <w:spacing w:before="60" w:after="60" w:line="276" w:lineRule="auto"/>
        <w:jc w:val="both"/>
      </w:pPr>
      <w:r>
        <w:rPr>
          <w:b/>
          <w:bCs/>
        </w:rPr>
        <w:t xml:space="preserve">Hybrid Backbone and </w:t>
      </w:r>
      <w:proofErr w:type="spellStart"/>
      <w:r>
        <w:rPr>
          <w:b/>
          <w:bCs/>
        </w:rPr>
        <w:t>BiFPN</w:t>
      </w:r>
      <w:proofErr w:type="spellEnd"/>
      <w:r>
        <w:rPr>
          <w:b/>
          <w:bCs/>
        </w:rPr>
        <w:t xml:space="preserve">: </w:t>
      </w:r>
      <w:r>
        <w:t xml:space="preserve">The restored tensor is processed by a hybrid convolutional backbone. The resulting semantic feature maps are subsequently passed </w:t>
      </w:r>
      <w:r>
        <w:lastRenderedPageBreak/>
        <w:t>through a Bidirectional Feature Pyramid Network (</w:t>
      </w:r>
      <w:proofErr w:type="spellStart"/>
      <w:r>
        <w:t>BiFPN</w:t>
      </w:r>
      <w:proofErr w:type="spellEnd"/>
      <w:r>
        <w:t>)</w:t>
      </w:r>
      <w:r w:rsidR="004A4731">
        <w:t xml:space="preserve"> - </w:t>
      </w:r>
      <w:r>
        <w:t xml:space="preserve">a multi-scale feature fusion architecture popularised by </w:t>
      </w:r>
      <w:proofErr w:type="spellStart"/>
      <w:r>
        <w:t>EfficientDet</w:t>
      </w:r>
      <w:proofErr w:type="spellEnd"/>
      <w:r w:rsidR="004A4731">
        <w:t xml:space="preserve"> - </w:t>
      </w:r>
      <w:r>
        <w:t>enabling the network to simultaneously retain fine-grained local textures characteristic of microplastic debris and the coarser global morphology of large-scale waste objects.</w:t>
      </w:r>
    </w:p>
    <w:p w14:paraId="4FDF3447" w14:textId="77777777" w:rsidR="007B636F" w:rsidRDefault="00000000">
      <w:pPr>
        <w:pStyle w:val="ListParagraph"/>
        <w:numPr>
          <w:ilvl w:val="0"/>
          <w:numId w:val="2"/>
        </w:numPr>
        <w:spacing w:before="60" w:after="60" w:line="276" w:lineRule="auto"/>
        <w:jc w:val="both"/>
      </w:pPr>
      <w:r>
        <w:rPr>
          <w:b/>
          <w:bCs/>
        </w:rPr>
        <w:t xml:space="preserve">Multi-Task Heads: </w:t>
      </w:r>
      <w:r>
        <w:t xml:space="preserve">The </w:t>
      </w:r>
      <w:proofErr w:type="spellStart"/>
      <w:r>
        <w:t>BiFPN</w:t>
      </w:r>
      <w:proofErr w:type="spellEnd"/>
      <w:r>
        <w:t xml:space="preserve"> output diverges into three parallel task-specific branches: (</w:t>
      </w:r>
      <w:proofErr w:type="spellStart"/>
      <w:r>
        <w:t>i</w:t>
      </w:r>
      <w:proofErr w:type="spellEnd"/>
      <w:r>
        <w:t xml:space="preserve">) a Classification and Bounding Box Head producing object class labels and two-dimensional spatial coordinates; (ii) a Mask Head generating binary semantic segmentation maps for precise contour delineation; and (iii) an ASPP Depth Head utilising </w:t>
      </w:r>
      <w:proofErr w:type="spellStart"/>
      <w:r>
        <w:t>atrous</w:t>
      </w:r>
      <w:proofErr w:type="spellEnd"/>
      <w:r>
        <w:t xml:space="preserve"> convolutions at dilation rates of 1, 6, and 12 to infer relative object distance from the imaging sensor.</w:t>
      </w:r>
    </w:p>
    <w:p w14:paraId="40E56A2D" w14:textId="77777777" w:rsidR="007B636F" w:rsidRDefault="00000000">
      <w:pPr>
        <w:pStyle w:val="ListParagraph"/>
        <w:numPr>
          <w:ilvl w:val="0"/>
          <w:numId w:val="2"/>
        </w:numPr>
        <w:spacing w:before="60" w:after="60" w:line="276" w:lineRule="auto"/>
        <w:jc w:val="both"/>
      </w:pPr>
      <w:r>
        <w:rPr>
          <w:b/>
          <w:bCs/>
        </w:rPr>
        <w:t xml:space="preserve">Tracking and Sizing Module: </w:t>
      </w:r>
      <w:r>
        <w:t xml:space="preserve">A </w:t>
      </w:r>
      <w:proofErr w:type="spellStart"/>
      <w:r>
        <w:t>SimpleIoUTracker</w:t>
      </w:r>
      <w:proofErr w:type="spellEnd"/>
      <w:r>
        <w:t xml:space="preserve"> maintains temporal object identity across successive video frames. Object depth vectors are evaluated against the camera focal length parameter to produce calibrated real-world size estimates in millimetres.</w:t>
      </w:r>
    </w:p>
    <w:p w14:paraId="3C2706C8" w14:textId="77777777" w:rsidR="007B636F" w:rsidRDefault="007B636F">
      <w:pPr>
        <w:spacing w:before="80" w:after="40"/>
      </w:pPr>
    </w:p>
    <w:p w14:paraId="403BF69B" w14:textId="77777777" w:rsidR="007B636F" w:rsidRDefault="00000000">
      <w:pPr>
        <w:pStyle w:val="Heading2"/>
      </w:pPr>
      <w:r>
        <w:t>B. Comparative Ecosystem Analysis</w:t>
      </w:r>
    </w:p>
    <w:p w14:paraId="57706AE1" w14:textId="77777777" w:rsidR="007B636F" w:rsidRDefault="00000000">
      <w:pPr>
        <w:spacing w:after="160" w:line="276" w:lineRule="auto"/>
        <w:ind w:firstLine="720"/>
        <w:jc w:val="both"/>
      </w:pPr>
      <w:r>
        <w:t>A systematic comparison with representative existing systems reveals distinct performance trade-offs and identifies concrete pathways for future development.</w:t>
      </w:r>
    </w:p>
    <w:p w14:paraId="0EC11A06" w14:textId="7E68FAB9" w:rsidR="007B636F" w:rsidRDefault="00000000">
      <w:pPr>
        <w:pStyle w:val="ListParagraph"/>
        <w:numPr>
          <w:ilvl w:val="0"/>
          <w:numId w:val="3"/>
        </w:numPr>
        <w:spacing w:before="60" w:after="60" w:line="276" w:lineRule="auto"/>
        <w:jc w:val="both"/>
      </w:pPr>
      <w:r>
        <w:rPr>
          <w:b/>
          <w:bCs/>
        </w:rPr>
        <w:t>Comparison with YOLOv8/v10 (</w:t>
      </w:r>
      <w:proofErr w:type="spellStart"/>
      <w:r>
        <w:rPr>
          <w:b/>
          <w:bCs/>
        </w:rPr>
        <w:t>Ultralytics</w:t>
      </w:r>
      <w:proofErr w:type="spellEnd"/>
      <w:r>
        <w:rPr>
          <w:b/>
          <w:bCs/>
        </w:rPr>
        <w:t xml:space="preserve">): </w:t>
      </w:r>
      <w:r>
        <w:t>Modern YOLO architectures are strictly optimised for bounding-box detection throughput on terrestrial imagery. They lack native physical light-restoration stages, compelling engineers to pre-process underwater footage via traditional algorithms such as CLAHE or DCP executed sequentially on the CPU</w:t>
      </w:r>
      <w:r w:rsidR="004A4731">
        <w:t xml:space="preserve"> - </w:t>
      </w:r>
      <w:r>
        <w:t xml:space="preserve">a bottleneck that significantly reduces available edge compute capacity. </w:t>
      </w:r>
      <w:proofErr w:type="spellStart"/>
      <w:r>
        <w:t>AquaDet</w:t>
      </w:r>
      <w:proofErr w:type="spellEnd"/>
      <w:r>
        <w:t xml:space="preserve"> resolves this limitation by embedding PI-GE within the GPU-accelerated forward pass, eliminating the CPU pre-processing penalty entirely.</w:t>
      </w:r>
    </w:p>
    <w:p w14:paraId="21101B51" w14:textId="77777777" w:rsidR="007B636F" w:rsidRDefault="00000000">
      <w:pPr>
        <w:pStyle w:val="ListParagraph"/>
        <w:numPr>
          <w:ilvl w:val="0"/>
          <w:numId w:val="4"/>
        </w:numPr>
        <w:spacing w:before="40" w:after="40" w:line="276" w:lineRule="auto"/>
        <w:jc w:val="both"/>
      </w:pPr>
      <w:r>
        <w:rPr>
          <w:b/>
          <w:bCs/>
          <w:i/>
          <w:iCs/>
        </w:rPr>
        <w:t xml:space="preserve">Identified Improvement Vector: </w:t>
      </w:r>
      <w:r>
        <w:t xml:space="preserve">YOLOv10 has recently introduced Non-Maximum Suppression-free (NMS-free) end-to-end training paradigms. Adopting an equivalent NMS-free detection head within the </w:t>
      </w:r>
      <w:proofErr w:type="spellStart"/>
      <w:r>
        <w:t>AquaDet</w:t>
      </w:r>
      <w:proofErr w:type="spellEnd"/>
      <w:r>
        <w:t xml:space="preserve"> classification branch is projected to reduce Jetson inference latency by an additional 15–20%.</w:t>
      </w:r>
    </w:p>
    <w:p w14:paraId="01F4C2AE" w14:textId="77777777" w:rsidR="007B636F" w:rsidRDefault="00000000">
      <w:pPr>
        <w:pStyle w:val="ListParagraph"/>
        <w:numPr>
          <w:ilvl w:val="0"/>
          <w:numId w:val="3"/>
        </w:numPr>
        <w:spacing w:before="60" w:after="60" w:line="276" w:lineRule="auto"/>
        <w:jc w:val="both"/>
      </w:pPr>
      <w:r>
        <w:rPr>
          <w:b/>
          <w:bCs/>
        </w:rPr>
        <w:t xml:space="preserve">Comparison with </w:t>
      </w:r>
      <w:proofErr w:type="spellStart"/>
      <w:r>
        <w:rPr>
          <w:b/>
          <w:bCs/>
        </w:rPr>
        <w:t>OceanEye</w:t>
      </w:r>
      <w:proofErr w:type="spellEnd"/>
      <w:r>
        <w:rPr>
          <w:b/>
          <w:bCs/>
        </w:rPr>
        <w:t xml:space="preserve"> and Sea-Thru: </w:t>
      </w:r>
      <w:r>
        <w:t xml:space="preserve">Projects such as Sea-Thru employ RGB-D cameras or </w:t>
      </w:r>
      <w:proofErr w:type="gramStart"/>
      <w:r>
        <w:t>stereo-vision</w:t>
      </w:r>
      <w:proofErr w:type="gramEnd"/>
      <w:r>
        <w:t xml:space="preserve"> rigs to derive water attenuation coefficients mapped against a reconstructed three-dimensional topological background. While this approach yields high-accuracy colour correction, stereo rigs are mechanically bulky, financially prohibitive, and pressure-sensitive. </w:t>
      </w:r>
      <w:proofErr w:type="spellStart"/>
      <w:r>
        <w:t>AquaDet</w:t>
      </w:r>
      <w:proofErr w:type="spellEnd"/>
      <w:r>
        <w:t xml:space="preserve"> achieves comparable optical restoration using a purely monocular ASPP-based estimation, at a fraction of the hardware cost.</w:t>
      </w:r>
    </w:p>
    <w:p w14:paraId="25DD2EEE" w14:textId="70877A32" w:rsidR="007B636F" w:rsidRDefault="00000000">
      <w:pPr>
        <w:pStyle w:val="ListParagraph"/>
        <w:numPr>
          <w:ilvl w:val="0"/>
          <w:numId w:val="4"/>
        </w:numPr>
        <w:spacing w:before="40" w:after="40" w:line="276" w:lineRule="auto"/>
        <w:jc w:val="both"/>
      </w:pPr>
      <w:r>
        <w:rPr>
          <w:b/>
          <w:bCs/>
          <w:i/>
          <w:iCs/>
        </w:rPr>
        <w:t xml:space="preserve">Identified Improvement Vector: </w:t>
      </w:r>
      <w:r>
        <w:t>The current ASPP depth head infers distance implicitly from learned visual cues relative to object scale. Upgrading the depth estimation component to a self-supervised monocular depth framework</w:t>
      </w:r>
      <w:r w:rsidR="004A4731">
        <w:t xml:space="preserve"> - </w:t>
      </w:r>
      <w:r>
        <w:t>such as Monodepth2, trained on sequential video frames via photometric reprojection error</w:t>
      </w:r>
      <w:r w:rsidR="004A4731">
        <w:t xml:space="preserve"> </w:t>
      </w:r>
      <w:r w:rsidR="004A4731">
        <w:lastRenderedPageBreak/>
        <w:t xml:space="preserve">- </w:t>
      </w:r>
      <w:r>
        <w:t>would substantially stabilise distance measurements without introducing any additional hardware requirements.</w:t>
      </w:r>
    </w:p>
    <w:p w14:paraId="315E3043" w14:textId="61A038AB" w:rsidR="007B636F" w:rsidRDefault="00000000">
      <w:pPr>
        <w:pStyle w:val="ListParagraph"/>
        <w:numPr>
          <w:ilvl w:val="0"/>
          <w:numId w:val="3"/>
        </w:numPr>
        <w:spacing w:before="60" w:after="60" w:line="276" w:lineRule="auto"/>
        <w:jc w:val="both"/>
      </w:pPr>
      <w:r>
        <w:rPr>
          <w:b/>
          <w:bCs/>
        </w:rPr>
        <w:t xml:space="preserve">Comparison with </w:t>
      </w:r>
      <w:proofErr w:type="spellStart"/>
      <w:r>
        <w:rPr>
          <w:b/>
          <w:bCs/>
        </w:rPr>
        <w:t>Swin</w:t>
      </w:r>
      <w:proofErr w:type="spellEnd"/>
      <w:r>
        <w:rPr>
          <w:b/>
          <w:bCs/>
        </w:rPr>
        <w:t xml:space="preserve">-Transformer-Based Models: </w:t>
      </w:r>
      <w:r>
        <w:t xml:space="preserve">Cutting-edge underwater analysis has begun to migrate from purely convolutional backbones toward Vision Transformer architectures such as </w:t>
      </w:r>
      <w:proofErr w:type="spellStart"/>
      <w:r>
        <w:t>Swin</w:t>
      </w:r>
      <w:proofErr w:type="spellEnd"/>
      <w:r>
        <w:t xml:space="preserve"> Transformer. Transformers excel at establishing long-range global context across the full field of view</w:t>
      </w:r>
      <w:r w:rsidR="004A4731">
        <w:t xml:space="preserve"> - </w:t>
      </w:r>
      <w:r>
        <w:t xml:space="preserve">a property highly beneficial for the PI-GE module's estimation of </w:t>
      </w:r>
      <w:proofErr w:type="gramStart"/>
      <w:r>
        <w:t>spatially-varying</w:t>
      </w:r>
      <w:proofErr w:type="gramEnd"/>
      <w:r>
        <w:t xml:space="preserve"> backscatter and illumination coefficients.</w:t>
      </w:r>
    </w:p>
    <w:p w14:paraId="056E55FB" w14:textId="049C29F6" w:rsidR="007B636F" w:rsidRDefault="00000000">
      <w:pPr>
        <w:pStyle w:val="ListParagraph"/>
        <w:numPr>
          <w:ilvl w:val="0"/>
          <w:numId w:val="4"/>
        </w:numPr>
        <w:spacing w:before="40" w:after="40" w:line="276" w:lineRule="auto"/>
        <w:jc w:val="both"/>
      </w:pPr>
      <w:r>
        <w:rPr>
          <w:b/>
          <w:bCs/>
          <w:i/>
          <w:iCs/>
        </w:rPr>
        <w:t xml:space="preserve">Identified Improvement Vector: </w:t>
      </w:r>
      <w:r>
        <w:t>Replacing the standard hybrid CNN backbone with a lightweight transformer architecture</w:t>
      </w:r>
      <w:r w:rsidR="004A4731">
        <w:t xml:space="preserve"> - </w:t>
      </w:r>
      <w:r>
        <w:t xml:space="preserve">such as </w:t>
      </w:r>
      <w:proofErr w:type="spellStart"/>
      <w:r>
        <w:t>MobileViT</w:t>
      </w:r>
      <w:proofErr w:type="spellEnd"/>
      <w:r>
        <w:t xml:space="preserve"> or </w:t>
      </w:r>
      <w:proofErr w:type="spellStart"/>
      <w:r>
        <w:t>Swin</w:t>
      </w:r>
      <w:proofErr w:type="spellEnd"/>
      <w:r>
        <w:t>-T (Tiny)</w:t>
      </w:r>
      <w:r w:rsidR="004A4731">
        <w:t xml:space="preserve"> - </w:t>
      </w:r>
      <w:r>
        <w:t>could meaningfully increase the network's capacity to model global backscatter without a proportional increase in floating-point operations, preserving the real-time performance required for edge deployment.</w:t>
      </w:r>
    </w:p>
    <w:p w14:paraId="74E53747" w14:textId="5977F9BB" w:rsidR="007B636F" w:rsidRDefault="00000000">
      <w:pPr>
        <w:pStyle w:val="ListParagraph"/>
        <w:numPr>
          <w:ilvl w:val="0"/>
          <w:numId w:val="3"/>
        </w:numPr>
        <w:spacing w:before="60" w:after="60" w:line="276" w:lineRule="auto"/>
        <w:jc w:val="both"/>
      </w:pPr>
      <w:r>
        <w:rPr>
          <w:b/>
          <w:bCs/>
        </w:rPr>
        <w:t xml:space="preserve">Acoustic and Multimodal Sensor Fusion (Future Scope): </w:t>
      </w:r>
      <w:r>
        <w:t>Industry-standard AUV platforms, including those deployed by the Ocean Cleanup project, rely heavily on acoustic sonar. Sonar provides reliable spatial returns in zero-visibility silt conditions but cannot discriminate material composition</w:t>
      </w:r>
      <w:r w:rsidR="004A4731">
        <w:t xml:space="preserve"> - </w:t>
      </w:r>
      <w:r>
        <w:t>it cannot distinguish a plastic bottle from a rock. Optical vision provides complementary semantic richness but is degraded by turbidity.</w:t>
      </w:r>
    </w:p>
    <w:p w14:paraId="1886885F" w14:textId="10974C3F" w:rsidR="007B636F" w:rsidRDefault="00000000">
      <w:pPr>
        <w:pStyle w:val="ListParagraph"/>
        <w:numPr>
          <w:ilvl w:val="0"/>
          <w:numId w:val="4"/>
        </w:numPr>
        <w:spacing w:before="40" w:after="40" w:line="276" w:lineRule="auto"/>
        <w:jc w:val="both"/>
      </w:pPr>
      <w:r>
        <w:rPr>
          <w:b/>
          <w:bCs/>
          <w:i/>
          <w:iCs/>
        </w:rPr>
        <w:t xml:space="preserve">Identified Improvement Vector: </w:t>
      </w:r>
      <w:r>
        <w:t xml:space="preserve">The most substantial architectural enhancement involves multimodal sensor fusion. Ingesting one-dimensional active sonar returns directly into the </w:t>
      </w:r>
      <w:proofErr w:type="spellStart"/>
      <w:r>
        <w:t>BiFPN</w:t>
      </w:r>
      <w:proofErr w:type="spellEnd"/>
      <w:r>
        <w:t xml:space="preserve"> feature fusion layer</w:t>
      </w:r>
      <w:r w:rsidR="004A4731">
        <w:t xml:space="preserve"> - </w:t>
      </w:r>
      <w:r>
        <w:t>concatenated alongside RGB visual feature maps</w:t>
      </w:r>
      <w:r w:rsidR="004A4731">
        <w:t xml:space="preserve"> - </w:t>
      </w:r>
      <w:r>
        <w:t>would enable the network to cross-reference acoustic shape signatures with PI-GE-corrected colour data. This fusion architecture would theoretically sustain full operational capability regardless of total optical blackout, representing the definitive solution to the perception limitations of current AUV platforms.</w:t>
      </w:r>
    </w:p>
    <w:p w14:paraId="7C2A5570" w14:textId="77777777" w:rsidR="007B636F" w:rsidRDefault="007B636F">
      <w:pPr>
        <w:spacing w:before="80" w:after="40"/>
      </w:pPr>
    </w:p>
    <w:p w14:paraId="7F1C9AFA" w14:textId="77777777" w:rsidR="007B636F" w:rsidRDefault="00000000">
      <w:pPr>
        <w:pStyle w:val="Heading1"/>
      </w:pPr>
      <w:r>
        <w:t>VI. Conclusion</w:t>
      </w:r>
    </w:p>
    <w:p w14:paraId="07725B3D" w14:textId="77777777" w:rsidR="007B636F" w:rsidRDefault="00000000">
      <w:pPr>
        <w:spacing w:after="160" w:line="276" w:lineRule="auto"/>
        <w:ind w:firstLine="720"/>
        <w:jc w:val="both"/>
      </w:pPr>
      <w:r>
        <w:t xml:space="preserve">This paper has presented </w:t>
      </w:r>
      <w:proofErr w:type="spellStart"/>
      <w:r>
        <w:t>AquaDet</w:t>
      </w:r>
      <w:proofErr w:type="spellEnd"/>
      <w:r>
        <w:t>, an Edge AI perception framework that integrates physics-grounded image restoration with multi-task deep learning for real-time underwater waste detection, classification, tracking, and dimensional measurement. The PI-GE module demonstrated a decisive and reproducible improvement in detection robustness under turbid conditions, directly addressing the principal failure mode of terrestrial computer vision models when deployed in sub-surface environments. The ASPP monocular depth head demonstrated, further, that stereo camera hardware is not a prerequisite for operationally adequate object sizing within this application domain.</w:t>
      </w:r>
    </w:p>
    <w:p w14:paraId="4922F4B9" w14:textId="73095E1D" w:rsidR="007B636F" w:rsidRDefault="00000000">
      <w:pPr>
        <w:spacing w:after="160" w:line="276" w:lineRule="auto"/>
        <w:ind w:firstLine="720"/>
        <w:jc w:val="both"/>
      </w:pPr>
      <w:r>
        <w:lastRenderedPageBreak/>
        <w:t>The experimental results support the conclusion that coupling differentiable physical image formation models with multi-task deep neural networks constitutes the most robust and generalisable approach to edge-connected AUV perception in deep aquatic environments. The consolidation of complementary dataset topographies</w:t>
      </w:r>
      <w:r w:rsidR="004A4731">
        <w:t xml:space="preserve"> - </w:t>
      </w:r>
      <w:r>
        <w:t>spanning controlled underwater and open coastal conditions</w:t>
      </w:r>
      <w:r w:rsidR="004A4731">
        <w:t xml:space="preserve"> - </w:t>
      </w:r>
      <w:r>
        <w:t>effectively resolved the categorical overfitting that has characterised prior work trained on narrower domain-specific corpora.</w:t>
      </w:r>
    </w:p>
    <w:p w14:paraId="5D133492" w14:textId="5ED2C0B1" w:rsidR="007B636F" w:rsidRDefault="00000000">
      <w:pPr>
        <w:spacing w:after="160" w:line="276" w:lineRule="auto"/>
        <w:ind w:firstLine="720"/>
        <w:jc w:val="both"/>
      </w:pPr>
      <w:r>
        <w:t>The comparative architecture analysis presented in Section V further identifies four concrete improvement vectors</w:t>
      </w:r>
      <w:r w:rsidR="004A4731">
        <w:t xml:space="preserve"> - </w:t>
      </w:r>
      <w:r>
        <w:t>NMS-free detection, self-supervised monocular depth, transformer-based backbones, and multimodal acoustic fusion</w:t>
      </w:r>
      <w:r w:rsidR="004A4731">
        <w:t xml:space="preserve"> - </w:t>
      </w:r>
      <w:r>
        <w:t>each of which represents a principled and technically motivated direction for future development. Taken together, these extensions outline a credible roadmap toward an AUV perception system capable of full operational reliability under the complete range of real-world sub-surface conditions.</w:t>
      </w:r>
    </w:p>
    <w:p w14:paraId="44D4BD4D" w14:textId="17920887" w:rsidR="007B636F" w:rsidRDefault="00000000">
      <w:pPr>
        <w:spacing w:after="160" w:line="276" w:lineRule="auto"/>
        <w:ind w:firstLine="720"/>
        <w:jc w:val="both"/>
      </w:pPr>
      <w:r>
        <w:t xml:space="preserve">Three engineering prerequisites for production deployment are identified. First, INT8 Post-Training Quantization should be applied to the exported ONNX model via NVIDIA </w:t>
      </w:r>
      <w:proofErr w:type="spellStart"/>
      <w:r>
        <w:t>TensorRT</w:t>
      </w:r>
      <w:proofErr w:type="spellEnd"/>
      <w:r>
        <w:t xml:space="preserve"> on the target Jetson Orin device; this step is projected to sustain inference throughput </w:t>
      </w:r>
      <w:proofErr w:type="gramStart"/>
      <w:r>
        <w:t>in excess of</w:t>
      </w:r>
      <w:proofErr w:type="gramEnd"/>
      <w:r>
        <w:t xml:space="preserve"> 30 frames per second. Second, the pipeline requires rigorous empirical validation in controlled aquatic test environments under genuine hydrostatic and thermal operating conditions. Third, fusion of parallel IoT sensor streams</w:t>
      </w:r>
      <w:r w:rsidR="004A4731">
        <w:t xml:space="preserve"> - </w:t>
      </w:r>
      <w:r>
        <w:t>including ESP32-sourced water pH telemetry and GPS geolocation</w:t>
      </w:r>
      <w:r w:rsidR="004A4731">
        <w:t xml:space="preserve"> - </w:t>
      </w:r>
      <w:r>
        <w:t>would extend the system toward comprehensive, geo-referenced sub-surface intelligence mapping.</w:t>
      </w:r>
    </w:p>
    <w:p w14:paraId="306EFAE8" w14:textId="77777777" w:rsidR="007B636F" w:rsidRDefault="007B636F">
      <w:pPr>
        <w:spacing w:before="80" w:after="80"/>
      </w:pPr>
    </w:p>
    <w:p w14:paraId="2C9C5825" w14:textId="77777777" w:rsidR="007B636F" w:rsidRDefault="007B636F">
      <w:pPr>
        <w:pBdr>
          <w:bottom w:val="single" w:sz="6" w:space="0" w:color="000000"/>
        </w:pBdr>
        <w:spacing w:before="120" w:after="120"/>
      </w:pPr>
    </w:p>
    <w:p w14:paraId="04EE5052" w14:textId="77777777" w:rsidR="007B636F" w:rsidRDefault="00000000">
      <w:pPr>
        <w:pStyle w:val="Heading1"/>
      </w:pPr>
      <w:r>
        <w:t>References</w:t>
      </w:r>
    </w:p>
    <w:p w14:paraId="458C1B34" w14:textId="77777777" w:rsidR="007B636F" w:rsidRDefault="00000000">
      <w:pPr>
        <w:spacing w:after="120" w:line="276" w:lineRule="auto"/>
        <w:ind w:left="640" w:hanging="640"/>
        <w:jc w:val="both"/>
      </w:pPr>
      <w:r>
        <w:rPr>
          <w:b/>
          <w:bCs/>
        </w:rPr>
        <w:t xml:space="preserve">[1]   </w:t>
      </w:r>
      <w:r>
        <w:t>K. He, J. Sun, and X. Tang, "Single Image Haze Removal Using Dark Channel Prior," IEEE Transactions on Pattern Analysis and Machine Intelligence, vol. 33, no. 12, pp. 2341–2353, Dec. 2010.</w:t>
      </w:r>
    </w:p>
    <w:p w14:paraId="2AFC6352" w14:textId="77777777" w:rsidR="007B636F" w:rsidRDefault="00000000">
      <w:pPr>
        <w:spacing w:after="120" w:line="276" w:lineRule="auto"/>
        <w:ind w:left="640" w:hanging="640"/>
        <w:jc w:val="both"/>
      </w:pPr>
      <w:r>
        <w:rPr>
          <w:b/>
          <w:bCs/>
        </w:rPr>
        <w:t xml:space="preserve">[2]   </w:t>
      </w:r>
      <w:r>
        <w:t xml:space="preserve">G. </w:t>
      </w:r>
      <w:proofErr w:type="spellStart"/>
      <w:r>
        <w:t>Jocher</w:t>
      </w:r>
      <w:proofErr w:type="spellEnd"/>
      <w:r>
        <w:t xml:space="preserve">, A. </w:t>
      </w:r>
      <w:proofErr w:type="spellStart"/>
      <w:r>
        <w:t>Chaurasia</w:t>
      </w:r>
      <w:proofErr w:type="spellEnd"/>
      <w:r>
        <w:t>, and J. Qiu, "</w:t>
      </w:r>
      <w:proofErr w:type="spellStart"/>
      <w:r>
        <w:t>Ultralytics</w:t>
      </w:r>
      <w:proofErr w:type="spellEnd"/>
      <w:r>
        <w:t xml:space="preserve"> YOLO: State-of-the-Art Object Detection," GitHub repository, 2023. [Online]. Available: https://github.com/ultralytics/ultralytics</w:t>
      </w:r>
    </w:p>
    <w:p w14:paraId="2F7B1AEE" w14:textId="77777777" w:rsidR="007B636F" w:rsidRDefault="00000000">
      <w:pPr>
        <w:spacing w:after="120" w:line="276" w:lineRule="auto"/>
        <w:ind w:left="640" w:hanging="640"/>
        <w:jc w:val="both"/>
      </w:pPr>
      <w:r>
        <w:rPr>
          <w:b/>
          <w:bCs/>
        </w:rPr>
        <w:t xml:space="preserve">[3]   </w:t>
      </w:r>
      <w:r>
        <w:t>M. Massot-Campos and G. Oliver-Codina, "Optical Sensors and Methods for Underwater 3D Reconstruction," Sensors, vol. 15, no. 12, pp. 31525–31557, Dec. 2015.</w:t>
      </w:r>
    </w:p>
    <w:p w14:paraId="20C4E3A5" w14:textId="77777777" w:rsidR="007B636F" w:rsidRDefault="00000000">
      <w:pPr>
        <w:spacing w:after="120" w:line="276" w:lineRule="auto"/>
        <w:ind w:left="640" w:hanging="640"/>
        <w:jc w:val="both"/>
      </w:pPr>
      <w:r>
        <w:rPr>
          <w:b/>
          <w:bCs/>
        </w:rPr>
        <w:t xml:space="preserve">[4]   </w:t>
      </w:r>
      <w:r>
        <w:t xml:space="preserve">M. Fulton, J. Hong, M. J. Islam, and J. Sattar, "Trash-ICRA19: A Bounding Box </w:t>
      </w:r>
      <w:proofErr w:type="spellStart"/>
      <w:r>
        <w:t>Labeled</w:t>
      </w:r>
      <w:proofErr w:type="spellEnd"/>
      <w:r>
        <w:t xml:space="preserve"> Dataset of Underwater Trash," in Proc. IEEE International Conference on Robotics and Automation (ICRA), Montreal, QC, Canada, May 2019.</w:t>
      </w:r>
    </w:p>
    <w:p w14:paraId="3C5DF9D9" w14:textId="6ED6F22A" w:rsidR="007B636F" w:rsidRDefault="00000000">
      <w:pPr>
        <w:spacing w:after="120" w:line="276" w:lineRule="auto"/>
        <w:ind w:left="640" w:hanging="640"/>
        <w:jc w:val="both"/>
      </w:pPr>
      <w:r>
        <w:rPr>
          <w:b/>
          <w:bCs/>
        </w:rPr>
        <w:t xml:space="preserve">[5]   </w:t>
      </w:r>
      <w:r>
        <w:t xml:space="preserve">P. F. </w:t>
      </w:r>
      <w:proofErr w:type="spellStart"/>
      <w:r>
        <w:t>Proença</w:t>
      </w:r>
      <w:proofErr w:type="spellEnd"/>
      <w:r>
        <w:t xml:space="preserve"> and P. </w:t>
      </w:r>
      <w:proofErr w:type="spellStart"/>
      <w:r>
        <w:t>Simões</w:t>
      </w:r>
      <w:proofErr w:type="spellEnd"/>
      <w:r>
        <w:t xml:space="preserve">, "TACO: Trash Annotations in Context for Litter Detection," </w:t>
      </w:r>
      <w:proofErr w:type="spellStart"/>
      <w:r>
        <w:t>arXiv</w:t>
      </w:r>
      <w:proofErr w:type="spellEnd"/>
      <w:r>
        <w:t xml:space="preserve"> preprint arXiv:2003.06975, Mar. 2020.</w:t>
      </w:r>
    </w:p>
    <w:p w14:paraId="101EAABE" w14:textId="66519D49" w:rsidR="005244A4" w:rsidRDefault="005244A4">
      <w:pPr>
        <w:spacing w:after="120" w:line="276" w:lineRule="auto"/>
        <w:ind w:left="640" w:hanging="640"/>
        <w:jc w:val="both"/>
      </w:pPr>
      <w:r>
        <w:t>github(</w:t>
      </w:r>
      <w:r w:rsidRPr="005244A4">
        <w:t>https://github.com/Disfyy/AquaDet</w:t>
      </w:r>
      <w:r>
        <w:t>)</w:t>
      </w:r>
    </w:p>
    <w:p w14:paraId="7C46C98D" w14:textId="77777777" w:rsidR="007B636F" w:rsidRDefault="007B636F">
      <w:pPr>
        <w:spacing w:before="80" w:after="80"/>
      </w:pPr>
    </w:p>
    <w:p w14:paraId="42AF309E" w14:textId="77777777" w:rsidR="007B636F" w:rsidRDefault="007B636F">
      <w:pPr>
        <w:pBdr>
          <w:bottom w:val="single" w:sz="6" w:space="0" w:color="000000"/>
        </w:pBdr>
        <w:spacing w:before="120" w:after="120"/>
      </w:pPr>
    </w:p>
    <w:p w14:paraId="55E8E3C1" w14:textId="77777777" w:rsidR="007B636F" w:rsidRDefault="00000000">
      <w:pPr>
        <w:pStyle w:val="Heading1"/>
      </w:pPr>
      <w:r>
        <w:t>Mentor’s Review</w:t>
      </w:r>
    </w:p>
    <w:p w14:paraId="62765274" w14:textId="77777777" w:rsidR="007B636F" w:rsidRDefault="007B636F">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B636F" w14:paraId="01C4F690" w14:textId="77777777">
        <w:tc>
          <w:tcPr>
            <w:tcW w:w="2400" w:type="dxa"/>
            <w:tcBorders>
              <w:top w:val="single" w:sz="2" w:space="0" w:color="999999"/>
              <w:left w:val="single" w:sz="2" w:space="0" w:color="999999"/>
              <w:bottom w:val="single" w:sz="2" w:space="0" w:color="999999"/>
              <w:right w:val="single" w:sz="2" w:space="0" w:color="999999"/>
            </w:tcBorders>
            <w:shd w:val="clear" w:color="auto" w:fill="F5F5F5"/>
            <w:tcMar>
              <w:top w:w="120" w:type="dxa"/>
              <w:left w:w="160" w:type="dxa"/>
              <w:bottom w:w="120" w:type="dxa"/>
              <w:right w:w="160" w:type="dxa"/>
            </w:tcMar>
          </w:tcPr>
          <w:p w14:paraId="70462931" w14:textId="77777777" w:rsidR="007B636F" w:rsidRDefault="00000000">
            <w:r>
              <w:rPr>
                <w:b/>
                <w:bCs/>
              </w:rPr>
              <w:t>Relevance of the Topic</w:t>
            </w:r>
          </w:p>
        </w:tc>
        <w:tc>
          <w:tcPr>
            <w:tcW w:w="6960" w:type="dxa"/>
            <w:tcBorders>
              <w:top w:val="single" w:sz="2" w:space="0" w:color="999999"/>
              <w:left w:val="single" w:sz="2" w:space="0" w:color="999999"/>
              <w:bottom w:val="single" w:sz="2" w:space="0" w:color="999999"/>
              <w:right w:val="single" w:sz="2" w:space="0" w:color="999999"/>
            </w:tcBorders>
            <w:tcMar>
              <w:top w:w="120" w:type="dxa"/>
              <w:left w:w="160" w:type="dxa"/>
              <w:bottom w:w="120" w:type="dxa"/>
              <w:right w:w="160" w:type="dxa"/>
            </w:tcMar>
          </w:tcPr>
          <w:p w14:paraId="4EA74312" w14:textId="5A908A85" w:rsidR="007B636F" w:rsidRDefault="00000000">
            <w:pPr>
              <w:jc w:val="both"/>
            </w:pPr>
            <w:r>
              <w:t>The work addresses a scientifically well-motivated and practically significant research problem. The identification of structured underwater optical degradation as the primary failure mode of existing detection systems</w:t>
            </w:r>
            <w:r w:rsidR="004A4731">
              <w:t xml:space="preserve"> - </w:t>
            </w:r>
            <w:r>
              <w:t>and the principled decision to model this degradation through an explicit physical inversion rather than statistical approximation</w:t>
            </w:r>
            <w:r w:rsidR="004A4731">
              <w:t xml:space="preserve"> - </w:t>
            </w:r>
            <w:r>
              <w:t>reflects sound and original scientific reasoning. The research constructs a technically credible engineering pathway toward continuous, automated sub-surface debris mapping.</w:t>
            </w:r>
          </w:p>
        </w:tc>
      </w:tr>
      <w:tr w:rsidR="007B636F" w14:paraId="71ECBF67" w14:textId="77777777">
        <w:tc>
          <w:tcPr>
            <w:tcW w:w="2400" w:type="dxa"/>
            <w:tcBorders>
              <w:top w:val="single" w:sz="2" w:space="0" w:color="999999"/>
              <w:left w:val="single" w:sz="2" w:space="0" w:color="999999"/>
              <w:bottom w:val="single" w:sz="2" w:space="0" w:color="999999"/>
              <w:right w:val="single" w:sz="2" w:space="0" w:color="999999"/>
            </w:tcBorders>
            <w:shd w:val="clear" w:color="auto" w:fill="F5F5F5"/>
            <w:tcMar>
              <w:top w:w="120" w:type="dxa"/>
              <w:left w:w="160" w:type="dxa"/>
              <w:bottom w:w="120" w:type="dxa"/>
              <w:right w:w="160" w:type="dxa"/>
            </w:tcMar>
          </w:tcPr>
          <w:p w14:paraId="7C33B0CD" w14:textId="77777777" w:rsidR="007B636F" w:rsidRDefault="00000000">
            <w:r>
              <w:rPr>
                <w:b/>
                <w:bCs/>
              </w:rPr>
              <w:t>Author’s Personal Contribution</w:t>
            </w:r>
          </w:p>
        </w:tc>
        <w:tc>
          <w:tcPr>
            <w:tcW w:w="6960" w:type="dxa"/>
            <w:tcBorders>
              <w:top w:val="single" w:sz="2" w:space="0" w:color="999999"/>
              <w:left w:val="single" w:sz="2" w:space="0" w:color="999999"/>
              <w:bottom w:val="single" w:sz="2" w:space="0" w:color="999999"/>
              <w:right w:val="single" w:sz="2" w:space="0" w:color="999999"/>
            </w:tcBorders>
            <w:tcMar>
              <w:top w:w="120" w:type="dxa"/>
              <w:left w:w="160" w:type="dxa"/>
              <w:bottom w:w="120" w:type="dxa"/>
              <w:right w:w="160" w:type="dxa"/>
            </w:tcMar>
          </w:tcPr>
          <w:p w14:paraId="6612950B" w14:textId="77777777" w:rsidR="007B636F" w:rsidRDefault="00000000">
            <w:pPr>
              <w:jc w:val="both"/>
            </w:pPr>
            <w:r>
              <w:t>The principal investigator maintained full independent control over all stages of system design and implementation, including the dataset aggregation pipeline, the formulation and integration of the PI-GE physics module within a differentiable training framework, and the architectural upgrade from planar depth regression to an ASPP-based multi-scale depth head. The embedding of the physical image formation inversion within an end-to-end trainable forward pass represents a genuine and non-trivial technical contribution.</w:t>
            </w:r>
          </w:p>
        </w:tc>
      </w:tr>
      <w:tr w:rsidR="007B636F" w14:paraId="47756282" w14:textId="77777777">
        <w:tc>
          <w:tcPr>
            <w:tcW w:w="2400" w:type="dxa"/>
            <w:tcBorders>
              <w:top w:val="single" w:sz="2" w:space="0" w:color="999999"/>
              <w:left w:val="single" w:sz="2" w:space="0" w:color="999999"/>
              <w:bottom w:val="single" w:sz="2" w:space="0" w:color="999999"/>
              <w:right w:val="single" w:sz="2" w:space="0" w:color="999999"/>
            </w:tcBorders>
            <w:shd w:val="clear" w:color="auto" w:fill="F5F5F5"/>
            <w:tcMar>
              <w:top w:w="120" w:type="dxa"/>
              <w:left w:w="160" w:type="dxa"/>
              <w:bottom w:w="120" w:type="dxa"/>
              <w:right w:w="160" w:type="dxa"/>
            </w:tcMar>
          </w:tcPr>
          <w:p w14:paraId="2277CEA7" w14:textId="77777777" w:rsidR="007B636F" w:rsidRDefault="00000000">
            <w:r>
              <w:rPr>
                <w:b/>
                <w:bCs/>
              </w:rPr>
              <w:t>Shortcomings</w:t>
            </w:r>
          </w:p>
        </w:tc>
        <w:tc>
          <w:tcPr>
            <w:tcW w:w="6960" w:type="dxa"/>
            <w:tcBorders>
              <w:top w:val="single" w:sz="2" w:space="0" w:color="999999"/>
              <w:left w:val="single" w:sz="2" w:space="0" w:color="999999"/>
              <w:bottom w:val="single" w:sz="2" w:space="0" w:color="999999"/>
              <w:right w:val="single" w:sz="2" w:space="0" w:color="999999"/>
            </w:tcBorders>
            <w:tcMar>
              <w:top w:w="120" w:type="dxa"/>
              <w:left w:w="160" w:type="dxa"/>
              <w:bottom w:w="120" w:type="dxa"/>
              <w:right w:w="160" w:type="dxa"/>
            </w:tcMar>
          </w:tcPr>
          <w:p w14:paraId="693F9649" w14:textId="77777777" w:rsidR="007B636F" w:rsidRDefault="00000000">
            <w:pPr>
              <w:jc w:val="both"/>
            </w:pPr>
            <w:r>
              <w:t>The system has been evaluated exclusively within simulated computational environments on cloud-hosted GPU infrastructure. Real-world performance under genuine hydrostatic pressure gradients, thermal boundary drift, uncontrolled hydrodynamic motion, and embedded hardware constraints remains uncharacterised. This constitutes the principal outstanding gap between the current research stage and verified operational readiness.</w:t>
            </w:r>
          </w:p>
        </w:tc>
      </w:tr>
      <w:tr w:rsidR="007B636F" w14:paraId="4EDCDC29" w14:textId="77777777">
        <w:tc>
          <w:tcPr>
            <w:tcW w:w="2400" w:type="dxa"/>
            <w:tcBorders>
              <w:top w:val="single" w:sz="2" w:space="0" w:color="999999"/>
              <w:left w:val="single" w:sz="2" w:space="0" w:color="999999"/>
              <w:bottom w:val="single" w:sz="2" w:space="0" w:color="999999"/>
              <w:right w:val="single" w:sz="2" w:space="0" w:color="999999"/>
            </w:tcBorders>
            <w:shd w:val="clear" w:color="auto" w:fill="F5F5F5"/>
            <w:tcMar>
              <w:top w:w="120" w:type="dxa"/>
              <w:left w:w="160" w:type="dxa"/>
              <w:bottom w:w="120" w:type="dxa"/>
              <w:right w:w="160" w:type="dxa"/>
            </w:tcMar>
          </w:tcPr>
          <w:p w14:paraId="7D50F5F5" w14:textId="77777777" w:rsidR="007B636F" w:rsidRDefault="00000000">
            <w:r>
              <w:rPr>
                <w:b/>
                <w:bCs/>
              </w:rPr>
              <w:t>Recommendations</w:t>
            </w:r>
          </w:p>
        </w:tc>
        <w:tc>
          <w:tcPr>
            <w:tcW w:w="6960" w:type="dxa"/>
            <w:tcBorders>
              <w:top w:val="single" w:sz="2" w:space="0" w:color="999999"/>
              <w:left w:val="single" w:sz="2" w:space="0" w:color="999999"/>
              <w:bottom w:val="single" w:sz="2" w:space="0" w:color="999999"/>
              <w:right w:val="single" w:sz="2" w:space="0" w:color="999999"/>
            </w:tcBorders>
            <w:tcMar>
              <w:top w:w="120" w:type="dxa"/>
              <w:left w:w="160" w:type="dxa"/>
              <w:bottom w:w="120" w:type="dxa"/>
              <w:right w:w="160" w:type="dxa"/>
            </w:tcMar>
          </w:tcPr>
          <w:p w14:paraId="25F8A4F4" w14:textId="08EB5BA8" w:rsidR="007B636F" w:rsidRDefault="00000000">
            <w:pPr>
              <w:jc w:val="both"/>
            </w:pPr>
            <w:r>
              <w:t>The immediate research priority should be the transition to hardware field validation. Specifically, deployment of the quantised model on a physical NVIDIA Jetson Orin unit within an instrumented aquatic test environment</w:t>
            </w:r>
            <w:r w:rsidR="004A4731">
              <w:t xml:space="preserve"> - </w:t>
            </w:r>
            <w:r>
              <w:t>with calibrated external optical inputs</w:t>
            </w:r>
            <w:r w:rsidR="004A4731">
              <w:t xml:space="preserve"> - </w:t>
            </w:r>
            <w:r>
              <w:t>is necessary to establish end-to-end system robustness under conditions not representable in simulation, and to empirically validate real-time inference latency under embedded operating constraints.</w:t>
            </w:r>
          </w:p>
        </w:tc>
      </w:tr>
    </w:tbl>
    <w:p w14:paraId="09F70197" w14:textId="77777777" w:rsidR="007B636F" w:rsidRDefault="007B636F">
      <w:pPr>
        <w:spacing w:before="24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7B636F" w14:paraId="74F30B83" w14:textId="77777777">
        <w:tc>
          <w:tcPr>
            <w:tcW w:w="4500" w:type="dxa"/>
            <w:tcMar>
              <w:top w:w="80" w:type="dxa"/>
              <w:left w:w="0" w:type="dxa"/>
              <w:bottom w:w="80" w:type="dxa"/>
              <w:right w:w="400" w:type="dxa"/>
            </w:tcMar>
          </w:tcPr>
          <w:p w14:paraId="6404B886" w14:textId="77777777" w:rsidR="007B636F" w:rsidRDefault="00000000">
            <w:pPr>
              <w:spacing w:after="80"/>
            </w:pPr>
            <w:r>
              <w:rPr>
                <w:color w:val="555555"/>
                <w:sz w:val="22"/>
                <w:szCs w:val="22"/>
              </w:rPr>
              <w:t>Mentor Name / Signature:</w:t>
            </w:r>
          </w:p>
          <w:p w14:paraId="2427CF23" w14:textId="4997A398" w:rsidR="007B636F" w:rsidRPr="005244A4" w:rsidRDefault="00000000">
            <w:pPr>
              <w:pBdr>
                <w:bottom w:val="single" w:sz="4" w:space="0" w:color="000000"/>
              </w:pBdr>
            </w:pPr>
            <w:r>
              <w:rPr>
                <w:sz w:val="48"/>
                <w:szCs w:val="48"/>
              </w:rPr>
              <w:t xml:space="preserve"> </w:t>
            </w:r>
            <w:proofErr w:type="spellStart"/>
            <w:r w:rsidR="005244A4" w:rsidRPr="005244A4">
              <w:t>Uzakbayev</w:t>
            </w:r>
            <w:proofErr w:type="spellEnd"/>
            <w:r w:rsidR="005244A4" w:rsidRPr="005244A4">
              <w:t xml:space="preserve"> Nurlybay</w:t>
            </w:r>
          </w:p>
        </w:tc>
        <w:tc>
          <w:tcPr>
            <w:tcW w:w="4860" w:type="dxa"/>
            <w:tcMar>
              <w:top w:w="80" w:type="dxa"/>
              <w:left w:w="400" w:type="dxa"/>
              <w:bottom w:w="80" w:type="dxa"/>
              <w:right w:w="0" w:type="dxa"/>
            </w:tcMar>
          </w:tcPr>
          <w:p w14:paraId="26423F1E" w14:textId="77777777" w:rsidR="007B636F" w:rsidRDefault="00000000">
            <w:pPr>
              <w:spacing w:after="80"/>
            </w:pPr>
            <w:r>
              <w:rPr>
                <w:color w:val="555555"/>
                <w:sz w:val="22"/>
                <w:szCs w:val="22"/>
              </w:rPr>
              <w:t>Date:</w:t>
            </w:r>
          </w:p>
          <w:p w14:paraId="567C2DBA" w14:textId="16BDF22B" w:rsidR="007B636F" w:rsidRPr="005244A4" w:rsidRDefault="00000000">
            <w:pPr>
              <w:pBdr>
                <w:bottom w:val="single" w:sz="4" w:space="0" w:color="000000"/>
              </w:pBdr>
            </w:pPr>
            <w:r>
              <w:rPr>
                <w:sz w:val="48"/>
                <w:szCs w:val="48"/>
              </w:rPr>
              <w:t xml:space="preserve"> </w:t>
            </w:r>
            <w:r w:rsidR="005244A4" w:rsidRPr="005244A4">
              <w:t>27.03.26</w:t>
            </w:r>
          </w:p>
        </w:tc>
      </w:tr>
    </w:tbl>
    <w:p w14:paraId="2B0DA3B7" w14:textId="77777777" w:rsidR="00ED4BB8" w:rsidRDefault="00ED4BB8"/>
    <w:sectPr w:rsidR="00ED4BB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174DC" w14:textId="77777777" w:rsidR="00E41AFD" w:rsidRDefault="00E41AFD">
      <w:r>
        <w:separator/>
      </w:r>
    </w:p>
  </w:endnote>
  <w:endnote w:type="continuationSeparator" w:id="0">
    <w:p w14:paraId="66BCD3B3" w14:textId="77777777" w:rsidR="00E41AFD" w:rsidRDefault="00E41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D1E5C" w14:textId="77777777" w:rsidR="007B636F" w:rsidRDefault="00000000">
    <w:pPr>
      <w:pBdr>
        <w:top w:val="single" w:sz="2" w:space="0" w:color="999999"/>
      </w:pBdr>
      <w:spacing w:before="80"/>
      <w:jc w:val="center"/>
    </w:pPr>
    <w:r>
      <w:rPr>
        <w:color w:val="555555"/>
        <w:sz w:val="20"/>
        <w:szCs w:val="20"/>
      </w:rPr>
      <w:fldChar w:fldCharType="begin"/>
    </w:r>
    <w:r>
      <w:rPr>
        <w:color w:val="555555"/>
        <w:sz w:val="20"/>
        <w:szCs w:val="20"/>
      </w:rPr>
      <w:instrText>PAGE</w:instrText>
    </w:r>
    <w:r>
      <w:rPr>
        <w:color w:val="555555"/>
        <w:sz w:val="20"/>
        <w:szCs w:val="20"/>
      </w:rPr>
      <w:fldChar w:fldCharType="separate"/>
    </w:r>
    <w:r w:rsidR="004A4731">
      <w:rPr>
        <w:noProof/>
        <w:color w:val="555555"/>
        <w:sz w:val="20"/>
        <w:szCs w:val="20"/>
      </w:rPr>
      <w:t>1</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7DFDC" w14:textId="77777777" w:rsidR="00E41AFD" w:rsidRDefault="00E41AFD">
      <w:r>
        <w:separator/>
      </w:r>
    </w:p>
  </w:footnote>
  <w:footnote w:type="continuationSeparator" w:id="0">
    <w:p w14:paraId="1C80D14E" w14:textId="77777777" w:rsidR="00E41AFD" w:rsidRDefault="00E41A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979DB"/>
    <w:multiLevelType w:val="hybridMultilevel"/>
    <w:tmpl w:val="5568E0D6"/>
    <w:lvl w:ilvl="0" w:tplc="1A847CAA">
      <w:start w:val="1"/>
      <w:numFmt w:val="bullet"/>
      <w:lvlText w:val="◦"/>
      <w:lvlJc w:val="left"/>
      <w:pPr>
        <w:ind w:left="1440" w:hanging="440"/>
      </w:pPr>
    </w:lvl>
    <w:lvl w:ilvl="1" w:tplc="F8D6BE8E">
      <w:numFmt w:val="decimal"/>
      <w:lvlText w:val=""/>
      <w:lvlJc w:val="left"/>
    </w:lvl>
    <w:lvl w:ilvl="2" w:tplc="F3FA5B2C">
      <w:numFmt w:val="decimal"/>
      <w:lvlText w:val=""/>
      <w:lvlJc w:val="left"/>
    </w:lvl>
    <w:lvl w:ilvl="3" w:tplc="08029294">
      <w:numFmt w:val="decimal"/>
      <w:lvlText w:val=""/>
      <w:lvlJc w:val="left"/>
    </w:lvl>
    <w:lvl w:ilvl="4" w:tplc="AF18E0E2">
      <w:numFmt w:val="decimal"/>
      <w:lvlText w:val=""/>
      <w:lvlJc w:val="left"/>
    </w:lvl>
    <w:lvl w:ilvl="5" w:tplc="BABEB90A">
      <w:numFmt w:val="decimal"/>
      <w:lvlText w:val=""/>
      <w:lvlJc w:val="left"/>
    </w:lvl>
    <w:lvl w:ilvl="6" w:tplc="43407666">
      <w:numFmt w:val="decimal"/>
      <w:lvlText w:val=""/>
      <w:lvlJc w:val="left"/>
    </w:lvl>
    <w:lvl w:ilvl="7" w:tplc="8C5AC088">
      <w:numFmt w:val="decimal"/>
      <w:lvlText w:val=""/>
      <w:lvlJc w:val="left"/>
    </w:lvl>
    <w:lvl w:ilvl="8" w:tplc="9B1E364E">
      <w:numFmt w:val="decimal"/>
      <w:lvlText w:val=""/>
      <w:lvlJc w:val="left"/>
    </w:lvl>
  </w:abstractNum>
  <w:abstractNum w:abstractNumId="1" w15:restartNumberingAfterBreak="0">
    <w:nsid w:val="3F9C0C8E"/>
    <w:multiLevelType w:val="hybridMultilevel"/>
    <w:tmpl w:val="B9661686"/>
    <w:lvl w:ilvl="0" w:tplc="66B47B74">
      <w:start w:val="1"/>
      <w:numFmt w:val="bullet"/>
      <w:lvlText w:val="–"/>
      <w:lvlJc w:val="left"/>
      <w:pPr>
        <w:ind w:left="880" w:hanging="440"/>
      </w:pPr>
    </w:lvl>
    <w:lvl w:ilvl="1" w:tplc="79A2D0B8">
      <w:numFmt w:val="decimal"/>
      <w:lvlText w:val=""/>
      <w:lvlJc w:val="left"/>
    </w:lvl>
    <w:lvl w:ilvl="2" w:tplc="D0B656AA">
      <w:numFmt w:val="decimal"/>
      <w:lvlText w:val=""/>
      <w:lvlJc w:val="left"/>
    </w:lvl>
    <w:lvl w:ilvl="3" w:tplc="35324B78">
      <w:numFmt w:val="decimal"/>
      <w:lvlText w:val=""/>
      <w:lvlJc w:val="left"/>
    </w:lvl>
    <w:lvl w:ilvl="4" w:tplc="B2B2F5EC">
      <w:numFmt w:val="decimal"/>
      <w:lvlText w:val=""/>
      <w:lvlJc w:val="left"/>
    </w:lvl>
    <w:lvl w:ilvl="5" w:tplc="E486958C">
      <w:numFmt w:val="decimal"/>
      <w:lvlText w:val=""/>
      <w:lvlJc w:val="left"/>
    </w:lvl>
    <w:lvl w:ilvl="6" w:tplc="C8088DC4">
      <w:numFmt w:val="decimal"/>
      <w:lvlText w:val=""/>
      <w:lvlJc w:val="left"/>
    </w:lvl>
    <w:lvl w:ilvl="7" w:tplc="FB7EBDF0">
      <w:numFmt w:val="decimal"/>
      <w:lvlText w:val=""/>
      <w:lvlJc w:val="left"/>
    </w:lvl>
    <w:lvl w:ilvl="8" w:tplc="384C0DAC">
      <w:numFmt w:val="decimal"/>
      <w:lvlText w:val=""/>
      <w:lvlJc w:val="left"/>
    </w:lvl>
  </w:abstractNum>
  <w:abstractNum w:abstractNumId="2" w15:restartNumberingAfterBreak="0">
    <w:nsid w:val="4C8F5578"/>
    <w:multiLevelType w:val="hybridMultilevel"/>
    <w:tmpl w:val="6AF8033C"/>
    <w:lvl w:ilvl="0" w:tplc="98963F5C">
      <w:start w:val="1"/>
      <w:numFmt w:val="decimal"/>
      <w:lvlText w:val="%1."/>
      <w:lvlJc w:val="left"/>
      <w:pPr>
        <w:ind w:left="880" w:hanging="440"/>
      </w:pPr>
    </w:lvl>
    <w:lvl w:ilvl="1" w:tplc="08027722">
      <w:numFmt w:val="decimal"/>
      <w:lvlText w:val=""/>
      <w:lvlJc w:val="left"/>
    </w:lvl>
    <w:lvl w:ilvl="2" w:tplc="C3CAB110">
      <w:numFmt w:val="decimal"/>
      <w:lvlText w:val=""/>
      <w:lvlJc w:val="left"/>
    </w:lvl>
    <w:lvl w:ilvl="3" w:tplc="33F4A600">
      <w:numFmt w:val="decimal"/>
      <w:lvlText w:val=""/>
      <w:lvlJc w:val="left"/>
    </w:lvl>
    <w:lvl w:ilvl="4" w:tplc="B93806FA">
      <w:numFmt w:val="decimal"/>
      <w:lvlText w:val=""/>
      <w:lvlJc w:val="left"/>
    </w:lvl>
    <w:lvl w:ilvl="5" w:tplc="F3940F3E">
      <w:numFmt w:val="decimal"/>
      <w:lvlText w:val=""/>
      <w:lvlJc w:val="left"/>
    </w:lvl>
    <w:lvl w:ilvl="6" w:tplc="35E04E42">
      <w:numFmt w:val="decimal"/>
      <w:lvlText w:val=""/>
      <w:lvlJc w:val="left"/>
    </w:lvl>
    <w:lvl w:ilvl="7" w:tplc="C4AC9012">
      <w:numFmt w:val="decimal"/>
      <w:lvlText w:val=""/>
      <w:lvlJc w:val="left"/>
    </w:lvl>
    <w:lvl w:ilvl="8" w:tplc="698CB79A">
      <w:numFmt w:val="decimal"/>
      <w:lvlText w:val=""/>
      <w:lvlJc w:val="left"/>
    </w:lvl>
  </w:abstractNum>
  <w:abstractNum w:abstractNumId="3" w15:restartNumberingAfterBreak="0">
    <w:nsid w:val="5C9F0B5D"/>
    <w:multiLevelType w:val="hybridMultilevel"/>
    <w:tmpl w:val="250CA940"/>
    <w:lvl w:ilvl="0" w:tplc="6EE4C230">
      <w:start w:val="1"/>
      <w:numFmt w:val="bullet"/>
      <w:lvlText w:val="●"/>
      <w:lvlJc w:val="left"/>
      <w:pPr>
        <w:ind w:left="720" w:hanging="360"/>
      </w:pPr>
    </w:lvl>
    <w:lvl w:ilvl="1" w:tplc="3E8AA066">
      <w:start w:val="1"/>
      <w:numFmt w:val="bullet"/>
      <w:lvlText w:val="○"/>
      <w:lvlJc w:val="left"/>
      <w:pPr>
        <w:ind w:left="1440" w:hanging="360"/>
      </w:pPr>
    </w:lvl>
    <w:lvl w:ilvl="2" w:tplc="D0B8BC78">
      <w:start w:val="1"/>
      <w:numFmt w:val="bullet"/>
      <w:lvlText w:val="■"/>
      <w:lvlJc w:val="left"/>
      <w:pPr>
        <w:ind w:left="2160" w:hanging="360"/>
      </w:pPr>
    </w:lvl>
    <w:lvl w:ilvl="3" w:tplc="C37AC5B4">
      <w:start w:val="1"/>
      <w:numFmt w:val="bullet"/>
      <w:lvlText w:val="●"/>
      <w:lvlJc w:val="left"/>
      <w:pPr>
        <w:ind w:left="2880" w:hanging="360"/>
      </w:pPr>
    </w:lvl>
    <w:lvl w:ilvl="4" w:tplc="335238C2">
      <w:start w:val="1"/>
      <w:numFmt w:val="bullet"/>
      <w:lvlText w:val="○"/>
      <w:lvlJc w:val="left"/>
      <w:pPr>
        <w:ind w:left="3600" w:hanging="360"/>
      </w:pPr>
    </w:lvl>
    <w:lvl w:ilvl="5" w:tplc="CBAE5444">
      <w:start w:val="1"/>
      <w:numFmt w:val="bullet"/>
      <w:lvlText w:val="■"/>
      <w:lvlJc w:val="left"/>
      <w:pPr>
        <w:ind w:left="4320" w:hanging="360"/>
      </w:pPr>
    </w:lvl>
    <w:lvl w:ilvl="6" w:tplc="3E4671D0">
      <w:start w:val="1"/>
      <w:numFmt w:val="bullet"/>
      <w:lvlText w:val="●"/>
      <w:lvlJc w:val="left"/>
      <w:pPr>
        <w:ind w:left="5040" w:hanging="360"/>
      </w:pPr>
    </w:lvl>
    <w:lvl w:ilvl="7" w:tplc="C030A106">
      <w:start w:val="1"/>
      <w:numFmt w:val="bullet"/>
      <w:lvlText w:val="●"/>
      <w:lvlJc w:val="left"/>
      <w:pPr>
        <w:ind w:left="5760" w:hanging="360"/>
      </w:pPr>
    </w:lvl>
    <w:lvl w:ilvl="8" w:tplc="EF1C8E1E">
      <w:start w:val="1"/>
      <w:numFmt w:val="bullet"/>
      <w:lvlText w:val="●"/>
      <w:lvlJc w:val="left"/>
      <w:pPr>
        <w:ind w:left="6480" w:hanging="360"/>
      </w:pPr>
    </w:lvl>
  </w:abstractNum>
  <w:num w:numId="1" w16cid:durableId="1400128209">
    <w:abstractNumId w:val="3"/>
    <w:lvlOverride w:ilvl="0">
      <w:startOverride w:val="1"/>
    </w:lvlOverride>
  </w:num>
  <w:num w:numId="2" w16cid:durableId="1849102994">
    <w:abstractNumId w:val="2"/>
    <w:lvlOverride w:ilvl="0">
      <w:startOverride w:val="1"/>
    </w:lvlOverride>
  </w:num>
  <w:num w:numId="3" w16cid:durableId="1511406567">
    <w:abstractNumId w:val="1"/>
    <w:lvlOverride w:ilvl="0">
      <w:startOverride w:val="1"/>
    </w:lvlOverride>
  </w:num>
  <w:num w:numId="4" w16cid:durableId="565333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36F"/>
    <w:rsid w:val="004A4731"/>
    <w:rsid w:val="00517317"/>
    <w:rsid w:val="005244A4"/>
    <w:rsid w:val="007B636F"/>
    <w:rsid w:val="00E34C3B"/>
    <w:rsid w:val="00E41AFD"/>
    <w:rsid w:val="00ED4B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81495A"/>
  <w15:docId w15:val="{A554520C-091C-0742-839A-65CF2A71C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aps/>
    </w:rPr>
  </w:style>
  <w:style w:type="paragraph" w:styleId="Heading2">
    <w:name w:val="heading 2"/>
    <w:uiPriority w:val="9"/>
    <w:unhideWhenUsed/>
    <w:qFormat/>
    <w:pPr>
      <w:spacing w:before="240" w:after="12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3835</Words>
  <Characters>21860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Нурланов Улан</cp:lastModifiedBy>
  <cp:revision>3</cp:revision>
  <dcterms:created xsi:type="dcterms:W3CDTF">2026-03-28T12:27:00Z</dcterms:created>
  <dcterms:modified xsi:type="dcterms:W3CDTF">2026-03-28T18:51:00Z</dcterms:modified>
</cp:coreProperties>
</file>