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Times New Roman" w:cs="Times New Roman" w:eastAsia="Times New Roman" w:hAnsi="Times New Roman"/>
          <w:b/>
          <w:bCs/>
          <w:color w:val="000000"/>
          <w:sz w:val="28"/>
          <w:szCs w:val="28"/>
        </w:rPr>
        <w:t xml:space="preserve">AquaDet: An Edge AI System for Underwater Waste Detection,</w:t>
      </w:r>
    </w:p>
    <w:p>
      <w:pPr>
        <w:spacing w:before="0" w:after="200"/>
        <w:jc w:val="center"/>
      </w:pPr>
      <w:r>
        <w:rPr>
          <w:rFonts w:ascii="Times New Roman" w:cs="Times New Roman" w:eastAsia="Times New Roman" w:hAnsi="Times New Roman"/>
          <w:b/>
          <w:bCs/>
          <w:color w:val="000000"/>
          <w:sz w:val="28"/>
          <w:szCs w:val="28"/>
        </w:rPr>
        <w:t xml:space="preserve">Size Estimation, and Physical Image Geometry Enhancement</w:t>
      </w:r>
    </w:p>
    <w:p>
      <w:pPr>
        <w:pBdr>
          <w:bottom w:val="single" w:color="000000" w:sz="1"/>
        </w:pBdr>
        <w:spacing w:before="80" w:after="80"/>
      </w:pPr>
    </w:p>
    <w:p>
      <w:pPr>
        <w:spacing w:before="60" w:after="60"/>
      </w:pPr>
    </w:p>
    <w:p>
      <w:pPr>
        <w:spacing w:before="0" w:after="100"/>
        <w:jc w:val="center"/>
      </w:pPr>
      <w:r>
        <w:rPr>
          <w:rFonts w:ascii="Times New Roman" w:cs="Times New Roman" w:eastAsia="Times New Roman" w:hAnsi="Times New Roman"/>
          <w:b/>
          <w:bCs/>
          <w:i/>
          <w:iCs/>
          <w:color w:val="000000"/>
          <w:sz w:val="22"/>
          <w:szCs w:val="22"/>
        </w:rPr>
        <w:t xml:space="preserve">Abstract</w:t>
      </w:r>
    </w:p>
    <w:p>
      <w:pPr>
        <w:spacing w:before="0" w:after="140" w:line="264"/>
        <w:jc w:val="both"/>
      </w:pPr>
      <w:r>
        <w:rPr>
          <w:rFonts w:ascii="Times New Roman" w:cs="Times New Roman" w:eastAsia="Times New Roman" w:hAnsi="Times New Roman"/>
          <w:color w:val="111111"/>
          <w:sz w:val="22"/>
          <w:szCs w:val="22"/>
        </w:rPr>
        <w:t xml:space="preserve">Aquatic macro-plastic and organic waste represents a critical and growing ecological hazard, with over 8 million metric tons of plastic entering ocean and river systems annually. This paper presents AquaDet, a multidisciplinary Edge AI framework designed for the autonomous detection, tracking, and dimensional measurement of underwater debris on resource-constrained embedded hardware, specifically the NVIDIA Jetson Orin. The central contribution of this work is the Physical-Image-Geometry Enhancement (PI-GE) module — a differentiable physics-based pre-processing stage that inverts the standard underwater image formation model to restore optically degraded input frames prior to neural feature extraction. PI-GE is coupled with an Atrous Spatial Pyramid Pooling (ASPP) multi-task head that simultaneously predicts bounding boxes, semantic segmentation masks, and monocular depth maps, from which absolute real-world object dimensions are derived via the pinhole camera formula. Training was performed on a consolidated benchmark merging the Trash-ICRA19 and TACO datasets into four macro-classes — plastic, metal, organic, and microplastic — using Automatic Mixed Precision on cloud-based NVIDIA GPU infrastructure. Experimental evaluation demonstrates a 35% improvement in Mean Average Precision (mAP@50) under severe turbidity conditions relative to unmodified convolutional baselines, with monocular size estimates accurate to within ±15% of ground truth. These results establish AquaDet as a computationally viable perception module for AUV-based robotic waste collection systems.</w:t>
      </w:r>
    </w:p>
    <w:p>
      <w:pPr>
        <w:spacing w:before="0" w:after="0" w:line="264"/>
        <w:jc w:val="both"/>
      </w:pPr>
      <w:r>
        <w:rPr>
          <w:rFonts w:ascii="Times New Roman" w:cs="Times New Roman" w:eastAsia="Times New Roman" w:hAnsi="Times New Roman"/>
          <w:b/>
          <w:bCs/>
          <w:i/>
          <w:iCs/>
          <w:color w:val="000000"/>
          <w:sz w:val="22"/>
          <w:szCs w:val="22"/>
        </w:rPr>
        <w:t xml:space="preserve">Keywords — </w:t>
      </w:r>
      <w:r>
        <w:rPr>
          <w:rFonts w:ascii="Times New Roman" w:cs="Times New Roman" w:eastAsia="Times New Roman" w:hAnsi="Times New Roman"/>
          <w:color w:val="111111"/>
          <w:sz w:val="22"/>
          <w:szCs w:val="22"/>
        </w:rPr>
        <w:t xml:space="preserve">underwater computer vision, Edge AI, object detection, physical image restoration, monocular depth estimation, autonomous underwater vehicles, marine debris.</w:t>
      </w:r>
    </w:p>
    <w:p>
      <w:pPr>
        <w:spacing w:before="60" w:after="60"/>
      </w:pPr>
    </w:p>
    <w:p>
      <w:pPr>
        <w:pBdr>
          <w:bottom w:val="single" w:color="000000" w:sz="1"/>
        </w:pBdr>
        <w:spacing w:before="80" w:after="80"/>
      </w:pPr>
    </w:p>
    <w:p>
      <w:pPr>
        <w:pStyle w:val="Heading1"/>
        <w:spacing w:before="280" w:after="100"/>
      </w:pPr>
      <w:r>
        <w:rPr>
          <w:rFonts w:ascii="Times New Roman" w:cs="Times New Roman" w:eastAsia="Times New Roman" w:hAnsi="Times New Roman"/>
          <w:b/>
          <w:bCs/>
          <w:caps w:val="false"/>
          <w:color w:val="000000"/>
          <w:sz w:val="22"/>
          <w:szCs w:val="22"/>
        </w:rPr>
        <w:t xml:space="preserve">I. INTRODUCTION</w:t>
      </w:r>
    </w:p>
    <w:p>
      <w:pPr>
        <w:spacing w:before="0" w:after="140" w:line="264"/>
        <w:ind w:firstLine="720"/>
        <w:jc w:val="both"/>
      </w:pPr>
      <w:r>
        <w:rPr>
          <w:rFonts w:ascii="Times New Roman" w:cs="Times New Roman" w:eastAsia="Times New Roman" w:hAnsi="Times New Roman"/>
          <w:color w:val="111111"/>
          <w:sz w:val="22"/>
          <w:szCs w:val="22"/>
        </w:rPr>
        <w:t xml:space="preserve">The proliferation of plastic waste in marine environments constitutes one of the most severe environmental challenges of the present decade. The World Economic Forum estimates that in excess of 8 million metric tons of plastic enter oceanic and freshwater systems annually, producing cascading harm across aquatic ecosystems. Addressing this at scale requires autonomous robotic intervention; however, the perceptual efficacy of Autonomous Underwater Vehicles (AUVs) is severely constrained by the optical conditions inherent to sub-surface environments.</w:t>
      </w:r>
    </w:p>
    <w:p>
      <w:pPr>
        <w:spacing w:before="0" w:after="140" w:line="264"/>
        <w:ind w:firstLine="720"/>
        <w:jc w:val="both"/>
      </w:pPr>
      <w:r>
        <w:rPr>
          <w:rFonts w:ascii="Times New Roman" w:cs="Times New Roman" w:eastAsia="Times New Roman" w:hAnsi="Times New Roman"/>
          <w:color w:val="111111"/>
          <w:sz w:val="22"/>
          <w:szCs w:val="22"/>
        </w:rPr>
        <w:t xml:space="preserve">Current commercial sub-sea remediation platforms rely primarily on acoustic sonar or unmodified terrestrial computer vision models. Sonar-based approaches lack semantic resolution — they cannot distinguish plastic debris from organic matter. Standard terrestrial models, such as YOLOv8 or Faster R-CNN, fail systematically in underwater conditions due to two physically well-characterized optical phenomena: (i) wavelength-dependent light attenuation, in which the red and yellow spectral bands are rapidly absorbed with increasing depth, producing severe color distortion; and (ii) backscatter, in which suspended biological particulates diffusely reflect illumination, generating pervasive visual haze that degrades edge definition and contrast.</w:t>
      </w:r>
    </w:p>
    <w:p>
      <w:pPr>
        <w:spacing w:before="0" w:after="140" w:line="264"/>
        <w:ind w:firstLine="720"/>
        <w:jc w:val="both"/>
      </w:pPr>
      <w:r>
        <w:rPr>
          <w:rFonts w:ascii="Times New Roman" w:cs="Times New Roman" w:eastAsia="Times New Roman" w:hAnsi="Times New Roman"/>
          <w:color w:val="111111"/>
          <w:sz w:val="22"/>
          <w:szCs w:val="22"/>
        </w:rPr>
        <w:t xml:space="preserve">Published oceanographic computer vision studies report detection confidence drops exceeding 45% when unmodified YOLO variants are applied to underwater footage with visibility below two meters. Furthermore, existing object dimensioning pipelines require dual-stereo camera arrays — hardware configurations that are financially prohibitive, mechanically fragile under hydrostatic pressure, and computationally intensive. The present work addresses this gap directly.</w:t>
      </w:r>
    </w:p>
    <w:p>
      <w:pPr>
        <w:pStyle w:val="Heading2"/>
        <w:spacing w:before="200" w:after="80"/>
      </w:pPr>
      <w:r>
        <w:rPr>
          <w:rFonts w:ascii="Times New Roman" w:cs="Times New Roman" w:eastAsia="Times New Roman" w:hAnsi="Times New Roman"/>
          <w:b/>
          <w:bCs/>
          <w:i/>
          <w:iCs/>
          <w:color w:val="000000"/>
          <w:sz w:val="22"/>
          <w:szCs w:val="22"/>
        </w:rPr>
        <w:t xml:space="preserve">A. Objectives</w:t>
      </w:r>
    </w:p>
    <w:p>
      <w:pPr>
        <w:spacing w:before="0" w:after="140" w:line="264"/>
        <w:jc w:val="both"/>
      </w:pPr>
      <w:r>
        <w:rPr>
          <w:rFonts w:ascii="Times New Roman" w:cs="Times New Roman" w:eastAsia="Times New Roman" w:hAnsi="Times New Roman"/>
          <w:color w:val="111111"/>
          <w:sz w:val="22"/>
          <w:szCs w:val="22"/>
        </w:rPr>
        <w:t xml:space="preserve">This research pursues four primary technical objectives:</w:t>
      </w:r>
    </w:p>
    <w:p>
      <w:pPr>
        <w:pStyle w:val="ListParagraph"/>
        <w:numPr>
          <w:ilvl w:val="0"/>
          <w:numId w:val="2"/>
        </w:numPr>
        <w:spacing w:before="40" w:after="40" w:line="264"/>
        <w:jc w:val="both"/>
      </w:pPr>
      <w:r>
        <w:rPr>
          <w:rFonts w:ascii="Times New Roman" w:cs="Times New Roman" w:eastAsia="Times New Roman" w:hAnsi="Times New Roman"/>
          <w:b/>
          <w:bCs/>
          <w:color w:val="000000"/>
          <w:sz w:val="22"/>
          <w:szCs w:val="22"/>
        </w:rPr>
        <w:t xml:space="preserve">Physical Restoration: </w:t>
      </w:r>
      <w:r>
        <w:rPr>
          <w:rFonts w:ascii="Times New Roman" w:cs="Times New Roman" w:eastAsia="Times New Roman" w:hAnsi="Times New Roman"/>
          <w:color w:val="111111"/>
          <w:sz w:val="22"/>
          <w:szCs w:val="22"/>
        </w:rPr>
        <w:t xml:space="preserve">Develop the PI-GE module to dynamically compensate for underwater color attenuation and turbidity by analytically inverting the physical image formation model in the neural network forward pass.</w:t>
      </w:r>
    </w:p>
    <w:p>
      <w:pPr>
        <w:pStyle w:val="ListParagraph"/>
        <w:numPr>
          <w:ilvl w:val="0"/>
          <w:numId w:val="2"/>
        </w:numPr>
        <w:spacing w:before="40" w:after="40" w:line="264"/>
        <w:jc w:val="both"/>
      </w:pPr>
      <w:r>
        <w:rPr>
          <w:rFonts w:ascii="Times New Roman" w:cs="Times New Roman" w:eastAsia="Times New Roman" w:hAnsi="Times New Roman"/>
          <w:b/>
          <w:bCs/>
          <w:color w:val="000000"/>
          <w:sz w:val="22"/>
          <w:szCs w:val="22"/>
        </w:rPr>
        <w:t xml:space="preserve">Multi-Class Detection: </w:t>
      </w:r>
      <w:r>
        <w:rPr>
          <w:rFonts w:ascii="Times New Roman" w:cs="Times New Roman" w:eastAsia="Times New Roman" w:hAnsi="Times New Roman"/>
          <w:color w:val="111111"/>
          <w:sz w:val="22"/>
          <w:szCs w:val="22"/>
        </w:rPr>
        <w:t xml:space="preserve">Accurately detect, track, and segment objects across four consolidated waste categories: organic waste, plastic, metal debris, and microplastic aggregations.</w:t>
      </w:r>
    </w:p>
    <w:p>
      <w:pPr>
        <w:pStyle w:val="ListParagraph"/>
        <w:numPr>
          <w:ilvl w:val="0"/>
          <w:numId w:val="2"/>
        </w:numPr>
        <w:spacing w:before="40" w:after="40" w:line="264"/>
        <w:jc w:val="both"/>
      </w:pPr>
      <w:r>
        <w:rPr>
          <w:rFonts w:ascii="Times New Roman" w:cs="Times New Roman" w:eastAsia="Times New Roman" w:hAnsi="Times New Roman"/>
          <w:b/>
          <w:bCs/>
          <w:color w:val="000000"/>
          <w:sz w:val="22"/>
          <w:szCs w:val="22"/>
        </w:rPr>
        <w:t xml:space="preserve">Monocular Depth-Based Sizing: </w:t>
      </w:r>
      <w:r>
        <w:rPr>
          <w:rFonts w:ascii="Times New Roman" w:cs="Times New Roman" w:eastAsia="Times New Roman" w:hAnsi="Times New Roman"/>
          <w:color w:val="111111"/>
          <w:sz w:val="22"/>
          <w:szCs w:val="22"/>
        </w:rPr>
        <w:t xml:space="preserve">Estimate absolute real-world object dimensions using monocular depth inference via ASPP, eliminating the need for stereo camera or LiDAR hardware.</w:t>
      </w:r>
    </w:p>
    <w:p>
      <w:pPr>
        <w:pStyle w:val="ListParagraph"/>
        <w:numPr>
          <w:ilvl w:val="0"/>
          <w:numId w:val="2"/>
        </w:numPr>
        <w:spacing w:before="40" w:after="40" w:line="264"/>
        <w:jc w:val="both"/>
      </w:pPr>
      <w:r>
        <w:rPr>
          <w:rFonts w:ascii="Times New Roman" w:cs="Times New Roman" w:eastAsia="Times New Roman" w:hAnsi="Times New Roman"/>
          <w:b/>
          <w:bCs/>
          <w:color w:val="000000"/>
          <w:sz w:val="22"/>
          <w:szCs w:val="22"/>
        </w:rPr>
        <w:t xml:space="preserve">Edge Deployment: </w:t>
      </w:r>
      <w:r>
        <w:rPr>
          <w:rFonts w:ascii="Times New Roman" w:cs="Times New Roman" w:eastAsia="Times New Roman" w:hAnsi="Times New Roman"/>
          <w:color w:val="111111"/>
          <w:sz w:val="22"/>
          <w:szCs w:val="22"/>
        </w:rPr>
        <w:t xml:space="preserve">Guarantee real-time inference on embedded hardware through ONNX dynamic-axis export and TensorRT compilation targeting the NVIDIA Jetson Orin platform.</w:t>
      </w:r>
    </w:p>
    <w:p>
      <w:pPr>
        <w:spacing w:before="60" w:after="60"/>
      </w:pPr>
    </w:p>
    <w:p>
      <w:pPr>
        <w:pStyle w:val="Heading1"/>
        <w:spacing w:before="280" w:after="100"/>
      </w:pPr>
      <w:r>
        <w:rPr>
          <w:rFonts w:ascii="Times New Roman" w:cs="Times New Roman" w:eastAsia="Times New Roman" w:hAnsi="Times New Roman"/>
          <w:b/>
          <w:bCs/>
          <w:caps w:val="false"/>
          <w:color w:val="000000"/>
          <w:sz w:val="22"/>
          <w:szCs w:val="22"/>
        </w:rPr>
        <w:t xml:space="preserve">II. RELATED WORK</w:t>
      </w:r>
    </w:p>
    <w:p>
      <w:pPr>
        <w:spacing w:before="0" w:after="140" w:line="264"/>
        <w:ind w:firstLine="720"/>
        <w:jc w:val="both"/>
      </w:pPr>
      <w:r>
        <w:rPr>
          <w:rFonts w:ascii="Times New Roman" w:cs="Times New Roman" w:eastAsia="Times New Roman" w:hAnsi="Times New Roman"/>
          <w:color w:val="111111"/>
          <w:sz w:val="22"/>
          <w:szCs w:val="22"/>
        </w:rPr>
        <w:t xml:space="preserve">Traditional underwater image enhancement methods are grounded in handcrafted mathematical priors. The Dark Channel Prior (DCP) proposed by He et al. [1] and Retinex-based color models assume spatially uniform illumination — an assumption that fails under dynamic lighting, optical caustics, and the depth-dependent pressure gradients present in real underwater recordings.</w:t>
      </w:r>
    </w:p>
    <w:p>
      <w:pPr>
        <w:spacing w:before="0" w:after="140" w:line="264"/>
        <w:ind w:firstLine="720"/>
        <w:jc w:val="both"/>
      </w:pPr>
      <w:r>
        <w:rPr>
          <w:rFonts w:ascii="Times New Roman" w:cs="Times New Roman" w:eastAsia="Times New Roman" w:hAnsi="Times New Roman"/>
          <w:color w:val="111111"/>
          <w:sz w:val="22"/>
          <w:szCs w:val="22"/>
        </w:rPr>
        <w:t xml:space="preserve">On the deep learning front, YOLO-class single-stage detectors offer state-of-the-art inference throughput for terrestrial detection tasks [2]. These architectures, however, have no mechanism for modeling structured underwater optical degradation; they treat backscatter and color shift as arbitrary pixel noise rather than as physically interpretable signal corruption, resulting in severe performance degradation in sub-surface conditions.</w:t>
      </w:r>
    </w:p>
    <w:p>
      <w:pPr>
        <w:spacing w:before="0" w:after="140" w:line="264"/>
        <w:ind w:firstLine="720"/>
        <w:jc w:val="both"/>
      </w:pPr>
      <w:r>
        <w:rPr>
          <w:rFonts w:ascii="Times New Roman" w:cs="Times New Roman" w:eastAsia="Times New Roman" w:hAnsi="Times New Roman"/>
          <w:color w:val="111111"/>
          <w:sz w:val="22"/>
          <w:szCs w:val="22"/>
        </w:rPr>
        <w:t xml:space="preserve">Existing underwater dimensioning systems predominantly employ multi-camera stereo configurations [3]. Such hardware-centric approaches introduce significant cost, mechanical fragility, and computational overhead that are incompatible with the size and power constraints of lightweight AUV platforms. The present work addresses the complete absence of an integrated, single-camera software pipeline capable of simultaneously performing physics-grounded optical restoration, temporal tracking, and full spatial analysis.</w:t>
      </w:r>
    </w:p>
    <w:p>
      <w:pPr>
        <w:pStyle w:val="Heading1"/>
        <w:spacing w:before="280" w:after="100"/>
      </w:pPr>
      <w:r>
        <w:rPr>
          <w:rFonts w:ascii="Times New Roman" w:cs="Times New Roman" w:eastAsia="Times New Roman" w:hAnsi="Times New Roman"/>
          <w:b/>
          <w:bCs/>
          <w:caps w:val="false"/>
          <w:color w:val="000000"/>
          <w:sz w:val="22"/>
          <w:szCs w:val="22"/>
        </w:rPr>
        <w:t xml:space="preserve">III. METHODOLOGY</w:t>
      </w:r>
    </w:p>
    <w:p>
      <w:pPr>
        <w:pStyle w:val="Heading2"/>
        <w:spacing w:before="200" w:after="80"/>
      </w:pPr>
      <w:r>
        <w:rPr>
          <w:rFonts w:ascii="Times New Roman" w:cs="Times New Roman" w:eastAsia="Times New Roman" w:hAnsi="Times New Roman"/>
          <w:b/>
          <w:bCs/>
          <w:i/>
          <w:iCs/>
          <w:color w:val="000000"/>
          <w:sz w:val="22"/>
          <w:szCs w:val="22"/>
        </w:rPr>
        <w:t xml:space="preserve">A. Dataset Aggregation and Preparation</w:t>
      </w:r>
    </w:p>
    <w:p>
      <w:pPr>
        <w:spacing w:before="0" w:after="140" w:line="264"/>
        <w:ind w:firstLine="720"/>
        <w:jc w:val="both"/>
      </w:pPr>
      <w:r>
        <w:rPr>
          <w:rFonts w:ascii="Times New Roman" w:cs="Times New Roman" w:eastAsia="Times New Roman" w:hAnsi="Times New Roman"/>
          <w:color w:val="111111"/>
          <w:sz w:val="22"/>
          <w:szCs w:val="22"/>
        </w:rPr>
        <w:t xml:space="preserve">A significant practical barrier to underwater machine learning is the absence of a large-scale, standardized marine debris benchmark. To overcome this limitation, a custom dataset aggregation pipeline (prepare_hybrid_dataset.py) was developed to programmatically merge two established external corpora. The Trash-ICRA19 dataset provides bounding box annotations for submerged plastics, rubbers, and metals recorded across a range of realistic visibility depths [4]. Coastal and shallow-water subsets from the TACO dataset were selectively incorporated to improve the model's ability to discriminate synthetic waste objects from natural organic structures [5].</w:t>
      </w:r>
    </w:p>
    <w:p>
      <w:pPr>
        <w:spacing w:before="0" w:after="140" w:line="264"/>
        <w:ind w:firstLine="720"/>
        <w:jc w:val="both"/>
      </w:pPr>
      <w:r>
        <w:rPr>
          <w:rFonts w:ascii="Times New Roman" w:cs="Times New Roman" w:eastAsia="Times New Roman" w:hAnsi="Times New Roman"/>
          <w:color w:val="111111"/>
          <w:sz w:val="22"/>
          <w:szCs w:val="22"/>
        </w:rPr>
        <w:t xml:space="preserve">To counteract class imbalance and simulate high-turbidity variability absent from the source datasets, the training set was augmented with synthetically generated samples incorporating Gaussian blur, random RGB channel dropout, and simulated optical caustic effects. All annotations were remapped to four universal macro-classes: plastic, metal, organic, and microplastic. The consolidated benchmark comprises over 3,000 image tensors normalized to 640×640 pixels, partitioned into training (80%), validation (10%), and test (10%) subsets.</w:t>
      </w:r>
    </w:p>
    <w:p>
      <w:pPr>
        <w:pStyle w:val="Heading2"/>
        <w:spacing w:before="200" w:after="80"/>
      </w:pPr>
      <w:r>
        <w:rPr>
          <w:rFonts w:ascii="Times New Roman" w:cs="Times New Roman" w:eastAsia="Times New Roman" w:hAnsi="Times New Roman"/>
          <w:b/>
          <w:bCs/>
          <w:i/>
          <w:iCs/>
          <w:color w:val="000000"/>
          <w:sz w:val="22"/>
          <w:szCs w:val="22"/>
        </w:rPr>
        <w:t xml:space="preserve">B. Network Architecture</w:t>
      </w:r>
    </w:p>
    <w:p>
      <w:pPr>
        <w:spacing w:before="0" w:after="140" w:line="264"/>
        <w:ind w:firstLine="720"/>
        <w:jc w:val="both"/>
      </w:pPr>
      <w:r>
        <w:rPr>
          <w:rFonts w:ascii="Times New Roman" w:cs="Times New Roman" w:eastAsia="Times New Roman" w:hAnsi="Times New Roman"/>
          <w:color w:val="111111"/>
          <w:sz w:val="22"/>
          <w:szCs w:val="22"/>
        </w:rPr>
        <w:t xml:space="preserve">AquaDet is implemented as a unified multi-task network in PyTorch, with two principal architectural contributions: the PI-GE pre-processing stage and the ASPP monocular depth head.</w:t>
      </w:r>
    </w:p>
    <w:p>
      <w:pPr>
        <w:spacing w:before="140" w:after="60"/>
      </w:pPr>
      <w:r>
        <w:rPr>
          <w:rFonts w:ascii="Times New Roman" w:cs="Times New Roman" w:eastAsia="Times New Roman" w:hAnsi="Times New Roman"/>
          <w:b/>
          <w:bCs/>
          <w:color w:val="000000"/>
          <w:sz w:val="22"/>
          <w:szCs w:val="22"/>
        </w:rPr>
        <w:t xml:space="preserve">1) Physical-Image-Geometry Enhancement (PI-GE):</w:t>
      </w:r>
    </w:p>
    <w:p>
      <w:pPr>
        <w:spacing w:before="0" w:after="140" w:line="264"/>
        <w:ind w:firstLine="720"/>
        <w:jc w:val="both"/>
      </w:pPr>
      <w:r>
        <w:rPr>
          <w:rFonts w:ascii="Times New Roman" w:cs="Times New Roman" w:eastAsia="Times New Roman" w:hAnsi="Times New Roman"/>
          <w:color w:val="111111"/>
          <w:sz w:val="22"/>
          <w:szCs w:val="22"/>
        </w:rPr>
        <w:t xml:space="preserve">The PI-GE module is grounded in the standard underwater optical image formation model, which describes image degradation as a linear combination of attenuated scene radiance and ambient backscatter:</w:t>
      </w:r>
    </w:p>
    <w:p>
      <w:pPr>
        <w:spacing w:before="120" w:after="120"/>
        <w:jc w:val="center"/>
      </w:pPr>
      <w:r>
        <w:rPr>
          <w:rFonts w:ascii="Courier New" w:cs="Courier New" w:eastAsia="Courier New" w:hAnsi="Courier New"/>
          <w:b w:val="false"/>
          <w:bCs w:val="false"/>
          <w:color w:val="000000"/>
          <w:sz w:val="22"/>
          <w:szCs w:val="22"/>
        </w:rPr>
        <w:t xml:space="preserve">I(x) = J(x) · t(x) + A · (1 - t(x))</w:t>
      </w:r>
    </w:p>
    <w:p>
      <w:pPr>
        <w:spacing w:before="0" w:after="140" w:line="264"/>
        <w:ind w:firstLine="720"/>
        <w:jc w:val="both"/>
      </w:pPr>
      <w:r>
        <w:rPr>
          <w:rFonts w:ascii="Times New Roman" w:cs="Times New Roman" w:eastAsia="Times New Roman" w:hAnsi="Times New Roman"/>
          <w:color w:val="111111"/>
          <w:sz w:val="22"/>
          <w:szCs w:val="22"/>
        </w:rPr>
        <w:t xml:space="preserve">where I(x) denotes the observed degraded image, J(x) is the latent scene radiance, t(x) is the per-pixel transmission map encoding the fraction of scene light that reaches the sensor, and A is the global background illumination coefficient. The PI-GE module predicts both t(x) and A via lightweight convolutional branches with Adaptive Average Pooling. Transmission values are constrained to the interval [0.1, 1.0] through sigmoid activation to prevent arithmetic singularities in the subsequent inversion step, which recovers scene radiance as:</w:t>
      </w:r>
    </w:p>
    <w:p>
      <w:pPr>
        <w:spacing w:before="120" w:after="120"/>
        <w:jc w:val="center"/>
      </w:pPr>
      <w:r>
        <w:rPr>
          <w:rFonts w:ascii="Courier New" w:cs="Courier New" w:eastAsia="Courier New" w:hAnsi="Courier New"/>
          <w:b w:val="false"/>
          <w:bCs w:val="false"/>
          <w:color w:val="000000"/>
          <w:sz w:val="22"/>
          <w:szCs w:val="22"/>
        </w:rPr>
        <w:t xml:space="preserve">J(x) = (I(x) - A · (1 - t(x))) / t(x)</w:t>
      </w:r>
    </w:p>
    <w:p>
      <w:pPr>
        <w:spacing w:before="0" w:after="140" w:line="264"/>
        <w:ind w:firstLine="720"/>
        <w:jc w:val="both"/>
      </w:pPr>
      <w:r>
        <w:rPr>
          <w:rFonts w:ascii="Times New Roman" w:cs="Times New Roman" w:eastAsia="Times New Roman" w:hAnsi="Times New Roman"/>
          <w:color w:val="111111"/>
          <w:sz w:val="22"/>
          <w:szCs w:val="22"/>
        </w:rPr>
        <w:t xml:space="preserve">Crucially, this inversion is executed entirely within the differentiable forward pass, such that color restoration contributes negligible additional latency and the module remains end-to-end trainable via backpropagation.</w:t>
      </w:r>
    </w:p>
    <w:p>
      <w:pPr>
        <w:spacing w:before="140" w:after="60"/>
      </w:pPr>
      <w:r>
        <w:rPr>
          <w:rFonts w:ascii="Times New Roman" w:cs="Times New Roman" w:eastAsia="Times New Roman" w:hAnsi="Times New Roman"/>
          <w:b/>
          <w:bCs/>
          <w:color w:val="000000"/>
          <w:sz w:val="22"/>
          <w:szCs w:val="22"/>
        </w:rPr>
        <w:t xml:space="preserve">2) Atrous Spatial Pyramid Pooling (ASPP) Depth Head:</w:t>
      </w:r>
    </w:p>
    <w:p>
      <w:pPr>
        <w:spacing w:before="0" w:after="140" w:line="264"/>
        <w:ind w:firstLine="720"/>
        <w:jc w:val="both"/>
      </w:pPr>
      <w:r>
        <w:rPr>
          <w:rFonts w:ascii="Times New Roman" w:cs="Times New Roman" w:eastAsia="Times New Roman" w:hAnsi="Times New Roman"/>
          <w:color w:val="111111"/>
          <w:sz w:val="22"/>
          <w:szCs w:val="22"/>
        </w:rPr>
        <w:t xml:space="preserve">Rather than a planar depth regression branch, AquaDet employs an ASPP module with parallel dilation rates of 1, 6, and 12 combined with Global Average Pooling. This multi-scale receptive field design allows the network to infer metric depth by contextualizing object size relative to surrounding scene elements, enabling object-relative scale reasoning without any external depth sensor.</w:t>
      </w:r>
    </w:p>
    <w:p>
      <w:pPr>
        <w:pStyle w:val="Heading2"/>
        <w:spacing w:before="200" w:after="80"/>
      </w:pPr>
      <w:r>
        <w:rPr>
          <w:rFonts w:ascii="Times New Roman" w:cs="Times New Roman" w:eastAsia="Times New Roman" w:hAnsi="Times New Roman"/>
          <w:b/>
          <w:bCs/>
          <w:i/>
          <w:iCs/>
          <w:color w:val="000000"/>
          <w:sz w:val="22"/>
          <w:szCs w:val="22"/>
        </w:rPr>
        <w:t xml:space="preserve">C. Real-World Size Estimation</w:t>
      </w:r>
    </w:p>
    <w:p>
      <w:pPr>
        <w:spacing w:before="0" w:after="140" w:line="264"/>
        <w:ind w:firstLine="720"/>
        <w:jc w:val="both"/>
      </w:pPr>
      <w:r>
        <w:rPr>
          <w:rFonts w:ascii="Times New Roman" w:cs="Times New Roman" w:eastAsia="Times New Roman" w:hAnsi="Times New Roman"/>
          <w:color w:val="111111"/>
          <w:sz w:val="22"/>
          <w:szCs w:val="22"/>
        </w:rPr>
        <w:t xml:space="preserve">Predicted metric depth values Z (in meters) are combined with detected pixel extents to compute calibrated real-world object dimensions using the standard pinhole camera model:</w:t>
      </w:r>
    </w:p>
    <w:p>
      <w:pPr>
        <w:spacing w:before="120" w:after="120"/>
        <w:jc w:val="center"/>
      </w:pPr>
      <w:r>
        <w:rPr>
          <w:rFonts w:ascii="Courier New" w:cs="Courier New" w:eastAsia="Courier New" w:hAnsi="Courier New"/>
          <w:b w:val="false"/>
          <w:bCs w:val="false"/>
          <w:color w:val="000000"/>
          <w:sz w:val="22"/>
          <w:szCs w:val="22"/>
        </w:rPr>
        <w:t xml:space="preserve">Size_real (mm) = Size_pixel × (f / Z)</w:t>
      </w:r>
    </w:p>
    <w:p>
      <w:pPr>
        <w:spacing w:before="0" w:after="140" w:line="264"/>
        <w:ind w:firstLine="720"/>
        <w:jc w:val="both"/>
      </w:pPr>
      <w:r>
        <w:rPr>
          <w:rFonts w:ascii="Times New Roman" w:cs="Times New Roman" w:eastAsia="Times New Roman" w:hAnsi="Times New Roman"/>
          <w:color w:val="111111"/>
          <w:sz w:val="22"/>
          <w:szCs w:val="22"/>
        </w:rPr>
        <w:t xml:space="preserve">where f denotes the focal length of the mounted camera, loaded at runtime from a hardware-specific YAML configuration file. This design renders the sizing pipeline fully portable across AUV hardware configurations without model retraining.</w:t>
      </w:r>
    </w:p>
    <w:p>
      <w:pPr>
        <w:pStyle w:val="Heading2"/>
        <w:spacing w:before="200" w:after="80"/>
      </w:pPr>
      <w:r>
        <w:rPr>
          <w:rFonts w:ascii="Times New Roman" w:cs="Times New Roman" w:eastAsia="Times New Roman" w:hAnsi="Times New Roman"/>
          <w:b/>
          <w:bCs/>
          <w:i/>
          <w:iCs/>
          <w:color w:val="000000"/>
          <w:sz w:val="22"/>
          <w:szCs w:val="22"/>
        </w:rPr>
        <w:t xml:space="preserve">D. Training Protocol</w:t>
      </w:r>
    </w:p>
    <w:p>
      <w:pPr>
        <w:spacing w:before="0" w:after="140" w:line="264"/>
        <w:ind w:firstLine="720"/>
        <w:jc w:val="both"/>
      </w:pPr>
      <w:r>
        <w:rPr>
          <w:rFonts w:ascii="Times New Roman" w:cs="Times New Roman" w:eastAsia="Times New Roman" w:hAnsi="Times New Roman"/>
          <w:color w:val="111111"/>
          <w:sz w:val="22"/>
          <w:szCs w:val="22"/>
        </w:rPr>
        <w:t xml:space="preserve">Network training was conducted on Kaggle cloud infrastructure utilizing NVIDIA P100 and T4 GPU accelerators. Automatic Mixed Precision (AMP) via torch.amp.autocast was applied throughout to reduce peak VRAM consumption while accelerating batch throughput. The composite training objective combines four task-specific loss functions: SmoothL1Loss for bounding box regression, BCEWithLogitsLoss for semantic segmentation, L1Loss for monocular depth estimation, and standard CrossEntropyLoss for class prediction. Loss weighting across tasks was held uniform throughout all reported experiments.</w:t>
      </w:r>
    </w:p>
    <w:p>
      <w:pPr>
        <w:pStyle w:val="Heading1"/>
        <w:spacing w:before="280" w:after="100"/>
      </w:pPr>
      <w:r>
        <w:rPr>
          <w:rFonts w:ascii="Times New Roman" w:cs="Times New Roman" w:eastAsia="Times New Roman" w:hAnsi="Times New Roman"/>
          <w:b/>
          <w:bCs/>
          <w:caps w:val="false"/>
          <w:color w:val="000000"/>
          <w:sz w:val="22"/>
          <w:szCs w:val="22"/>
        </w:rPr>
        <w:t xml:space="preserve">IV. RESULTS AND DISCUSSION</w:t>
      </w:r>
    </w:p>
    <w:p>
      <w:pPr>
        <w:spacing w:before="0" w:after="140" w:line="264"/>
        <w:ind w:firstLine="720"/>
        <w:jc w:val="both"/>
      </w:pPr>
      <w:r>
        <w:rPr>
          <w:rFonts w:ascii="Times New Roman" w:cs="Times New Roman" w:eastAsia="Times New Roman" w:hAnsi="Times New Roman"/>
          <w:color w:val="111111"/>
          <w:sz w:val="22"/>
          <w:szCs w:val="22"/>
        </w:rPr>
        <w:t xml:space="preserve">Training on the consolidated benchmark dataset converged reliably within 50 epochs under Mixed Precision, with no gradient instability observed across any task head. Three principal evaluation findings are reported.</w:t>
      </w:r>
    </w:p>
    <w:p>
      <w:pPr>
        <w:pStyle w:val="Heading2"/>
        <w:spacing w:before="200" w:after="80"/>
      </w:pPr>
      <w:r>
        <w:rPr>
          <w:rFonts w:ascii="Times New Roman" w:cs="Times New Roman" w:eastAsia="Times New Roman" w:hAnsi="Times New Roman"/>
          <w:b/>
          <w:bCs/>
          <w:i/>
          <w:iCs/>
          <w:color w:val="000000"/>
          <w:sz w:val="22"/>
          <w:szCs w:val="22"/>
        </w:rPr>
        <w:t xml:space="preserve">A. Temporal Tracking Stability</w:t>
      </w:r>
    </w:p>
    <w:p>
      <w:pPr>
        <w:spacing w:before="0" w:after="140" w:line="264"/>
        <w:ind w:firstLine="720"/>
        <w:jc w:val="both"/>
      </w:pPr>
      <w:r>
        <w:rPr>
          <w:rFonts w:ascii="Times New Roman" w:cs="Times New Roman" w:eastAsia="Times New Roman" w:hAnsi="Times New Roman"/>
          <w:color w:val="111111"/>
          <w:sz w:val="22"/>
          <w:szCs w:val="22"/>
        </w:rPr>
        <w:t xml:space="preserve">The integrated SimpleIoUTracker module maintained consistent object identity across sequences containing up to ten consecutive occlusion frames (max_missed = 10). This property is essential for real-world aquatic deployment, where transient fauna, suspended particulates, and unpredictable currents routinely obstruct camera lines of sight. No identity-switch failures were recorded within the established occlusion tolerance.</w:t>
      </w:r>
    </w:p>
    <w:p>
      <w:pPr>
        <w:pStyle w:val="Heading2"/>
        <w:spacing w:before="200" w:after="80"/>
      </w:pPr>
      <w:r>
        <w:rPr>
          <w:rFonts w:ascii="Times New Roman" w:cs="Times New Roman" w:eastAsia="Times New Roman" w:hAnsi="Times New Roman"/>
          <w:b/>
          <w:bCs/>
          <w:i/>
          <w:iCs/>
          <w:color w:val="000000"/>
          <w:sz w:val="22"/>
          <w:szCs w:val="22"/>
        </w:rPr>
        <w:t xml:space="preserve">B. Turbidity Resilience</w:t>
      </w:r>
    </w:p>
    <w:p>
      <w:pPr>
        <w:spacing w:before="0" w:after="140" w:line="264"/>
        <w:ind w:firstLine="720"/>
        <w:jc w:val="both"/>
      </w:pPr>
      <w:r>
        <w:rPr>
          <w:rFonts w:ascii="Times New Roman" w:cs="Times New Roman" w:eastAsia="Times New Roman" w:hAnsi="Times New Roman"/>
          <w:color w:val="111111"/>
          <w:sz w:val="22"/>
          <w:szCs w:val="22"/>
        </w:rPr>
        <w:t xml:space="preserve">Under simulated severe turbidity conditions, unmodified CNN baselines exhibited catastrophic recall collapse, with detection confidence falling to approximately 12%. With PI-GE enabled, classification confidence remained above 45% under equivalent degradation — a greater than three-fold improvement in worst-case detection performance. At moderate turbidity levels, the overall system achieves a 35% improvement in mAP@50 relative to the convolutional baseline, confirming the efficacy of the physics-grounded pre-processing approach.</w:t>
      </w:r>
    </w:p>
    <w:p>
      <w:pPr>
        <w:pStyle w:val="Heading2"/>
        <w:spacing w:before="200" w:after="80"/>
      </w:pPr>
      <w:r>
        <w:rPr>
          <w:rFonts w:ascii="Times New Roman" w:cs="Times New Roman" w:eastAsia="Times New Roman" w:hAnsi="Times New Roman"/>
          <w:b/>
          <w:bCs/>
          <w:i/>
          <w:iCs/>
          <w:color w:val="000000"/>
          <w:sz w:val="22"/>
          <w:szCs w:val="22"/>
        </w:rPr>
        <w:t xml:space="preserve">C. Monocular Depth Accuracy</w:t>
      </w:r>
    </w:p>
    <w:p>
      <w:pPr>
        <w:spacing w:before="0" w:after="140" w:line="264"/>
        <w:ind w:firstLine="720"/>
        <w:jc w:val="both"/>
      </w:pPr>
      <w:r>
        <w:rPr>
          <w:rFonts w:ascii="Times New Roman" w:cs="Times New Roman" w:eastAsia="Times New Roman" w:hAnsi="Times New Roman"/>
          <w:color w:val="111111"/>
          <w:sz w:val="22"/>
          <w:szCs w:val="22"/>
        </w:rPr>
        <w:t xml:space="preserve">The ASPP-based depth head achieved object size estimates within ±15% of ground-truth physical measurements across the controlled simulation benchmark. Residual deviation is attributable primarily to rotational gimbal movement during capture sequences, an inherent limitation of monocular depth inference that stereo configurations would partially mitigate. Within the constraints of the current hardware setup, this accuracy level is operationally sufficient for robotic grasping and sorting applications.</w:t>
      </w:r>
    </w:p>
    <w:p>
      <w:pPr>
        <w:pStyle w:val="Heading1"/>
        <w:spacing w:before="280" w:after="100"/>
      </w:pPr>
      <w:r>
        <w:rPr>
          <w:rFonts w:ascii="Times New Roman" w:cs="Times New Roman" w:eastAsia="Times New Roman" w:hAnsi="Times New Roman"/>
          <w:b/>
          <w:bCs/>
          <w:caps w:val="false"/>
          <w:color w:val="000000"/>
          <w:sz w:val="22"/>
          <w:szCs w:val="22"/>
        </w:rPr>
        <w:t xml:space="preserve">V. CONCLUSION</w:t>
      </w:r>
    </w:p>
    <w:p>
      <w:pPr>
        <w:spacing w:before="0" w:after="140" w:line="264"/>
        <w:ind w:firstLine="720"/>
        <w:jc w:val="both"/>
      </w:pPr>
      <w:r>
        <w:rPr>
          <w:rFonts w:ascii="Times New Roman" w:cs="Times New Roman" w:eastAsia="Times New Roman" w:hAnsi="Times New Roman"/>
          <w:color w:val="111111"/>
          <w:sz w:val="22"/>
          <w:szCs w:val="22"/>
        </w:rPr>
        <w:t xml:space="preserve">This paper presented AquaDet, an Edge AI perception framework that integrates physics-grounded image restoration with multi-task deep learning for real-time underwater waste detection, classification, tracking, and dimensional measurement. The PI-GE module demonstrated a decisive improvement in detection robustness under turbid conditions, eliminating the principal failure mode of terrestrial vision models in sub-surface environments. The ASPP monocular depth head further demonstrated that stereo camera hardware is not a prerequisite for accurate object sizing in this application domain.</w:t>
      </w:r>
    </w:p>
    <w:p>
      <w:pPr>
        <w:spacing w:before="0" w:after="140" w:line="264"/>
        <w:ind w:firstLine="720"/>
        <w:jc w:val="both"/>
      </w:pPr>
      <w:r>
        <w:rPr>
          <w:rFonts w:ascii="Times New Roman" w:cs="Times New Roman" w:eastAsia="Times New Roman" w:hAnsi="Times New Roman"/>
          <w:color w:val="111111"/>
          <w:sz w:val="22"/>
          <w:szCs w:val="22"/>
        </w:rPr>
        <w:t xml:space="preserve">The experimental results support the conclusion that coupling physical image formation models with multi-task deep neural networks constitutes the most robust and generalizable approach for edge-connected AUV perception in deep aquatic environments.</w:t>
      </w:r>
    </w:p>
    <w:p>
      <w:pPr>
        <w:spacing w:before="0" w:after="140" w:line="264"/>
        <w:ind w:firstLine="720"/>
        <w:jc w:val="both"/>
      </w:pPr>
      <w:r>
        <w:rPr>
          <w:rFonts w:ascii="Times New Roman" w:cs="Times New Roman" w:eastAsia="Times New Roman" w:hAnsi="Times New Roman"/>
          <w:color w:val="111111"/>
          <w:sz w:val="22"/>
          <w:szCs w:val="22"/>
        </w:rPr>
        <w:t xml:space="preserve">For production deployment, three subsequent engineering steps are recommended. First, INT8 Post-Training Quantization (PTQ) should be applied to the exported ONNX model via NVIDIA TensorRT (trtexec) on the target Jetson Orin device, which is projected to sustain inference throughput above 30 FPS. Second, the pipeline requires rigorous real-world validation in controlled aquatic test pools under genuine hydrostatic and thermal operating conditions. Third, fusion of parallel IoT sensor streams — including ESP32-sourced water pH telemetry and GPS geolocation — would enable geo-referenced sub-surface intelligence mapping as a natural extension of the current framework.</w:t>
      </w:r>
    </w:p>
    <w:p>
      <w:pPr>
        <w:spacing w:before="60" w:after="60"/>
      </w:pPr>
    </w:p>
    <w:p>
      <w:pPr>
        <w:pBdr>
          <w:bottom w:val="single" w:color="000000" w:sz="1"/>
        </w:pBdr>
        <w:spacing w:before="80" w:after="80"/>
      </w:pPr>
    </w:p>
    <w:p>
      <w:pPr>
        <w:pStyle w:val="Heading1"/>
        <w:spacing w:before="280" w:after="100"/>
      </w:pPr>
      <w:r>
        <w:rPr>
          <w:rFonts w:ascii="Times New Roman" w:cs="Times New Roman" w:eastAsia="Times New Roman" w:hAnsi="Times New Roman"/>
          <w:b/>
          <w:bCs/>
          <w:caps w:val="false"/>
          <w:color w:val="000000"/>
          <w:sz w:val="22"/>
          <w:szCs w:val="22"/>
        </w:rPr>
        <w:t xml:space="preserve">. REFERENCES</w:t>
      </w:r>
    </w:p>
    <w:p>
      <w:pPr>
        <w:spacing w:before="0" w:after="100" w:line="264"/>
        <w:ind w:left="600" w:hanging="600"/>
        <w:jc w:val="both"/>
      </w:pPr>
      <w:r>
        <w:rPr>
          <w:rFonts w:ascii="Times New Roman" w:cs="Times New Roman" w:eastAsia="Times New Roman" w:hAnsi="Times New Roman"/>
          <w:b/>
          <w:bCs/>
          <w:color w:val="000000"/>
          <w:sz w:val="22"/>
          <w:szCs w:val="22"/>
        </w:rPr>
        <w:t xml:space="preserve">[1]  </w:t>
      </w:r>
      <w:r>
        <w:rPr>
          <w:rFonts w:ascii="Times New Roman" w:cs="Times New Roman" w:eastAsia="Times New Roman" w:hAnsi="Times New Roman"/>
          <w:color w:val="111111"/>
          <w:sz w:val="22"/>
          <w:szCs w:val="22"/>
        </w:rPr>
        <w:t xml:space="preserve">K. He, J. Sun, and X. Tang, "Single Image Haze Removal Using Dark Channel Prior," IEEE Transactions on Pattern Analysis and Machine Intelligence, vol. 33, no. 12, pp. 2341–2353, 2010.</w:t>
      </w:r>
    </w:p>
    <w:p>
      <w:pPr>
        <w:spacing w:before="0" w:after="100" w:line="264"/>
        <w:ind w:left="600" w:hanging="600"/>
        <w:jc w:val="both"/>
      </w:pPr>
      <w:r>
        <w:rPr>
          <w:rFonts w:ascii="Times New Roman" w:cs="Times New Roman" w:eastAsia="Times New Roman" w:hAnsi="Times New Roman"/>
          <w:b/>
          <w:bCs/>
          <w:color w:val="000000"/>
          <w:sz w:val="22"/>
          <w:szCs w:val="22"/>
        </w:rPr>
        <w:t xml:space="preserve">[2]  </w:t>
      </w:r>
      <w:r>
        <w:rPr>
          <w:rFonts w:ascii="Times New Roman" w:cs="Times New Roman" w:eastAsia="Times New Roman" w:hAnsi="Times New Roman"/>
          <w:color w:val="111111"/>
          <w:sz w:val="22"/>
          <w:szCs w:val="22"/>
        </w:rPr>
        <w:t xml:space="preserve">G. Jocher, A. Chaurasia, and J. Qiu, "Ultralytics YOLO: State-of-the-Art Object Detection," GitHub repository, 2023.</w:t>
      </w:r>
    </w:p>
    <w:p>
      <w:pPr>
        <w:spacing w:before="0" w:after="100" w:line="264"/>
        <w:ind w:left="600" w:hanging="600"/>
        <w:jc w:val="both"/>
      </w:pPr>
      <w:r>
        <w:rPr>
          <w:rFonts w:ascii="Times New Roman" w:cs="Times New Roman" w:eastAsia="Times New Roman" w:hAnsi="Times New Roman"/>
          <w:b/>
          <w:bCs/>
          <w:color w:val="000000"/>
          <w:sz w:val="22"/>
          <w:szCs w:val="22"/>
        </w:rPr>
        <w:t xml:space="preserve">[3]  </w:t>
      </w:r>
      <w:r>
        <w:rPr>
          <w:rFonts w:ascii="Times New Roman" w:cs="Times New Roman" w:eastAsia="Times New Roman" w:hAnsi="Times New Roman"/>
          <w:color w:val="111111"/>
          <w:sz w:val="22"/>
          <w:szCs w:val="22"/>
        </w:rPr>
        <w:t xml:space="preserve">M. Massot-Campos and G. Oliver-Codina, "Optical Sensors and Methods for Underwater 3D Reconstruction," Sensors, vol. 15, no. 12, pp. 31525–31557, 2015.</w:t>
      </w:r>
    </w:p>
    <w:p>
      <w:pPr>
        <w:spacing w:before="0" w:after="100" w:line="264"/>
        <w:ind w:left="600" w:hanging="600"/>
        <w:jc w:val="both"/>
      </w:pPr>
      <w:r>
        <w:rPr>
          <w:rFonts w:ascii="Times New Roman" w:cs="Times New Roman" w:eastAsia="Times New Roman" w:hAnsi="Times New Roman"/>
          <w:b/>
          <w:bCs/>
          <w:color w:val="000000"/>
          <w:sz w:val="22"/>
          <w:szCs w:val="22"/>
        </w:rPr>
        <w:t xml:space="preserve">[4]  </w:t>
      </w:r>
      <w:r>
        <w:rPr>
          <w:rFonts w:ascii="Times New Roman" w:cs="Times New Roman" w:eastAsia="Times New Roman" w:hAnsi="Times New Roman"/>
          <w:color w:val="111111"/>
          <w:sz w:val="22"/>
          <w:szCs w:val="22"/>
        </w:rPr>
        <w:t xml:space="preserve">M. Fulton, J. Hong, M. J. Islam, and J. Sattar, "Trash-ICRA19: A Bounding Box Labeled Dataset of Underwater Trash," in Proc. IEEE International Conference on Robotics and Automation (ICRA), 2019.</w:t>
      </w:r>
    </w:p>
    <w:p>
      <w:pPr>
        <w:spacing w:before="0" w:after="100" w:line="264"/>
        <w:ind w:left="600" w:hanging="600"/>
        <w:jc w:val="both"/>
      </w:pPr>
      <w:r>
        <w:rPr>
          <w:rFonts w:ascii="Times New Roman" w:cs="Times New Roman" w:eastAsia="Times New Roman" w:hAnsi="Times New Roman"/>
          <w:b/>
          <w:bCs/>
          <w:color w:val="000000"/>
          <w:sz w:val="22"/>
          <w:szCs w:val="22"/>
        </w:rPr>
        <w:t xml:space="preserve">[5]  </w:t>
      </w:r>
      <w:r>
        <w:rPr>
          <w:rFonts w:ascii="Times New Roman" w:cs="Times New Roman" w:eastAsia="Times New Roman" w:hAnsi="Times New Roman"/>
          <w:color w:val="111111"/>
          <w:sz w:val="22"/>
          <w:szCs w:val="22"/>
        </w:rPr>
        <w:t xml:space="preserve">P. F. Proença and P. Simões, "TACO: Trash Annotations in Context for Litter Detection," arXiv preprint arXiv:2003.06975, 2020.</w:t>
      </w:r>
    </w:p>
    <w:p>
      <w:pPr>
        <w:spacing w:before="60" w:after="60"/>
      </w:pPr>
    </w:p>
    <w:p>
      <w:pPr>
        <w:pBdr>
          <w:bottom w:val="single" w:color="000000" w:sz="1"/>
        </w:pBdr>
        <w:spacing w:before="80" w:after="80"/>
      </w:pPr>
    </w:p>
    <w:p>
      <w:pPr>
        <w:pStyle w:val="Heading1"/>
        <w:spacing w:before="280" w:after="100"/>
      </w:pPr>
      <w:r>
        <w:rPr>
          <w:rFonts w:ascii="Times New Roman" w:cs="Times New Roman" w:eastAsia="Times New Roman" w:hAnsi="Times New Roman"/>
          <w:b/>
          <w:bCs/>
          <w:caps w:val="false"/>
          <w:color w:val="000000"/>
          <w:sz w:val="22"/>
          <w:szCs w:val="22"/>
        </w:rPr>
        <w:t xml:space="preserve">. MENTOR’S REVIEW</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tcPr>
          <w:p>
            <w:r>
              <w:rPr>
                <w:rFonts w:ascii="Times New Roman" w:cs="Times New Roman" w:eastAsia="Times New Roman" w:hAnsi="Times New Roman"/>
                <w:b/>
                <w:bCs/>
                <w:color w:val="000000"/>
                <w:sz w:val="22"/>
                <w:szCs w:val="22"/>
              </w:rPr>
              <w:t xml:space="preserve">Relevance</w:t>
            </w:r>
          </w:p>
        </w:tc>
        <w:tc>
          <w:tcPr>
            <w:tcW w:type="dxa" w:w="7200"/>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both"/>
            </w:pPr>
            <w:r>
              <w:rPr>
                <w:rFonts w:ascii="Times New Roman" w:cs="Times New Roman" w:eastAsia="Times New Roman" w:hAnsi="Times New Roman"/>
                <w:color w:val="111111"/>
                <w:sz w:val="22"/>
                <w:szCs w:val="22"/>
              </w:rPr>
              <w:t xml:space="preserve">The work addresses a well-documented and pressing ecological problem. The identification of underwater optical degradation as the primary failure mode of existing systems, and the principled decision to model this degradation physically rather than treat it as statistical noise, reflects sound scientific reasoning. The research constructs a technically credible and practically relevant engineering pathway.</w:t>
            </w:r>
          </w:p>
        </w:tc>
      </w:tr>
      <w:tr>
        <w:tc>
          <w:tcPr>
            <w:tcW w:type="dxa" w:w="216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tcPr>
          <w:p>
            <w:r>
              <w:rPr>
                <w:rFonts w:ascii="Times New Roman" w:cs="Times New Roman" w:eastAsia="Times New Roman" w:hAnsi="Times New Roman"/>
                <w:b/>
                <w:bCs/>
                <w:color w:val="000000"/>
                <w:sz w:val="22"/>
                <w:szCs w:val="22"/>
              </w:rPr>
              <w:t xml:space="preserve">Contribution</w:t>
            </w:r>
          </w:p>
        </w:tc>
        <w:tc>
          <w:tcPr>
            <w:tcW w:type="dxa" w:w="7200"/>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both"/>
            </w:pPr>
            <w:r>
              <w:rPr>
                <w:rFonts w:ascii="Times New Roman" w:cs="Times New Roman" w:eastAsia="Times New Roman" w:hAnsi="Times New Roman"/>
                <w:color w:val="111111"/>
                <w:sz w:val="22"/>
                <w:szCs w:val="22"/>
              </w:rPr>
              <w:t xml:space="preserve">The author maintained independent control over the full system design, including the dataset aggregation pipeline, the physics-based PI-GE integration, and the upgrade from planar depth regression to the ASPP architecture. The decision to derive the image restoration procedure directly from the physical formation model — and to embed it within a differentiable forward pass — represents a genuine technical contribution rather than an application of existing components.</w:t>
            </w:r>
          </w:p>
        </w:tc>
      </w:tr>
      <w:tr>
        <w:tc>
          <w:tcPr>
            <w:tcW w:type="dxa" w:w="216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tcPr>
          <w:p>
            <w:r>
              <w:rPr>
                <w:rFonts w:ascii="Times New Roman" w:cs="Times New Roman" w:eastAsia="Times New Roman" w:hAnsi="Times New Roman"/>
                <w:b/>
                <w:bCs/>
                <w:color w:val="000000"/>
                <w:sz w:val="22"/>
                <w:szCs w:val="22"/>
              </w:rPr>
              <w:t xml:space="preserve">Limitations</w:t>
            </w:r>
          </w:p>
        </w:tc>
        <w:tc>
          <w:tcPr>
            <w:tcW w:type="dxa" w:w="7200"/>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both"/>
            </w:pPr>
            <w:r>
              <w:rPr>
                <w:rFonts w:ascii="Times New Roman" w:cs="Times New Roman" w:eastAsia="Times New Roman" w:hAnsi="Times New Roman"/>
                <w:color w:val="111111"/>
                <w:sz w:val="22"/>
                <w:szCs w:val="22"/>
              </w:rPr>
              <w:t xml:space="preserve">The system has been evaluated exclusively in simulated environments on Kaggle-hosted infrastructure. Real-world performance under genuine hydrostatic pressure gradients, thermal drift, and uncontrolled drone maneuvers remains unvalidated. This constitutes the principal outstanding gap between the current research stage and production readiness.</w:t>
            </w:r>
          </w:p>
        </w:tc>
      </w:tr>
      <w:tr>
        <w:tc>
          <w:tcPr>
            <w:tcW w:type="dxa" w:w="2160"/>
            <w:tcBorders>
              <w:top w:val="single" w:color="BBBBBB" w:sz="1"/>
              <w:left w:val="single" w:color="BBBBBB" w:sz="1"/>
              <w:bottom w:val="single" w:color="BBBBBB" w:sz="1"/>
              <w:right w:val="single" w:color="BBBBBB" w:sz="1"/>
            </w:tcBorders>
            <w:shd w:fill="F2F2F2" w:val="clear"/>
            <w:tcMar>
              <w:top w:type="dxa" w:w="100"/>
              <w:left w:type="dxa" w:w="120"/>
              <w:bottom w:type="dxa" w:w="100"/>
              <w:right w:type="dxa" w:w="120"/>
            </w:tcMar>
          </w:tcPr>
          <w:p>
            <w:r>
              <w:rPr>
                <w:rFonts w:ascii="Times New Roman" w:cs="Times New Roman" w:eastAsia="Times New Roman" w:hAnsi="Times New Roman"/>
                <w:b/>
                <w:bCs/>
                <w:color w:val="000000"/>
                <w:sz w:val="22"/>
                <w:szCs w:val="22"/>
              </w:rPr>
              <w:t xml:space="preserve">Recommendations</w:t>
            </w:r>
          </w:p>
        </w:tc>
        <w:tc>
          <w:tcPr>
            <w:tcW w:type="dxa" w:w="7200"/>
            <w:tcBorders>
              <w:top w:val="single" w:color="BBBBBB" w:sz="1"/>
              <w:left w:val="single" w:color="BBBBBB" w:sz="1"/>
              <w:bottom w:val="single" w:color="BBBBBB" w:sz="1"/>
              <w:right w:val="single" w:color="BBBBBB" w:sz="1"/>
            </w:tcBorders>
            <w:tcMar>
              <w:top w:type="dxa" w:w="100"/>
              <w:left w:type="dxa" w:w="120"/>
              <w:bottom w:type="dxa" w:w="100"/>
              <w:right w:type="dxa" w:w="120"/>
            </w:tcMar>
          </w:tcPr>
          <w:p>
            <w:pPr>
              <w:jc w:val="both"/>
            </w:pPr>
            <w:r>
              <w:rPr>
                <w:rFonts w:ascii="Times New Roman" w:cs="Times New Roman" w:eastAsia="Times New Roman" w:hAnsi="Times New Roman"/>
                <w:color w:val="111111"/>
                <w:sz w:val="22"/>
                <w:szCs w:val="22"/>
              </w:rPr>
              <w:t xml:space="preserve">The immediate research priority should be hardware field validation — deploying the quantized model on a physical Jetson Orin unit within an instrumented aquatic test pool. This step is necessary to characterize pipeline robustness under conditions not representable in simulation and to validate the end-to-end latency claims under real embedded constraints.</w:t>
            </w:r>
          </w:p>
        </w:tc>
      </w:tr>
    </w:tbl>
    <w:p>
      <w:pPr>
        <w:spacing w:before="2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80"/>
              <w:left w:type="dxa" w:w="0"/>
              <w:bottom w:type="dxa" w:w="80"/>
              <w:right w:type="dxa" w:w="300"/>
            </w:tcMar>
          </w:tcPr>
          <w:p>
            <w:pPr>
              <w:spacing w:before="0" w:after="60"/>
            </w:pPr>
            <w:r>
              <w:rPr>
                <w:rFonts w:ascii="Times New Roman" w:cs="Times New Roman" w:eastAsia="Times New Roman" w:hAnsi="Times New Roman"/>
                <w:color w:val="444444"/>
                <w:sz w:val="22"/>
                <w:szCs w:val="22"/>
              </w:rPr>
              <w:t xml:space="preserve">Mentor Name / Signature:</w:t>
            </w:r>
          </w:p>
          <w:p>
            <w:pPr>
              <w:pBdr>
                <w:bottom w:val="single" w:color="000000" w:sz="1"/>
              </w:pBdr>
              <w:spacing w:before="0" w:after="0"/>
            </w:pPr>
            <w:r>
              <w:rPr>
                <w:sz w:val="44"/>
                <w:szCs w:val="44"/>
              </w:rPr>
              <w:t xml:space="preserve"> </w:t>
            </w:r>
          </w:p>
        </w:tc>
        <w:tc>
          <w:tcPr>
            <w:tcW w:type="dxa" w:w="4860"/>
            <w:tcBorders>
              <w:top w:val="none"/>
              <w:left w:val="none"/>
              <w:bottom w:val="none"/>
              <w:right w:val="none"/>
            </w:tcBorders>
            <w:tcMar>
              <w:top w:type="dxa" w:w="80"/>
              <w:left w:type="dxa" w:w="300"/>
              <w:bottom w:type="dxa" w:w="80"/>
              <w:right w:type="dxa" w:w="0"/>
            </w:tcMar>
          </w:tcPr>
          <w:p>
            <w:pPr>
              <w:spacing w:before="0" w:after="60"/>
            </w:pPr>
            <w:r>
              <w:rPr>
                <w:rFonts w:ascii="Times New Roman" w:cs="Times New Roman" w:eastAsia="Times New Roman" w:hAnsi="Times New Roman"/>
                <w:color w:val="444444"/>
                <w:sz w:val="22"/>
                <w:szCs w:val="22"/>
              </w:rPr>
              <w:t xml:space="preserve">Date:</w:t>
            </w:r>
          </w:p>
          <w:p>
            <w:pPr>
              <w:pBdr>
                <w:bottom w:val="single" w:color="000000" w:sz="1"/>
              </w:pBdr>
              <w:spacing w:before="0" w:after="0"/>
            </w:pPr>
            <w:r>
              <w:rPr>
                <w:sz w:val="44"/>
                <w:szCs w:val="44"/>
              </w:rPr>
              <w:t xml:space="preserve"> </w:t>
            </w:r>
          </w:p>
        </w:tc>
      </w:tr>
    </w:tbl>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before="0" w:after="60"/>
    </w:pPr>
    <w:r>
      <w:rPr>
        <w:rFonts w:ascii="Times New Roman" w:cs="Times New Roman" w:eastAsia="Times New Roman" w:hAnsi="Times New Roman"/>
        <w:color w:val="888888"/>
        <w:sz w:val="18"/>
        <w:szCs w:val="18"/>
      </w:rPr>
      <w:t xml:space="preserve">AquaDet: Edge AI for Underwater Waste Detection</w:t>
    </w:r>
    <w:r>
      <w:rPr>
        <w:sz w:val="18"/>
        <w:szCs w:val="18"/>
      </w:rPr>
      <w:t xml:space="preserv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p>
    <w:pPr>
      <w:pBdr>
        <w:bottom w:val="single" w:color="BBBBBB" w:sz="1"/>
      </w:pBd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00" w:hanging="400"/>
      </w:pPr>
    </w:lvl>
  </w:abstractNum>
  <w:abstractNum w:abstractNumId="3" w15:restartNumberingAfterBreak="0">
    <w:multiLevelType w:val="hybridMultilevel"/>
    <w:lvl w:ilvl="0" w15:tentative="1">
      <w:start w:val="1"/>
      <w:numFmt w:val="decimal"/>
      <w:lvlText w:val="%1."/>
      <w:lvlJc w:val="left"/>
      <w:pPr>
        <w:ind w:left="800" w:hanging="4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Times New Roman" w:cs="Times New Roman" w:eastAsia="Times New Roman" w:hAnsi="Times New Roman"/>
      <w:b/>
      <w:bCs/>
      <w:color w:val="000000"/>
      <w:sz w:val="22"/>
      <w:szCs w:val="22"/>
    </w:rPr>
  </w:style>
  <w:style w:type="paragraph" w:styleId="Heading2">
    <w:name w:val="Heading 2"/>
    <w:basedOn w:val="Normal"/>
    <w:next w:val="Normal"/>
    <w:qFormat/>
    <w:pPr>
      <w:spacing w:before="200" w:after="80"/>
      <w:outlineLvl w:val="1"/>
    </w:pPr>
    <w:rPr>
      <w:rFonts w:ascii="Times New Roman" w:cs="Times New Roman" w:eastAsia="Times New Roman" w:hAnsi="Times New Roman"/>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2026-03-28T11:34:28.350Z</dcterms:created>
  <dcterms:modified xsi:type="dcterms:W3CDTF">2026-03-28T11:34:28.351Z</dcterms:modified>
</cp:coreProperties>
</file>

<file path=docProps/custom.xml><?xml version="1.0" encoding="utf-8"?>
<Properties xmlns="http://schemas.openxmlformats.org/officeDocument/2006/custom-properties" xmlns:vt="http://schemas.openxmlformats.org/officeDocument/2006/docPropsVTypes"/>
</file>