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6"/>
        </w:rPr>
        <w:t>GenSync-MedAI: A Safety-Aware Serverless Semantic Cache for Clinical Question Answering with Deterministic Multilingual Triage and Privacy-Preserving Audit</w:t>
      </w:r>
    </w:p>
    <w:p>
      <w:pPr>
        <w:spacing w:after="240"/>
        <w:jc w:val="center"/>
      </w:pPr>
      <w:r>
        <w:rPr>
          <w:i/>
          <w:sz w:val="19"/>
        </w:rPr>
        <w:t>PRIYANKAA S.1, KAMALESH N.1, and DR. VIGNESHWARI S.1</w:t>
        <w:br/>
        <w:t>1School of Computer Science and Engineering, Vellore Institute of Technology, Chennai Campus, Chennai 600127, Tamil Nadu, India</w:t>
        <w:br/>
        <w:t>(e-mail: priyankaa.s2024@vitstudent.ac.in, kamalesh.n2024@vitstudent.ac.in, vigneshwari.s@vit.ac.in)</w:t>
        <w:br/>
        <w:t>Faculty Advisor: Dr. Vigneshwari S.</w:t>
      </w:r>
    </w:p>
    <w:p>
      <w:pPr>
        <w:spacing w:after="120"/>
        <w:ind w:left="360" w:right="360"/>
      </w:pPr>
      <w:r>
        <w:rPr>
          <w:b/>
          <w:sz w:val="18"/>
        </w:rPr>
        <w:t xml:space="preserve">ABSTRACT— </w:t>
      </w:r>
      <w:r>
        <w:rPr>
          <w:sz w:val="18"/>
        </w:rPr>
        <w:t>Large language models (LLMs) in digital health face two coupled problems: inference latency and cost, and hallucination during acute emergencies. Conventional semantic caches reduce latency by reusing earlier answers, but they treat every query alike and typically depend on continuously provisioned vector databases costing roughly USD 30–100+ per month. This paper presents GenSync-MedAI, a safety-prioritized semantic caching architecture for clinical question answering built entirely from AWS serverless components. A deterministic multilingual safety circuit breaker evaluates each query in 0.06 ms on CPU, before any neural embedding, and short-circuits life-threatening presentations to an emergency advisory (tel:112) with an asynchronous SNS clinician alert across English, Hinglish, and Tanglish. Safe queries are embedded on CPU inside AWS Lambda using an INT8-quantized all-MiniLM-L6-v2 ONNX model and matched by a two-stage retrieval over native Amazon DynamoDB (centroid screening followed by GSI partition pruning) with a cosine threshold of 0.92. Only human-approved answers carrying guideline provenance are served, and misses yield a safe refusal queued for clinician review. Only keyed HMAC-SHA256 digests of queries are persisted. On a live 32-case adversarial suite the system achieved 100% emergency detection (8/8, 95% CI: 63.1%–100%), zero false cache hits (0/32, one-sided 95% upper bound: 8.9%), 96.9% overall routing accuracy (31/32), a median server time of 211.4 ms including 90.3 ms median DynamoDB retrieval, zero raw-text matches in log inspection, and USD 0.00 idle cost. We show that supporting a 1% population failure bound requires n ≥ 299 consecutive zero-violation cases via exact binomial tail bounds, establish a question-level 3-split protocol (development, calibration, locked test), and analyze latency and cost scaling for up to 100,000 active users.</w:t>
      </w:r>
    </w:p>
    <w:p>
      <w:pPr>
        <w:spacing w:after="240"/>
        <w:ind w:left="360" w:right="360"/>
      </w:pPr>
      <w:r>
        <w:rPr>
          <w:b/>
          <w:sz w:val="18"/>
        </w:rPr>
        <w:t xml:space="preserve">INDEX TERMS— </w:t>
      </w:r>
      <w:r>
        <w:rPr>
          <w:sz w:val="18"/>
        </w:rPr>
        <w:t>Clinical question answering, semantic caching, serverless computing, AWS Lambda, Amazon DynamoDB, safety triage, exact binomial risk bounds, privacy by design.</w:t>
      </w:r>
    </w:p>
    <w:p>
      <w:pPr>
        <w:spacing w:before="280" w:after="80"/>
      </w:pPr>
      <w:r>
        <w:rPr>
          <w:b/>
          <w:sz w:val="22"/>
        </w:rPr>
        <w:t>I. INTRODUCTION</w:t>
      </w:r>
    </w:p>
    <w:p>
      <w:pPr>
        <w:spacing w:after="120" w:line="252" w:lineRule="auto"/>
      </w:pPr>
      <w:r>
        <w:t>Large language models (LLMs) now encode substantial clinical knowledge and are being evaluated for patient-facing question answering [1], [2], [3]. Their deployment in digital health nevertheless exposes two coupled weaknesses. The first is operational: every generative call carries multi-second latency and per-token cost. The second is epistemic: LLMs can produce fluent but unsupported statements, a failure mode studied extensively as hallucination [4], [5], which is especially hazardous when a user describes an acute condition or asks about changing medication [6], [7]. Reviews of hospital deployments stress that cost and security are co-equal concerns alongside accuracy [8].</w:t>
      </w:r>
    </w:p>
    <w:p>
      <w:pPr>
        <w:spacing w:after="120" w:line="252" w:lineRule="auto"/>
      </w:pPr>
      <w:r>
        <w:t>A common remedy for latency and cost is a semantic cache, which embeds each incoming question and reuses a stored answer when a sufficiently similar question has been seen before [9], [10]. Measurements cited in the caching literature suggest that roughly 31% of LLM queries are semantically similar to an earlier query [11], and clinical traffic, with its recurring drug, symptom and self-care questions, is a natural candidate for reuse. Generic semantic caches, however, treat all queries identically. A patient describing crushing chest pain traverses the same embedding-and-lookup path as a question about general nutrition. In addition, production vector stores are usually provisioned as always-on clusters whose cost (roughly USD 30–100+ per month, as observed across commercial offerings) is difficult to justify for rural clinics, student research groups and low-resource telemedicine portals. Finally, telemedicine systems frequently persist raw prompt text in application databases, log streams and message queues, creating exposure under HIPAA [12] and India's Digital Personal Data Protection Act, 2023 [13].</w:t>
      </w:r>
    </w:p>
    <w:p>
      <w:pPr>
        <w:spacing w:after="120" w:line="252" w:lineRule="auto"/>
      </w:pPr>
      <w:r>
        <w:t>This paper presents GenSync-MedAI, a safety-prioritized semantic caching architecture for clinical question answering implemented wholly with AWS serverless services in the ap-south-1 (Mumbai) region. The design rests on two explicit invariants. Invariant 1 (safety before retrieval): a deterministic rule engine inspects every query before any neural embedding is computed and short-circuits emergencies and medication-related questions across English, Hinglish, and Tanglish. Invariant 2 (zero PHI at rest): raw query text is never written to logs, audit tables or notification payloads; only an HMAC-SHA256 digest is persisted. A third policy, human-approved provenance, restricts the system to returning answers that clinicians have reviewed, and replaces generation on a miss with a safe refusal.</w:t>
      </w:r>
    </w:p>
    <w:p>
      <w:pPr>
        <w:spacing w:before="180" w:after="40"/>
      </w:pPr>
      <w:r>
        <w:rPr>
          <w:b/>
          <w:i/>
          <w:sz w:val="20"/>
        </w:rPr>
        <w:t>A. Problem Statement</w:t>
      </w:r>
    </w:p>
    <w:p>
      <w:pPr>
        <w:spacing w:after="120" w:line="252" w:lineRule="auto"/>
      </w:pPr>
      <w:r>
        <w:t>Four problems motivate the work. (1) Latency and hallucination in emergencies: generating a probabilistic multi-second response to red-flag symptoms such as chest pain, respiratory distress or unilateral facial droop risks delay and harm. (2) Prohibitive vector-database cost: dedicated services (for example Pinecone, OpenSearch Serverless or Weaviate) incur continuous monthly charges regardless of traffic. (3) PHI leakage: raw prompts in logs and queues create compliance liabilities. (4) Lack of verifiable provenance: standard generative models cannot attribute advice to licensed physicians or institutional guidelines, which invites unsafe automated medication adjustment.</w:t>
      </w:r>
    </w:p>
    <w:p>
      <w:pPr>
        <w:spacing w:before="180" w:after="40"/>
      </w:pPr>
      <w:r>
        <w:rPr>
          <w:b/>
          <w:i/>
          <w:sz w:val="20"/>
        </w:rPr>
        <w:t>B. Research Questions</w:t>
      </w:r>
    </w:p>
    <w:p>
      <w:pPr>
        <w:spacing w:after="120" w:line="252" w:lineRule="auto"/>
      </w:pPr>
      <w:r>
        <w:t>RQ1. Can a deterministic pre-embedding gate route every red-flag case in an adversarial suite to an emergency response without involving the cache?</w:t>
      </w:r>
    </w:p>
    <w:p>
      <w:pPr>
        <w:spacing w:after="120" w:line="252" w:lineRule="auto"/>
      </w:pPr>
      <w:r>
        <w:t>RQ2. Can a two-stage retrieval over native DynamoDB deliver sub-second end-to-end responses at zero idle infrastructure cost?</w:t>
      </w:r>
    </w:p>
    <w:p>
      <w:pPr>
        <w:spacing w:after="120" w:line="252" w:lineRule="auto"/>
      </w:pPr>
      <w:r>
        <w:t>RQ3. Does the combined gate, similarity threshold and approval requirement avoid false cache hits on clinically adversarial queries?</w:t>
      </w:r>
    </w:p>
    <w:p>
      <w:pPr>
        <w:spacing w:after="120" w:line="252" w:lineRule="auto"/>
      </w:pPr>
      <w:r>
        <w:t>RQ4. Can an audit trail remain useful for observability while persisting no raw clinical text?</w:t>
      </w:r>
    </w:p>
    <w:p>
      <w:pPr>
        <w:spacing w:before="180" w:after="40"/>
      </w:pPr>
      <w:r>
        <w:rPr>
          <w:b/>
          <w:i/>
          <w:sz w:val="20"/>
        </w:rPr>
        <w:t>C. Contributions</w:t>
      </w:r>
    </w:p>
    <w:p>
      <w:pPr>
        <w:spacing w:after="120" w:line="252" w:lineRule="auto"/>
      </w:pPr>
      <w:r>
        <w:t>1. A safety-before-retrieval circuit breaker that classifies queries in 0.06 ms on CPU and returns an emergency advisory with a one-tap tel:112 action in under 60 ms, while raising an asynchronous Amazon SNS alert across English, Hinglish, and Tanglish.</w:t>
      </w:r>
    </w:p>
    <w:p>
      <w:pPr>
        <w:spacing w:after="120" w:line="252" w:lineRule="auto"/>
      </w:pPr>
      <w:r>
        <w:t>2. A two-stage vector retrieval engine on native Amazon DynamoDB (centroid screening followed by Global Secondary Index partition pruning) that removes the need for a dedicated vector database and incurs no idle cost.</w:t>
      </w:r>
    </w:p>
    <w:p>
      <w:pPr>
        <w:spacing w:after="120" w:line="252" w:lineRule="auto"/>
      </w:pPr>
      <w:r>
        <w:t>3. Serverless CPU embedding using an INT8-quantized all-MiniLM-L6-v2 ONNX model executed inside AWS Lambda, without GPU or EC2 instances.</w:t>
      </w:r>
    </w:p>
    <w:p>
      <w:pPr>
        <w:spacing w:after="120" w:line="252" w:lineRule="auto"/>
      </w:pPr>
      <w:r>
        <w:t>4. A human-in-the-loop provenance and safe-refusal policy: only answers marked HUMAN_APPROVED and tied to institutional guidance are served; low-similarity queries receive a controlled refusal and are queued for clinician review.</w:t>
      </w:r>
    </w:p>
    <w:p>
      <w:pPr>
        <w:spacing w:after="120" w:line="252" w:lineRule="auto"/>
      </w:pPr>
      <w:r>
        <w:t>5. Exact binomial statistical calibration: formal derivation proving that supporting a 1% population false-hit bound requires n ≥ 299 zero-violation samples, establishing a 3-split data governance protocol, and reconciling latency instrumentation discrepancies.</w:t>
      </w:r>
    </w:p>
    <w:p>
      <w:pPr>
        <w:spacing w:before="180" w:after="40"/>
      </w:pPr>
      <w:r>
        <w:rPr>
          <w:b/>
          <w:i/>
          <w:sz w:val="20"/>
        </w:rPr>
        <w:t>D. Scope and Non-Goals</w:t>
      </w:r>
    </w:p>
    <w:p>
      <w:pPr>
        <w:spacing w:after="120" w:line="252" w:lineRule="auto"/>
      </w:pPr>
      <w:r>
        <w:t>The system is intended as an informational triage and question-answering layer. It does not diagnose, prescribe, generate novel medical advice, or replace emergency services or clinicians. It is also not a general-purpose chatbot: its coverage is limited to the answers that reviewers have approved, and uncovered questions receive a refusal by design. These boundaries are part of the safety argument and not defects to be engineered away.</w:t>
      </w:r>
    </w:p>
    <w:p>
      <w:pPr>
        <w:spacing w:before="280" w:after="80"/>
      </w:pPr>
      <w:r>
        <w:rPr>
          <w:b/>
          <w:sz w:val="22"/>
        </w:rPr>
        <w:t>II. BACKGROUND AND RELATED WORK</w:t>
      </w:r>
    </w:p>
    <w:p>
      <w:pPr>
        <w:spacing w:after="120" w:line="252" w:lineRule="auto"/>
      </w:pPr>
      <w:r>
        <w:t>This section summarizes the literature along six themes from a structured scoping survey of arXiv preprints, AWS documentation, ACM and VLDB venues, open-access medical journals and engineering blogs, conducted by the authors in September 2026.</w:t>
      </w:r>
    </w:p>
    <w:p>
      <w:pPr>
        <w:spacing w:before="180" w:after="40"/>
      </w:pPr>
      <w:r>
        <w:rPr>
          <w:b/>
          <w:i/>
          <w:sz w:val="20"/>
        </w:rPr>
        <w:t>A. LLMs in Medicine and Hallucination</w:t>
      </w:r>
    </w:p>
    <w:p>
      <w:pPr>
        <w:spacing w:after="120" w:line="252" w:lineRule="auto"/>
      </w:pPr>
      <w:r>
        <w:t>Evaluations of LLMs on medical benchmarks show encouraging accuracy [1], and reviews outline both opportunities and risks for clinical use [2], [3]. Surveys of hallucination catalogue the tendency of generative models to assert content not grounded in any source [4], and multitask evaluations confirm that this persists in widely used chat models [5]. Clinical commentary stresses that AI-generated advice must be attributable and reviewed before reaching patients [6], [7]. Holistic medical benchmarks such as MedHELM also report per-token inference costs across commercial and open models, which makes the economic case for avoiding redundant calls explicit [14]. GenSync-MedAI responds by never generating free text at inference time: it returns pre-approved, attributable answers or a refusal.</w:t>
      </w:r>
    </w:p>
    <w:p>
      <w:pPr>
        <w:spacing w:before="180" w:after="40"/>
      </w:pPr>
      <w:r>
        <w:rPr>
          <w:b/>
          <w:i/>
          <w:sz w:val="20"/>
        </w:rPr>
        <w:t>B. Semantic Caching of LLM Responses</w:t>
      </w:r>
    </w:p>
    <w:p>
      <w:pPr>
        <w:spacing w:after="120" w:line="252" w:lineRule="auto"/>
      </w:pPr>
      <w:r>
        <w:t>GPTCache [9] established the reference pattern: embed the prompt, search a pluggable vector store, and return the stored response above a similarity threshold. Later work extends this pattern in several directions. MeanCache moves the cache to the client and tunes it with federated learning to limit what leaves the device [11]. SCALM analyzes real chat traffic and proposes eviction and pattern-identification logic [15]. ContextCache models inter-turn context for multi-turn dialogue and reports gains in precision and recall over GPTCache [16]. vCache [17] and asynchronous verified caching [10] add verification steps to bound the risk of a similar-but-wrong hit. Domain-specific fine-tuning of small embedding models, including on a medical dataset, measurably improves cache precision [23]. Table 1 summarizes these systems.</w:t>
      </w:r>
    </w:p>
    <w:p>
      <w:pPr>
        <w:spacing w:before="160" w:after="60"/>
        <w:jc w:val="center"/>
      </w:pPr>
      <w:r>
        <w:rPr>
          <w:b/>
          <w:sz w:val="17"/>
        </w:rPr>
        <w:t>TABLE 1. REPRESENTATIVE SEMANTIC-CACHING SYSTEMS (FROM THE SCOPING SURVEY)</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System</w:t>
            </w:r>
          </w:p>
        </w:tc>
        <w:tc>
          <w:tcPr>
            <w:tcW w:type="dxa" w:w="3360"/>
            <w:shd w:val="clear" w:color="auto" w:fill="1E293B"/>
          </w:tcPr>
          <w:p>
            <w:r>
              <w:rPr>
                <w:b/>
                <w:color w:val="FFFFFF"/>
                <w:sz w:val="16"/>
              </w:rPr>
              <w:t>Main idea</w:t>
            </w:r>
          </w:p>
        </w:tc>
        <w:tc>
          <w:tcPr>
            <w:tcW w:type="dxa" w:w="3360"/>
            <w:shd w:val="clear" w:color="auto" w:fill="1E293B"/>
          </w:tcPr>
          <w:p>
            <w:r>
              <w:rPr>
                <w:b/>
                <w:color w:val="FFFFFF"/>
                <w:sz w:val="16"/>
              </w:rPr>
              <w:t>Limitation relevant here</w:t>
            </w:r>
          </w:p>
        </w:tc>
      </w:tr>
      <w:tr>
        <w:tc>
          <w:tcPr>
            <w:tcW w:type="dxa" w:w="3360"/>
            <w:shd w:val="clear" w:color="auto" w:fill="FFFFFF"/>
          </w:tcPr>
          <w:p>
            <w:r>
              <w:rPr>
                <w:sz w:val="16"/>
              </w:rPr>
              <w:t>GPTCache [9]</w:t>
            </w:r>
          </w:p>
        </w:tc>
        <w:tc>
          <w:tcPr>
            <w:tcW w:type="dxa" w:w="3360"/>
            <w:shd w:val="clear" w:color="auto" w:fill="FFFFFF"/>
          </w:tcPr>
          <w:p>
            <w:r>
              <w:rPr>
                <w:sz w:val="16"/>
              </w:rPr>
              <w:t>Embedding lookup in a pluggable vector store</w:t>
            </w:r>
          </w:p>
        </w:tc>
        <w:tc>
          <w:tcPr>
            <w:tcW w:type="dxa" w:w="3360"/>
            <w:shd w:val="clear" w:color="auto" w:fill="FFFFFF"/>
          </w:tcPr>
          <w:p>
            <w:r>
              <w:rPr>
                <w:sz w:val="16"/>
              </w:rPr>
              <w:t>Assumes a standalone vector backend</w:t>
            </w:r>
          </w:p>
        </w:tc>
      </w:tr>
      <w:tr>
        <w:tc>
          <w:tcPr>
            <w:tcW w:type="dxa" w:w="3360"/>
            <w:shd w:val="clear" w:color="auto" w:fill="F8FAFC"/>
          </w:tcPr>
          <w:p>
            <w:r>
              <w:rPr>
                <w:sz w:val="16"/>
              </w:rPr>
              <w:t>MeanCache [11]</w:t>
            </w:r>
          </w:p>
        </w:tc>
        <w:tc>
          <w:tcPr>
            <w:tcW w:type="dxa" w:w="3360"/>
            <w:shd w:val="clear" w:color="auto" w:fill="F8FAFC"/>
          </w:tcPr>
          <w:p>
            <w:r>
              <w:rPr>
                <w:sz w:val="16"/>
              </w:rPr>
              <w:t>Client-side, federated, privacy-aware cache</w:t>
            </w:r>
          </w:p>
        </w:tc>
        <w:tc>
          <w:tcPr>
            <w:tcW w:type="dxa" w:w="3360"/>
            <w:shd w:val="clear" w:color="auto" w:fill="F8FAFC"/>
          </w:tcPr>
          <w:p>
            <w:r>
              <w:rPr>
                <w:sz w:val="16"/>
              </w:rPr>
              <w:t>Not evaluated in a clinical or serverless-AWS setting</w:t>
            </w:r>
          </w:p>
        </w:tc>
      </w:tr>
      <w:tr>
        <w:tc>
          <w:tcPr>
            <w:tcW w:type="dxa" w:w="3360"/>
            <w:shd w:val="clear" w:color="auto" w:fill="FFFFFF"/>
          </w:tcPr>
          <w:p>
            <w:r>
              <w:rPr>
                <w:sz w:val="16"/>
              </w:rPr>
              <w:t>SCALM [15]</w:t>
            </w:r>
          </w:p>
        </w:tc>
        <w:tc>
          <w:tcPr>
            <w:tcW w:type="dxa" w:w="3360"/>
            <w:shd w:val="clear" w:color="auto" w:fill="FFFFFF"/>
          </w:tcPr>
          <w:p>
            <w:r>
              <w:rPr>
                <w:sz w:val="16"/>
              </w:rPr>
              <w:t>Eviction and pattern-aware caching for chat</w:t>
            </w:r>
          </w:p>
        </w:tc>
        <w:tc>
          <w:tcPr>
            <w:tcW w:type="dxa" w:w="3360"/>
            <w:shd w:val="clear" w:color="auto" w:fill="FFFFFF"/>
          </w:tcPr>
          <w:p>
            <w:r>
              <w:rPr>
                <w:sz w:val="16"/>
              </w:rPr>
              <w:t>General chat data, not clinical</w:t>
            </w:r>
          </w:p>
        </w:tc>
      </w:tr>
      <w:tr>
        <w:tc>
          <w:tcPr>
            <w:tcW w:type="dxa" w:w="3360"/>
            <w:shd w:val="clear" w:color="auto" w:fill="F8FAFC"/>
          </w:tcPr>
          <w:p>
            <w:r>
              <w:rPr>
                <w:sz w:val="16"/>
              </w:rPr>
              <w:t>ContextCache [16]</w:t>
            </w:r>
          </w:p>
        </w:tc>
        <w:tc>
          <w:tcPr>
            <w:tcW w:type="dxa" w:w="3360"/>
            <w:shd w:val="clear" w:color="auto" w:fill="F8FAFC"/>
          </w:tcPr>
          <w:p>
            <w:r>
              <w:rPr>
                <w:sz w:val="16"/>
              </w:rPr>
              <w:t>Context-aware multi-turn matching</w:t>
            </w:r>
          </w:p>
        </w:tc>
        <w:tc>
          <w:tcPr>
            <w:tcW w:type="dxa" w:w="3360"/>
            <w:shd w:val="clear" w:color="auto" w:fill="F8FAFC"/>
          </w:tcPr>
          <w:p>
            <w:r>
              <w:rPr>
                <w:sz w:val="16"/>
              </w:rPr>
              <w:t>General dialogue benchmarks; no deployment cost</w:t>
            </w:r>
          </w:p>
        </w:tc>
      </w:tr>
      <w:tr>
        <w:tc>
          <w:tcPr>
            <w:tcW w:type="dxa" w:w="3360"/>
            <w:shd w:val="clear" w:color="auto" w:fill="FFFFFF"/>
          </w:tcPr>
          <w:p>
            <w:r>
              <w:rPr>
                <w:sz w:val="16"/>
              </w:rPr>
              <w:t>vCache / async verified [17], [10]</w:t>
            </w:r>
          </w:p>
        </w:tc>
        <w:tc>
          <w:tcPr>
            <w:tcW w:type="dxa" w:w="3360"/>
            <w:shd w:val="clear" w:color="auto" w:fill="FFFFFF"/>
          </w:tcPr>
          <w:p>
            <w:r>
              <w:rPr>
                <w:sz w:val="16"/>
              </w:rPr>
              <w:t>Verification of cached responses &amp; calibrated thresholds</w:t>
            </w:r>
          </w:p>
        </w:tc>
        <w:tc>
          <w:tcPr>
            <w:tcW w:type="dxa" w:w="3360"/>
            <w:shd w:val="clear" w:color="auto" w:fill="FFFFFF"/>
          </w:tcPr>
          <w:p>
            <w:r>
              <w:rPr>
                <w:sz w:val="16"/>
              </w:rPr>
              <w:t>Opaque neural verification, not a deterministic clinical gate</w:t>
            </w:r>
          </w:p>
        </w:tc>
      </w:tr>
      <w:tr>
        <w:tc>
          <w:tcPr>
            <w:tcW w:type="dxa" w:w="3360"/>
            <w:shd w:val="clear" w:color="auto" w:fill="F8FAFC"/>
          </w:tcPr>
          <w:p>
            <w:r>
              <w:rPr>
                <w:sz w:val="16"/>
              </w:rPr>
              <w:t>Generative cache [18]</w:t>
            </w:r>
          </w:p>
        </w:tc>
        <w:tc>
          <w:tcPr>
            <w:tcW w:type="dxa" w:w="3360"/>
            <w:shd w:val="clear" w:color="auto" w:fill="F8FAFC"/>
          </w:tcPr>
          <w:p>
            <w:r>
              <w:rPr>
                <w:sz w:val="16"/>
              </w:rPr>
              <w:t>Regenerate from similar cached entry</w:t>
            </w:r>
          </w:p>
        </w:tc>
        <w:tc>
          <w:tcPr>
            <w:tcW w:type="dxa" w:w="3360"/>
            <w:shd w:val="clear" w:color="auto" w:fill="F8FAFC"/>
          </w:tcPr>
          <w:p>
            <w:r>
              <w:rPr>
                <w:sz w:val="16"/>
              </w:rPr>
              <w:t>Reintroduces generative hallucination risk</w:t>
            </w:r>
          </w:p>
        </w:tc>
      </w:tr>
      <w:tr>
        <w:tc>
          <w:tcPr>
            <w:tcW w:type="dxa" w:w="3360"/>
            <w:shd w:val="clear" w:color="auto" w:fill="FFFFFF"/>
          </w:tcPr>
          <w:p>
            <w:r>
              <w:rPr>
                <w:sz w:val="16"/>
              </w:rPr>
              <w:t>Domain embeddings [23]</w:t>
            </w:r>
          </w:p>
        </w:tc>
        <w:tc>
          <w:tcPr>
            <w:tcW w:type="dxa" w:w="3360"/>
            <w:shd w:val="clear" w:color="auto" w:fill="FFFFFF"/>
          </w:tcPr>
          <w:p>
            <w:r>
              <w:rPr>
                <w:sz w:val="16"/>
              </w:rPr>
              <w:t>Fine-tuned medical embedding model</w:t>
            </w:r>
          </w:p>
        </w:tc>
        <w:tc>
          <w:tcPr>
            <w:tcW w:type="dxa" w:w="3360"/>
            <w:shd w:val="clear" w:color="auto" w:fill="FFFFFF"/>
          </w:tcPr>
          <w:p>
            <w:r>
              <w:rPr>
                <w:sz w:val="16"/>
              </w:rPr>
              <w:t>Benchmark of embeddings, no deployed system</w:t>
            </w:r>
          </w:p>
        </w:tc>
      </w:tr>
      <w:tr>
        <w:tc>
          <w:tcPr>
            <w:tcW w:type="dxa" w:w="3360"/>
            <w:shd w:val="clear" w:color="auto" w:fill="F8FAFC"/>
          </w:tcPr>
          <w:p>
            <w:r>
              <w:rPr>
                <w:sz w:val="16"/>
              </w:rPr>
              <w:t>GenSync-MedAI (this work)</w:t>
            </w:r>
          </w:p>
        </w:tc>
        <w:tc>
          <w:tcPr>
            <w:tcW w:type="dxa" w:w="3360"/>
            <w:shd w:val="clear" w:color="auto" w:fill="F8FAFC"/>
          </w:tcPr>
          <w:p>
            <w:r>
              <w:rPr>
                <w:sz w:val="16"/>
              </w:rPr>
              <w:t>Safety gate, DynamoDB two-stage retrieval, approved answers, exact binomial calibration</w:t>
            </w:r>
          </w:p>
        </w:tc>
        <w:tc>
          <w:tcPr>
            <w:tcW w:type="dxa" w:w="3360"/>
            <w:shd w:val="clear" w:color="auto" w:fill="F8FAFC"/>
          </w:tcPr>
          <w:p>
            <w:r>
              <w:rPr>
                <w:sz w:val="16"/>
              </w:rPr>
              <w:t>Small author-built suite; requires expanded vignette panel</w:t>
            </w:r>
          </w:p>
        </w:tc>
      </w:tr>
    </w:tbl>
    <w:p>
      <w:pPr>
        <w:spacing w:after="80"/>
      </w:pPr>
    </w:p>
    <w:p>
      <w:pPr>
        <w:spacing w:before="180" w:after="40"/>
      </w:pPr>
      <w:r>
        <w:rPr>
          <w:b/>
          <w:i/>
          <w:sz w:val="20"/>
        </w:rPr>
        <w:t>C. Vector Search Backends and the Cost of Always-On Clusters</w:t>
      </w:r>
    </w:p>
    <w:p>
      <w:pPr>
        <w:spacing w:after="120" w:line="252" w:lineRule="auto"/>
      </w:pPr>
      <w:r>
        <w:t>Vector databases such as FAISS-based services and HNSW-indexed stores provide fast approximate nearest-neighbour search [24], [25]. In 2026, AWS announced native vector search in DynamoDB, with a dedicated search API, up to 4,096 dimensions and cosine, Euclidean and dot-product distances [29], [30]. This materially narrows any novelty claim of the form 'DynamoDB can replace the vector database'. We therefore do not claim novelty for storing vectors in DynamoDB; our contribution is the clinical safety, multilingual triage, and provenance layer built around retrieval, and a retrieval path that uses long-standing DynamoDB primitives with similarity computed in Lambda memory.</w:t>
      </w:r>
    </w:p>
    <w:p>
      <w:pPr>
        <w:spacing w:before="180" w:after="40"/>
      </w:pPr>
      <w:r>
        <w:rPr>
          <w:b/>
          <w:i/>
          <w:sz w:val="20"/>
        </w:rPr>
        <w:t>D. Serverless Inference, Quantization and Small Models</w:t>
      </w:r>
    </w:p>
    <w:p>
      <w:pPr>
        <w:spacing w:after="120" w:line="252" w:lineRule="auto"/>
      </w:pPr>
      <w:r>
        <w:t>Serverless platforms scale to zero and bill per invocation [31]. AWS Lambda executes functions in Firecracker micro-VMs [32], supports container-image packaging of ML models [33], and offers no GPU resource type in standard tiers [34]. The ONNX format [35] and integer quantization [36], [37] reduce model size and CPU cost. Comparisons of native small models against quantized larger ones show task-dependent reversals, including on hallucination detection [39]. For this reason GenSync-MedAI uses a small model only for embeddings and never for answer generation.</w:t>
      </w:r>
    </w:p>
    <w:p>
      <w:pPr>
        <w:spacing w:before="180" w:after="40"/>
      </w:pPr>
      <w:r>
        <w:rPr>
          <w:b/>
          <w:i/>
          <w:sz w:val="20"/>
        </w:rPr>
        <w:t>E. Triage, Digital-Health Policy and Privacy</w:t>
      </w:r>
    </w:p>
    <w:p>
      <w:pPr>
        <w:spacing w:after="120" w:line="252" w:lineRule="auto"/>
      </w:pPr>
      <w:r>
        <w:t>Structured triage systems such as the Manchester Triage System [46] and the Emergency Severity Index [47] formalize urgency classification and motivate treating red-flag symptoms deterministically. WHO guidance [48], the Ayushman Bharat Digital Mission [49] and India's telemedicine practice guidelines [50] frame the deployment context. Cryptographic digests [51] and keyed hashes (HMAC) allow auditability without retaining content, and privacy law [12], [13] motivates minimizing stored health-related text.</w:t>
      </w:r>
    </w:p>
    <w:p>
      <w:pPr>
        <w:spacing w:before="180" w:after="40"/>
      </w:pPr>
      <w:r>
        <w:rPr>
          <w:b/>
          <w:i/>
          <w:sz w:val="20"/>
        </w:rPr>
        <w:t>F. Security of Semantic Caches</w:t>
      </w:r>
    </w:p>
    <w:p>
      <w:pPr>
        <w:spacing w:after="120" w:line="252" w:lineRule="auto"/>
      </w:pPr>
      <w:r>
        <w:t>InputSnatch shows that response-time differences between a cache hit and a miss in a shared semantic cache can reveal whether a topic was previously queried [52]. The same logic transfers to clinical content: if one user's query about a condition changes the latency another user observes, the cache leaks information about prior askers. GenSync-MedAI restricts cached content exclusively to curated, approved reference answers (never caching user submissions), reducing the attack surface. Furthermore, as discussed in Section IX, constant-time delay floors face severe tail-latency trade-offs in serverless architectures.</w:t>
      </w:r>
    </w:p>
    <w:p>
      <w:pPr>
        <w:spacing w:before="180" w:after="40"/>
      </w:pPr>
      <w:r>
        <w:rPr>
          <w:b/>
          <w:i/>
          <w:sz w:val="20"/>
        </w:rPr>
        <w:t>G. Cache Freshness, Cost Models and Evaluation Methodology</w:t>
      </w:r>
    </w:p>
    <w:p>
      <w:pPr>
        <w:spacing w:after="120" w:line="252" w:lineRule="auto"/>
      </w:pPr>
      <w:r>
        <w:t>A cached answer can silently become wrong when guidance changes. Freshness-aware caching for open-web retrieval proposes risk-constrained expiry policies [53], and eviction has been treated as a first-class design question for chat caches [15]. Clinical content has its own volatility, for example dosage and interaction guidance versus stable anatomical facts. On the cost side, cost-crossover models show that naive caching can cost more than no caching when write costs are high relative to reads [55]. We use these works to motivate transparent, line-item reporting of cost and a conservative framing of savings.</w:t>
      </w:r>
    </w:p>
    <w:p>
      <w:pPr>
        <w:spacing w:before="180" w:after="40"/>
      </w:pPr>
      <w:r>
        <w:rPr>
          <w:b/>
          <w:i/>
          <w:sz w:val="20"/>
        </w:rPr>
        <w:t>H. Prompt-Caching Economics and Clinical Governance</w:t>
      </w:r>
    </w:p>
    <w:p>
      <w:pPr>
        <w:spacing w:after="120" w:line="252" w:lineRule="auto"/>
      </w:pPr>
      <w:r>
        <w:t>Provider-side prompt caching reuses computation for identical prompt prefixes [54], [56], [57]. In GenSync-MedAI, there is no LLM invocation at inference time; the comparison is against the infrastructure cost of always-on vector backends. On governance, deployments of LLMs in hospitals weigh control, collaboration, cost and security together, relying on contractual and technical safeguards to meet healthcare compliance [8].</w:t>
      </w:r>
    </w:p>
    <w:p>
      <w:pPr>
        <w:spacing w:before="180" w:after="40"/>
      </w:pPr>
      <w:r>
        <w:rPr>
          <w:b/>
          <w:i/>
          <w:sz w:val="20"/>
        </w:rPr>
        <w:t>I. Research Gap and Positioning</w:t>
      </w:r>
    </w:p>
    <w:p>
      <w:pPr>
        <w:spacing w:after="120" w:line="252" w:lineRule="auto"/>
      </w:pPr>
      <w:r>
        <w:t>Table 2 maps the gaps identified by the survey to the way GenSync-MedAI addresses them, and Table 3 gives a qualitative comparison with typical alternatives.</w:t>
      </w:r>
    </w:p>
    <w:p>
      <w:pPr>
        <w:spacing w:before="160" w:after="60"/>
        <w:jc w:val="center"/>
      </w:pPr>
      <w:r>
        <w:rPr>
          <w:b/>
          <w:sz w:val="17"/>
        </w:rPr>
        <w:t>TABLE 2. RESEARCH GAPS AND HOW THIS WORK RESPONDS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Gap identified</w:t>
            </w:r>
          </w:p>
        </w:tc>
        <w:tc>
          <w:tcPr>
            <w:tcW w:type="dxa" w:w="3360"/>
            <w:shd w:val="clear" w:color="auto" w:fill="1E293B"/>
          </w:tcPr>
          <w:p>
            <w:r>
              <w:rPr>
                <w:b/>
                <w:color w:val="FFFFFF"/>
                <w:sz w:val="16"/>
              </w:rPr>
              <w:t>Response in GenSync-MedAI</w:t>
            </w:r>
          </w:p>
        </w:tc>
        <w:tc>
          <w:tcPr>
            <w:tcW w:type="dxa" w:w="3360"/>
            <w:shd w:val="clear" w:color="auto" w:fill="1E293B"/>
          </w:tcPr>
          <w:p>
            <w:r>
              <w:rPr>
                <w:b/>
                <w:color w:val="FFFFFF"/>
                <w:sz w:val="16"/>
              </w:rPr>
              <w:t>Status</w:t>
            </w:r>
          </w:p>
        </w:tc>
      </w:tr>
      <w:tr>
        <w:tc>
          <w:tcPr>
            <w:tcW w:type="dxa" w:w="3360"/>
            <w:shd w:val="clear" w:color="auto" w:fill="FFFFFF"/>
          </w:tcPr>
          <w:p>
            <w:r>
              <w:rPr>
                <w:sz w:val="16"/>
              </w:rPr>
              <w:t>No evaluated semantic cache without a dedicated vector DB, with a cost table</w:t>
            </w:r>
          </w:p>
        </w:tc>
        <w:tc>
          <w:tcPr>
            <w:tcW w:type="dxa" w:w="3360"/>
            <w:shd w:val="clear" w:color="auto" w:fill="FFFFFF"/>
          </w:tcPr>
          <w:p>
            <w:r>
              <w:rPr>
                <w:sz w:val="16"/>
              </w:rPr>
              <w:t>Two-stage DynamoDB retrieval; measured spend and 100k user forecast</w:t>
            </w:r>
          </w:p>
        </w:tc>
        <w:tc>
          <w:tcPr>
            <w:tcW w:type="dxa" w:w="3360"/>
            <w:shd w:val="clear" w:color="auto" w:fill="FFFFFF"/>
          </w:tcPr>
          <w:p>
            <w:r>
              <w:rPr>
                <w:sz w:val="16"/>
              </w:rPr>
              <w:t>Addressed with verified AWS list prices</w:t>
            </w:r>
          </w:p>
        </w:tc>
      </w:tr>
      <w:tr>
        <w:tc>
          <w:tcPr>
            <w:tcW w:type="dxa" w:w="3360"/>
            <w:shd w:val="clear" w:color="auto" w:fill="F8FAFC"/>
          </w:tcPr>
          <w:p>
            <w:r>
              <w:rPr>
                <w:sz w:val="16"/>
              </w:rPr>
              <w:t>Native DynamoDB vector search narrows novelty of 'DynamoDB as vector DB'</w:t>
            </w:r>
          </w:p>
        </w:tc>
        <w:tc>
          <w:tcPr>
            <w:tcW w:type="dxa" w:w="3360"/>
            <w:shd w:val="clear" w:color="auto" w:fill="F8FAFC"/>
          </w:tcPr>
          <w:p>
            <w:r>
              <w:rPr>
                <w:sz w:val="16"/>
              </w:rPr>
              <w:t>Contribution shifted to safety gate, code-mixed triage, provenance, refusal policy</w:t>
            </w:r>
          </w:p>
        </w:tc>
        <w:tc>
          <w:tcPr>
            <w:tcW w:type="dxa" w:w="3360"/>
            <w:shd w:val="clear" w:color="auto" w:fill="F8FAFC"/>
          </w:tcPr>
          <w:p>
            <w:r>
              <w:rPr>
                <w:sz w:val="16"/>
              </w:rPr>
              <w:t>Positioned; native index compared in discussion</w:t>
            </w:r>
          </w:p>
        </w:tc>
      </w:tr>
      <w:tr>
        <w:tc>
          <w:tcPr>
            <w:tcW w:type="dxa" w:w="3360"/>
            <w:shd w:val="clear" w:color="auto" w:fill="FFFFFF"/>
          </w:tcPr>
          <w:p>
            <w:r>
              <w:rPr>
                <w:sz w:val="16"/>
              </w:rPr>
              <w:t>Quantized SLM fallback on CPU-only Lambda not benchmarked</w:t>
            </w:r>
          </w:p>
        </w:tc>
        <w:tc>
          <w:tcPr>
            <w:tcW w:type="dxa" w:w="3360"/>
            <w:shd w:val="clear" w:color="auto" w:fill="FFFFFF"/>
          </w:tcPr>
          <w:p>
            <w:r>
              <w:rPr>
                <w:sz w:val="16"/>
              </w:rPr>
              <w:t>Deliberately not used; safe refusal and human review replace generation</w:t>
            </w:r>
          </w:p>
        </w:tc>
        <w:tc>
          <w:tcPr>
            <w:tcW w:type="dxa" w:w="3360"/>
            <w:shd w:val="clear" w:color="auto" w:fill="FFFFFF"/>
          </w:tcPr>
          <w:p>
            <w:r>
              <w:rPr>
                <w:sz w:val="16"/>
              </w:rPr>
              <w:t>Out of scope; eliminates hallucination hazard</w:t>
            </w:r>
          </w:p>
        </w:tc>
      </w:tr>
      <w:tr>
        <w:tc>
          <w:tcPr>
            <w:tcW w:type="dxa" w:w="3360"/>
            <w:shd w:val="clear" w:color="auto" w:fill="F8FAFC"/>
          </w:tcPr>
          <w:p>
            <w:r>
              <w:rPr>
                <w:sz w:val="16"/>
              </w:rPr>
              <w:t>Clinical false-hit risk not quantified</w:t>
            </w:r>
          </w:p>
        </w:tc>
        <w:tc>
          <w:tcPr>
            <w:tcW w:type="dxa" w:w="3360"/>
            <w:shd w:val="clear" w:color="auto" w:fill="F8FAFC"/>
          </w:tcPr>
          <w:p>
            <w:r>
              <w:rPr>
                <w:sz w:val="16"/>
              </w:rPr>
              <w:t>32-case adversarial suite with exact binomial calibration derivation (N=299)</w:t>
            </w:r>
          </w:p>
        </w:tc>
        <w:tc>
          <w:tcPr>
            <w:tcW w:type="dxa" w:w="3360"/>
            <w:shd w:val="clear" w:color="auto" w:fill="F8FAFC"/>
          </w:tcPr>
          <w:p>
            <w:r>
              <w:rPr>
                <w:sz w:val="16"/>
              </w:rPr>
              <w:t>Formalized with Clopper-Pearson CIs and LTT bounds</w:t>
            </w:r>
          </w:p>
        </w:tc>
      </w:tr>
      <w:tr>
        <w:tc>
          <w:tcPr>
            <w:tcW w:type="dxa" w:w="3360"/>
            <w:shd w:val="clear" w:color="auto" w:fill="FFFFFF"/>
          </w:tcPr>
          <w:p>
            <w:r>
              <w:rPr>
                <w:sz w:val="16"/>
              </w:rPr>
              <w:t>Timing side-channel in shared semantic caches</w:t>
            </w:r>
          </w:p>
        </w:tc>
        <w:tc>
          <w:tcPr>
            <w:tcW w:type="dxa" w:w="3360"/>
            <w:shd w:val="clear" w:color="auto" w:fill="FFFFFF"/>
          </w:tcPr>
          <w:p>
            <w:r>
              <w:rPr>
                <w:sz w:val="16"/>
              </w:rPr>
              <w:t>Only curated approved entries cached; timing floor trade-off analyzed</w:t>
            </w:r>
          </w:p>
        </w:tc>
        <w:tc>
          <w:tcPr>
            <w:tcW w:type="dxa" w:w="3360"/>
            <w:shd w:val="clear" w:color="auto" w:fill="FFFFFF"/>
          </w:tcPr>
          <w:p>
            <w:r>
              <w:rPr>
                <w:sz w:val="16"/>
              </w:rPr>
              <w:t>Characterized analytically; open serverless trade-off</w:t>
            </w:r>
          </w:p>
        </w:tc>
      </w:tr>
      <w:tr>
        <w:tc>
          <w:tcPr>
            <w:tcW w:type="dxa" w:w="3360"/>
            <w:shd w:val="clear" w:color="auto" w:fill="F8FAFC"/>
          </w:tcPr>
          <w:p>
            <w:r>
              <w:rPr>
                <w:sz w:val="16"/>
              </w:rPr>
              <w:t>Clinical-volatility-aware freshness policy</w:t>
            </w:r>
          </w:p>
        </w:tc>
        <w:tc>
          <w:tcPr>
            <w:tcW w:type="dxa" w:w="3360"/>
            <w:shd w:val="clear" w:color="auto" w:fill="F8FAFC"/>
          </w:tcPr>
          <w:p>
            <w:r>
              <w:rPr>
                <w:sz w:val="16"/>
              </w:rPr>
              <w:t>Approval metadata and versioned manifests; TTL policy</w:t>
            </w:r>
          </w:p>
        </w:tc>
        <w:tc>
          <w:tcPr>
            <w:tcW w:type="dxa" w:w="3360"/>
            <w:shd w:val="clear" w:color="auto" w:fill="F8FAFC"/>
          </w:tcPr>
          <w:p>
            <w:r>
              <w:rPr>
                <w:sz w:val="16"/>
              </w:rPr>
              <w:t>Positioned; future work</w:t>
            </w:r>
          </w:p>
        </w:tc>
      </w:tr>
      <w:tr>
        <w:tc>
          <w:tcPr>
            <w:tcW w:type="dxa" w:w="3360"/>
            <w:shd w:val="clear" w:color="auto" w:fill="FFFFFF"/>
          </w:tcPr>
          <w:p>
            <w:r>
              <w:rPr>
                <w:sz w:val="16"/>
              </w:rPr>
              <w:t>Same-workload cost and latency comparison across backends</w:t>
            </w:r>
          </w:p>
        </w:tc>
        <w:tc>
          <w:tcPr>
            <w:tcW w:type="dxa" w:w="3360"/>
            <w:shd w:val="clear" w:color="auto" w:fill="FFFFFF"/>
          </w:tcPr>
          <w:p>
            <w:r>
              <w:rPr>
                <w:sz w:val="16"/>
              </w:rPr>
              <w:t>Single-backend AWS ap-south-1 measurement with disjoint timers</w:t>
            </w:r>
          </w:p>
        </w:tc>
        <w:tc>
          <w:tcPr>
            <w:tcW w:type="dxa" w:w="3360"/>
            <w:shd w:val="clear" w:color="auto" w:fill="FFFFFF"/>
          </w:tcPr>
          <w:p>
            <w:r>
              <w:rPr>
                <w:sz w:val="16"/>
              </w:rPr>
              <w:t>Reconciled with 1,000-sample distribution</w:t>
            </w:r>
          </w:p>
        </w:tc>
      </w:tr>
    </w:tbl>
    <w:p>
      <w:pPr>
        <w:spacing w:after="80"/>
      </w:pPr>
    </w:p>
    <w:p>
      <w:pPr>
        <w:spacing w:before="160" w:after="60"/>
        <w:jc w:val="center"/>
      </w:pPr>
      <w:r>
        <w:rPr>
          <w:b/>
          <w:sz w:val="17"/>
        </w:rPr>
        <w:t>TABLE 3. QUALITATIVE DESIGN COMPARISON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Property</w:t>
            </w:r>
          </w:p>
        </w:tc>
        <w:tc>
          <w:tcPr>
            <w:tcW w:type="dxa" w:w="2520"/>
            <w:shd w:val="clear" w:color="auto" w:fill="1E293B"/>
          </w:tcPr>
          <w:p>
            <w:r>
              <w:rPr>
                <w:b/>
                <w:color w:val="FFFFFF"/>
                <w:sz w:val="16"/>
              </w:rPr>
              <w:t>Generic semantic cache</w:t>
            </w:r>
          </w:p>
        </w:tc>
        <w:tc>
          <w:tcPr>
            <w:tcW w:type="dxa" w:w="2520"/>
            <w:shd w:val="clear" w:color="auto" w:fill="1E293B"/>
          </w:tcPr>
          <w:p>
            <w:r>
              <w:rPr>
                <w:b/>
                <w:color w:val="FFFFFF"/>
                <w:sz w:val="16"/>
              </w:rPr>
              <w:t>Dedicated vector DB</w:t>
            </w:r>
          </w:p>
        </w:tc>
        <w:tc>
          <w:tcPr>
            <w:tcW w:type="dxa" w:w="2520"/>
            <w:shd w:val="clear" w:color="auto" w:fill="1E293B"/>
          </w:tcPr>
          <w:p>
            <w:r>
              <w:rPr>
                <w:b/>
                <w:color w:val="FFFFFF"/>
                <w:sz w:val="16"/>
              </w:rPr>
              <w:t>GenSync-MedAI</w:t>
            </w:r>
          </w:p>
        </w:tc>
      </w:tr>
      <w:tr>
        <w:tc>
          <w:tcPr>
            <w:tcW w:type="dxa" w:w="2520"/>
            <w:shd w:val="clear" w:color="auto" w:fill="FFFFFF"/>
          </w:tcPr>
          <w:p>
            <w:r>
              <w:rPr>
                <w:sz w:val="16"/>
              </w:rPr>
              <w:t>Emergency handling</w:t>
            </w:r>
          </w:p>
        </w:tc>
        <w:tc>
          <w:tcPr>
            <w:tcW w:type="dxa" w:w="2520"/>
            <w:shd w:val="clear" w:color="auto" w:fill="FFFFFF"/>
          </w:tcPr>
          <w:p>
            <w:r>
              <w:rPr>
                <w:sz w:val="16"/>
              </w:rPr>
              <w:t>Same path as any query</w:t>
            </w:r>
          </w:p>
        </w:tc>
        <w:tc>
          <w:tcPr>
            <w:tcW w:type="dxa" w:w="2520"/>
            <w:shd w:val="clear" w:color="auto" w:fill="FFFFFF"/>
          </w:tcPr>
          <w:p>
            <w:r>
              <w:rPr>
                <w:sz w:val="16"/>
              </w:rPr>
              <w:t>Same path as any query</w:t>
            </w:r>
          </w:p>
        </w:tc>
        <w:tc>
          <w:tcPr>
            <w:tcW w:type="dxa" w:w="2520"/>
            <w:shd w:val="clear" w:color="auto" w:fill="FFFFFF"/>
          </w:tcPr>
          <w:p>
            <w:r>
              <w:rPr>
                <w:sz w:val="16"/>
              </w:rPr>
              <w:t>Deterministic bypass before embedding (0.06 ms)</w:t>
            </w:r>
          </w:p>
        </w:tc>
      </w:tr>
      <w:tr>
        <w:tc>
          <w:tcPr>
            <w:tcW w:type="dxa" w:w="2520"/>
            <w:shd w:val="clear" w:color="auto" w:fill="F8FAFC"/>
          </w:tcPr>
          <w:p>
            <w:r>
              <w:rPr>
                <w:sz w:val="16"/>
              </w:rPr>
              <w:t>Idle infrastructure</w:t>
            </w:r>
          </w:p>
        </w:tc>
        <w:tc>
          <w:tcPr>
            <w:tcW w:type="dxa" w:w="2520"/>
            <w:shd w:val="clear" w:color="auto" w:fill="F8FAFC"/>
          </w:tcPr>
          <w:p>
            <w:r>
              <w:rPr>
                <w:sz w:val="16"/>
              </w:rPr>
              <w:t>Depends on backing store</w:t>
            </w:r>
          </w:p>
        </w:tc>
        <w:tc>
          <w:tcPr>
            <w:tcW w:type="dxa" w:w="2520"/>
            <w:shd w:val="clear" w:color="auto" w:fill="F8FAFC"/>
          </w:tcPr>
          <w:p>
            <w:r>
              <w:rPr>
                <w:sz w:val="16"/>
              </w:rPr>
              <w:t>Typically USD 30–100+/mo</w:t>
            </w:r>
          </w:p>
        </w:tc>
        <w:tc>
          <w:tcPr>
            <w:tcW w:type="dxa" w:w="2520"/>
            <w:shd w:val="clear" w:color="auto" w:fill="F8FAFC"/>
          </w:tcPr>
          <w:p>
            <w:r>
              <w:rPr>
                <w:sz w:val="16"/>
              </w:rPr>
              <w:t>USD 0.00 (Serverless scale-to-zero)</w:t>
            </w:r>
          </w:p>
        </w:tc>
      </w:tr>
      <w:tr>
        <w:tc>
          <w:tcPr>
            <w:tcW w:type="dxa" w:w="2520"/>
            <w:shd w:val="clear" w:color="auto" w:fill="FFFFFF"/>
          </w:tcPr>
          <w:p>
            <w:r>
              <w:rPr>
                <w:sz w:val="16"/>
              </w:rPr>
              <w:t>Answer source</w:t>
            </w:r>
          </w:p>
        </w:tc>
        <w:tc>
          <w:tcPr>
            <w:tcW w:type="dxa" w:w="2520"/>
            <w:shd w:val="clear" w:color="auto" w:fill="FFFFFF"/>
          </w:tcPr>
          <w:p>
            <w:r>
              <w:rPr>
                <w:sz w:val="16"/>
              </w:rPr>
              <w:t>Cached LLM output</w:t>
            </w:r>
          </w:p>
        </w:tc>
        <w:tc>
          <w:tcPr>
            <w:tcW w:type="dxa" w:w="2520"/>
            <w:shd w:val="clear" w:color="auto" w:fill="FFFFFF"/>
          </w:tcPr>
          <w:p>
            <w:r>
              <w:rPr>
                <w:sz w:val="16"/>
              </w:rPr>
              <w:t>Retrieved documents</w:t>
            </w:r>
          </w:p>
        </w:tc>
        <w:tc>
          <w:tcPr>
            <w:tcW w:type="dxa" w:w="2520"/>
            <w:shd w:val="clear" w:color="auto" w:fill="FFFFFF"/>
          </w:tcPr>
          <w:p>
            <w:r>
              <w:rPr>
                <w:sz w:val="16"/>
              </w:rPr>
              <w:t>Human-approved, institutional guideline-linked</w:t>
            </w:r>
          </w:p>
        </w:tc>
      </w:tr>
      <w:tr>
        <w:tc>
          <w:tcPr>
            <w:tcW w:type="dxa" w:w="2520"/>
            <w:shd w:val="clear" w:color="auto" w:fill="F8FAFC"/>
          </w:tcPr>
          <w:p>
            <w:r>
              <w:rPr>
                <w:sz w:val="16"/>
              </w:rPr>
              <w:t>Raw text in logs</w:t>
            </w:r>
          </w:p>
        </w:tc>
        <w:tc>
          <w:tcPr>
            <w:tcW w:type="dxa" w:w="2520"/>
            <w:shd w:val="clear" w:color="auto" w:fill="F8FAFC"/>
          </w:tcPr>
          <w:p>
            <w:r>
              <w:rPr>
                <w:sz w:val="16"/>
              </w:rPr>
              <w:t>Not constrained</w:t>
            </w:r>
          </w:p>
        </w:tc>
        <w:tc>
          <w:tcPr>
            <w:tcW w:type="dxa" w:w="2520"/>
            <w:shd w:val="clear" w:color="auto" w:fill="F8FAFC"/>
          </w:tcPr>
          <w:p>
            <w:r>
              <w:rPr>
                <w:sz w:val="16"/>
              </w:rPr>
              <w:t>Not constrained</w:t>
            </w:r>
          </w:p>
        </w:tc>
        <w:tc>
          <w:tcPr>
            <w:tcW w:type="dxa" w:w="2520"/>
            <w:shd w:val="clear" w:color="auto" w:fill="F8FAFC"/>
          </w:tcPr>
          <w:p>
            <w:r>
              <w:rPr>
                <w:sz w:val="16"/>
              </w:rPr>
              <w:t>Keyed HMAC-SHA256 digest only</w:t>
            </w:r>
          </w:p>
        </w:tc>
      </w:tr>
      <w:tr>
        <w:tc>
          <w:tcPr>
            <w:tcW w:type="dxa" w:w="2520"/>
            <w:shd w:val="clear" w:color="auto" w:fill="FFFFFF"/>
          </w:tcPr>
          <w:p>
            <w:r>
              <w:rPr>
                <w:sz w:val="16"/>
              </w:rPr>
              <w:t>On low similarity</w:t>
            </w:r>
          </w:p>
        </w:tc>
        <w:tc>
          <w:tcPr>
            <w:tcW w:type="dxa" w:w="2520"/>
            <w:shd w:val="clear" w:color="auto" w:fill="FFFFFF"/>
          </w:tcPr>
          <w:p>
            <w:r>
              <w:rPr>
                <w:sz w:val="16"/>
              </w:rPr>
              <w:t>Falls through to LLM</w:t>
            </w:r>
          </w:p>
        </w:tc>
        <w:tc>
          <w:tcPr>
            <w:tcW w:type="dxa" w:w="2520"/>
            <w:shd w:val="clear" w:color="auto" w:fill="FFFFFF"/>
          </w:tcPr>
          <w:p>
            <w:r>
              <w:rPr>
                <w:sz w:val="16"/>
              </w:rPr>
              <w:t>Falls through to LLM</w:t>
            </w:r>
          </w:p>
        </w:tc>
        <w:tc>
          <w:tcPr>
            <w:tcW w:type="dxa" w:w="2520"/>
            <w:shd w:val="clear" w:color="auto" w:fill="FFFFFF"/>
          </w:tcPr>
          <w:p>
            <w:r>
              <w:rPr>
                <w:sz w:val="16"/>
              </w:rPr>
              <w:t>Safe refusal + review queue (zero LLM at runtime)</w:t>
            </w:r>
          </w:p>
        </w:tc>
      </w:tr>
    </w:tbl>
    <w:p>
      <w:pPr>
        <w:spacing w:after="80"/>
      </w:pPr>
    </w:p>
    <w:p>
      <w:pPr>
        <w:spacing w:before="280" w:after="80"/>
      </w:pPr>
      <w:r>
        <w:rPr>
          <w:b/>
          <w:sz w:val="22"/>
        </w:rPr>
        <w:t>III. REQUIREMENTS, HAZARDS AND THREAT MODEL</w:t>
      </w:r>
    </w:p>
    <w:p>
      <w:pPr>
        <w:spacing w:before="180" w:after="40"/>
      </w:pPr>
      <w:r>
        <w:rPr>
          <w:b/>
          <w:i/>
          <w:sz w:val="20"/>
        </w:rPr>
        <w:t>A. Design Goals</w:t>
      </w:r>
    </w:p>
    <w:p>
      <w:pPr>
        <w:spacing w:after="120" w:line="252" w:lineRule="auto"/>
      </w:pPr>
      <w:r>
        <w:t>Table 4 lists the design goals that drive the architecture, together with the evidence used in this paper to verify each.</w:t>
      </w:r>
    </w:p>
    <w:p>
      <w:pPr>
        <w:spacing w:before="160" w:after="60"/>
        <w:jc w:val="center"/>
      </w:pPr>
      <w:r>
        <w:rPr>
          <w:b/>
          <w:sz w:val="17"/>
        </w:rPr>
        <w:t>TABLE 4. DESIGN GOALS AND VERIFICATION</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ID</w:t>
            </w:r>
          </w:p>
        </w:tc>
        <w:tc>
          <w:tcPr>
            <w:tcW w:type="dxa" w:w="3360"/>
            <w:shd w:val="clear" w:color="auto" w:fill="1E293B"/>
          </w:tcPr>
          <w:p>
            <w:r>
              <w:rPr>
                <w:b/>
                <w:color w:val="FFFFFF"/>
                <w:sz w:val="16"/>
              </w:rPr>
              <w:t>Goal</w:t>
            </w:r>
          </w:p>
        </w:tc>
        <w:tc>
          <w:tcPr>
            <w:tcW w:type="dxa" w:w="3360"/>
            <w:shd w:val="clear" w:color="auto" w:fill="1E293B"/>
          </w:tcPr>
          <w:p>
            <w:r>
              <w:rPr>
                <w:b/>
                <w:color w:val="FFFFFF"/>
                <w:sz w:val="16"/>
              </w:rPr>
              <w:t>Verification evidence</w:t>
            </w:r>
          </w:p>
        </w:tc>
      </w:tr>
      <w:tr>
        <w:tc>
          <w:tcPr>
            <w:tcW w:type="dxa" w:w="3360"/>
            <w:shd w:val="clear" w:color="auto" w:fill="FFFFFF"/>
          </w:tcPr>
          <w:p>
            <w:r>
              <w:rPr>
                <w:sz w:val="16"/>
              </w:rPr>
              <w:t>G1</w:t>
            </w:r>
          </w:p>
        </w:tc>
        <w:tc>
          <w:tcPr>
            <w:tcW w:type="dxa" w:w="3360"/>
            <w:shd w:val="clear" w:color="auto" w:fill="FFFFFF"/>
          </w:tcPr>
          <w:p>
            <w:r>
              <w:rPr>
                <w:sz w:val="16"/>
              </w:rPr>
              <w:t>Red-flag queries never reach the cache or the embedder</w:t>
            </w:r>
          </w:p>
        </w:tc>
        <w:tc>
          <w:tcPr>
            <w:tcW w:type="dxa" w:w="3360"/>
            <w:shd w:val="clear" w:color="auto" w:fill="FFFFFF"/>
          </w:tcPr>
          <w:p>
            <w:r>
              <w:rPr>
                <w:sz w:val="16"/>
              </w:rPr>
              <w:t>Category 1 routing; cache-bypass check</w:t>
            </w:r>
          </w:p>
        </w:tc>
      </w:tr>
      <w:tr>
        <w:tc>
          <w:tcPr>
            <w:tcW w:type="dxa" w:w="3360"/>
            <w:shd w:val="clear" w:color="auto" w:fill="F8FAFC"/>
          </w:tcPr>
          <w:p>
            <w:r>
              <w:rPr>
                <w:sz w:val="16"/>
              </w:rPr>
              <w:t>G2</w:t>
            </w:r>
          </w:p>
        </w:tc>
        <w:tc>
          <w:tcPr>
            <w:tcW w:type="dxa" w:w="3360"/>
            <w:shd w:val="clear" w:color="auto" w:fill="F8FAFC"/>
          </w:tcPr>
          <w:p>
            <w:r>
              <w:rPr>
                <w:sz w:val="16"/>
              </w:rPr>
              <w:t>Medication and pregnancy questions are referred, not answered</w:t>
            </w:r>
          </w:p>
        </w:tc>
        <w:tc>
          <w:tcPr>
            <w:tcW w:type="dxa" w:w="3360"/>
            <w:shd w:val="clear" w:color="auto" w:fill="F8FAFC"/>
          </w:tcPr>
          <w:p>
            <w:r>
              <w:rPr>
                <w:sz w:val="16"/>
              </w:rPr>
              <w:t>Category 2 routing; HIT-10 analysis</w:t>
            </w:r>
          </w:p>
        </w:tc>
      </w:tr>
      <w:tr>
        <w:tc>
          <w:tcPr>
            <w:tcW w:type="dxa" w:w="3360"/>
            <w:shd w:val="clear" w:color="auto" w:fill="FFFFFF"/>
          </w:tcPr>
          <w:p>
            <w:r>
              <w:rPr>
                <w:sz w:val="16"/>
              </w:rPr>
              <w:t>G3</w:t>
            </w:r>
          </w:p>
        </w:tc>
        <w:tc>
          <w:tcPr>
            <w:tcW w:type="dxa" w:w="3360"/>
            <w:shd w:val="clear" w:color="auto" w:fill="FFFFFF"/>
          </w:tcPr>
          <w:p>
            <w:r>
              <w:rPr>
                <w:sz w:val="16"/>
              </w:rPr>
              <w:t>No answer is generated; only approved answers are returned</w:t>
            </w:r>
          </w:p>
        </w:tc>
        <w:tc>
          <w:tcPr>
            <w:tcW w:type="dxa" w:w="3360"/>
            <w:shd w:val="clear" w:color="auto" w:fill="FFFFFF"/>
          </w:tcPr>
          <w:p>
            <w:r>
              <w:rPr>
                <w:sz w:val="16"/>
              </w:rPr>
              <w:t>Architecture review; Category 3 to 5</w:t>
            </w:r>
          </w:p>
        </w:tc>
      </w:tr>
      <w:tr>
        <w:tc>
          <w:tcPr>
            <w:tcW w:type="dxa" w:w="3360"/>
            <w:shd w:val="clear" w:color="auto" w:fill="F8FAFC"/>
          </w:tcPr>
          <w:p>
            <w:r>
              <w:rPr>
                <w:sz w:val="16"/>
              </w:rPr>
              <w:t>G4</w:t>
            </w:r>
          </w:p>
        </w:tc>
        <w:tc>
          <w:tcPr>
            <w:tcW w:type="dxa" w:w="3360"/>
            <w:shd w:val="clear" w:color="auto" w:fill="F8FAFC"/>
          </w:tcPr>
          <w:p>
            <w:r>
              <w:rPr>
                <w:sz w:val="16"/>
              </w:rPr>
              <w:t>Low-similarity queries yield a safe refusal and a review record</w:t>
            </w:r>
          </w:p>
        </w:tc>
        <w:tc>
          <w:tcPr>
            <w:tcW w:type="dxa" w:w="3360"/>
            <w:shd w:val="clear" w:color="auto" w:fill="F8FAFC"/>
          </w:tcPr>
          <w:p>
            <w:r>
              <w:rPr>
                <w:sz w:val="16"/>
              </w:rPr>
              <w:t>Category 5 outcomes</w:t>
            </w:r>
          </w:p>
        </w:tc>
      </w:tr>
      <w:tr>
        <w:tc>
          <w:tcPr>
            <w:tcW w:type="dxa" w:w="3360"/>
            <w:shd w:val="clear" w:color="auto" w:fill="FFFFFF"/>
          </w:tcPr>
          <w:p>
            <w:r>
              <w:rPr>
                <w:sz w:val="16"/>
              </w:rPr>
              <w:t>G5</w:t>
            </w:r>
          </w:p>
        </w:tc>
        <w:tc>
          <w:tcPr>
            <w:tcW w:type="dxa" w:w="3360"/>
            <w:shd w:val="clear" w:color="auto" w:fill="FFFFFF"/>
          </w:tcPr>
          <w:p>
            <w:r>
              <w:rPr>
                <w:sz w:val="16"/>
              </w:rPr>
              <w:t>No raw query text in logs, audit table or SNS payload</w:t>
            </w:r>
          </w:p>
        </w:tc>
        <w:tc>
          <w:tcPr>
            <w:tcW w:type="dxa" w:w="3360"/>
            <w:shd w:val="clear" w:color="auto" w:fill="FFFFFF"/>
          </w:tcPr>
          <w:p>
            <w:r>
              <w:rPr>
                <w:sz w:val="16"/>
              </w:rPr>
              <w:t>Log filter search; audit-table inspection</w:t>
            </w:r>
          </w:p>
        </w:tc>
      </w:tr>
      <w:tr>
        <w:tc>
          <w:tcPr>
            <w:tcW w:type="dxa" w:w="3360"/>
            <w:shd w:val="clear" w:color="auto" w:fill="F8FAFC"/>
          </w:tcPr>
          <w:p>
            <w:r>
              <w:rPr>
                <w:sz w:val="16"/>
              </w:rPr>
              <w:t>G6</w:t>
            </w:r>
          </w:p>
        </w:tc>
        <w:tc>
          <w:tcPr>
            <w:tcW w:type="dxa" w:w="3360"/>
            <w:shd w:val="clear" w:color="auto" w:fill="F8FAFC"/>
          </w:tcPr>
          <w:p>
            <w:r>
              <w:rPr>
                <w:sz w:val="16"/>
              </w:rPr>
              <w:t>No standing infrastructure cost at low traffic</w:t>
            </w:r>
          </w:p>
        </w:tc>
        <w:tc>
          <w:tcPr>
            <w:tcW w:type="dxa" w:w="3360"/>
            <w:shd w:val="clear" w:color="auto" w:fill="F8FAFC"/>
          </w:tcPr>
          <w:p>
            <w:r>
              <w:rPr>
                <w:sz w:val="16"/>
              </w:rPr>
              <w:t>Billing data and 100k user forecast</w:t>
            </w:r>
          </w:p>
        </w:tc>
      </w:tr>
      <w:tr>
        <w:tc>
          <w:tcPr>
            <w:tcW w:type="dxa" w:w="3360"/>
            <w:shd w:val="clear" w:color="auto" w:fill="FFFFFF"/>
          </w:tcPr>
          <w:p>
            <w:r>
              <w:rPr>
                <w:sz w:val="16"/>
              </w:rPr>
              <w:t>G7</w:t>
            </w:r>
          </w:p>
        </w:tc>
        <w:tc>
          <w:tcPr>
            <w:tcW w:type="dxa" w:w="3360"/>
            <w:shd w:val="clear" w:color="auto" w:fill="FFFFFF"/>
          </w:tcPr>
          <w:p>
            <w:r>
              <w:rPr>
                <w:sz w:val="16"/>
              </w:rPr>
              <w:t>Sub-second end-to-end response on the retrieval path</w:t>
            </w:r>
          </w:p>
        </w:tc>
        <w:tc>
          <w:tcPr>
            <w:tcW w:type="dxa" w:w="3360"/>
            <w:shd w:val="clear" w:color="auto" w:fill="FFFFFF"/>
          </w:tcPr>
          <w:p>
            <w:r>
              <w:rPr>
                <w:sz w:val="16"/>
              </w:rPr>
              <w:t>Latency profiling with disjoint timers</w:t>
            </w:r>
          </w:p>
        </w:tc>
      </w:tr>
      <w:tr>
        <w:tc>
          <w:tcPr>
            <w:tcW w:type="dxa" w:w="3360"/>
            <w:shd w:val="clear" w:color="auto" w:fill="F8FAFC"/>
          </w:tcPr>
          <w:p>
            <w:r>
              <w:rPr>
                <w:sz w:val="16"/>
              </w:rPr>
              <w:t>G8</w:t>
            </w:r>
          </w:p>
        </w:tc>
        <w:tc>
          <w:tcPr>
            <w:tcW w:type="dxa" w:w="3360"/>
            <w:shd w:val="clear" w:color="auto" w:fill="F8FAFC"/>
          </w:tcPr>
          <w:p>
            <w:r>
              <w:rPr>
                <w:sz w:val="16"/>
              </w:rPr>
              <w:t>Every decision is explainable and reproducible</w:t>
            </w:r>
          </w:p>
        </w:tc>
        <w:tc>
          <w:tcPr>
            <w:tcW w:type="dxa" w:w="3360"/>
            <w:shd w:val="clear" w:color="auto" w:fill="F8FAFC"/>
          </w:tcPr>
          <w:p>
            <w:r>
              <w:rPr>
                <w:sz w:val="16"/>
              </w:rPr>
              <w:t>Deterministic rules; correlation IDs</w:t>
            </w:r>
          </w:p>
        </w:tc>
      </w:tr>
    </w:tbl>
    <w:p>
      <w:pPr>
        <w:spacing w:after="80"/>
      </w:pPr>
    </w:p>
    <w:p>
      <w:pPr>
        <w:spacing w:before="180" w:after="40"/>
      </w:pPr>
      <w:r>
        <w:rPr>
          <w:b/>
          <w:i/>
          <w:sz w:val="20"/>
        </w:rPr>
        <w:t>B. Clinical Hazard View</w:t>
      </w:r>
    </w:p>
    <w:p>
      <w:pPr>
        <w:spacing w:after="120" w:line="252" w:lineRule="auto"/>
      </w:pPr>
      <w:r>
        <w:t>Two hazards dominate. The first is a missed emergency (false negative of the gate), after which a user in danger receives a non-urgent response such as a refusal. The second is a false cache hit: an approved answer returned for a query that differs from the stored question in a clinically decisive way (for example drug, dose or patient population). The first is addressed by deterministic rules that favour recall; the second by a high cosine threshold, by the referral gate for medication terms, and by serving only reviewed entries. A third, subtler hazard is stale guidance, which Section IX treats as a limitation.</w:t>
      </w:r>
    </w:p>
    <w:p>
      <w:pPr>
        <w:spacing w:before="180" w:after="40"/>
      </w:pPr>
      <w:r>
        <w:rPr>
          <w:b/>
          <w:i/>
          <w:sz w:val="20"/>
        </w:rPr>
        <w:t>C. Threat Model</w:t>
      </w:r>
    </w:p>
    <w:p>
      <w:pPr>
        <w:spacing w:after="120" w:line="252" w:lineRule="auto"/>
      </w:pPr>
      <w:r>
        <w:t>We consider an external user submitting arbitrary text, an observer of timing and logs, and an operator with read access to telemetry. Table 5 enumerates the principal threats, the controls implemented, and the residual risk.</w:t>
      </w:r>
    </w:p>
    <w:p>
      <w:pPr>
        <w:spacing w:before="160" w:after="60"/>
        <w:jc w:val="center"/>
      </w:pPr>
      <w:r>
        <w:rPr>
          <w:b/>
          <w:sz w:val="17"/>
        </w:rPr>
        <w:t>TABLE 5. THREATS, CONTROLS AND RESIDUAL RISK</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Threat</w:t>
            </w:r>
          </w:p>
        </w:tc>
        <w:tc>
          <w:tcPr>
            <w:tcW w:type="dxa" w:w="3360"/>
            <w:shd w:val="clear" w:color="auto" w:fill="1E293B"/>
          </w:tcPr>
          <w:p>
            <w:r>
              <w:rPr>
                <w:b/>
                <w:color w:val="FFFFFF"/>
                <w:sz w:val="16"/>
              </w:rPr>
              <w:t>Control in design</w:t>
            </w:r>
          </w:p>
        </w:tc>
        <w:tc>
          <w:tcPr>
            <w:tcW w:type="dxa" w:w="3360"/>
            <w:shd w:val="clear" w:color="auto" w:fill="1E293B"/>
          </w:tcPr>
          <w:p>
            <w:r>
              <w:rPr>
                <w:b/>
                <w:color w:val="FFFFFF"/>
                <w:sz w:val="16"/>
              </w:rPr>
              <w:t>Residual risk</w:t>
            </w:r>
          </w:p>
        </w:tc>
      </w:tr>
      <w:tr>
        <w:tc>
          <w:tcPr>
            <w:tcW w:type="dxa" w:w="3360"/>
            <w:shd w:val="clear" w:color="auto" w:fill="FFFFFF"/>
          </w:tcPr>
          <w:p>
            <w:r>
              <w:rPr>
                <w:sz w:val="16"/>
              </w:rPr>
              <w:t>Missed emergency</w:t>
            </w:r>
          </w:p>
        </w:tc>
        <w:tc>
          <w:tcPr>
            <w:tcW w:type="dxa" w:w="3360"/>
            <w:shd w:val="clear" w:color="auto" w:fill="FFFFFF"/>
          </w:tcPr>
          <w:p>
            <w:r>
              <w:rPr>
                <w:sz w:val="16"/>
              </w:rPr>
              <w:t>Deterministic rules ahead of the cache; SNS alert</w:t>
            </w:r>
          </w:p>
        </w:tc>
        <w:tc>
          <w:tcPr>
            <w:tcW w:type="dxa" w:w="3360"/>
            <w:shd w:val="clear" w:color="auto" w:fill="FFFFFF"/>
          </w:tcPr>
          <w:p>
            <w:r>
              <w:rPr>
                <w:sz w:val="16"/>
              </w:rPr>
              <w:t>Paraphrases outside rules; small suite</w:t>
            </w:r>
          </w:p>
        </w:tc>
      </w:tr>
      <w:tr>
        <w:tc>
          <w:tcPr>
            <w:tcW w:type="dxa" w:w="3360"/>
            <w:shd w:val="clear" w:color="auto" w:fill="F8FAFC"/>
          </w:tcPr>
          <w:p>
            <w:r>
              <w:rPr>
                <w:sz w:val="16"/>
              </w:rPr>
              <w:t>False cache hit</w:t>
            </w:r>
          </w:p>
        </w:tc>
        <w:tc>
          <w:tcPr>
            <w:tcW w:type="dxa" w:w="3360"/>
            <w:shd w:val="clear" w:color="auto" w:fill="F8FAFC"/>
          </w:tcPr>
          <w:p>
            <w:r>
              <w:rPr>
                <w:sz w:val="16"/>
              </w:rPr>
              <w:t>Threshold 0.92; approved-only entries; referral gate</w:t>
            </w:r>
          </w:p>
        </w:tc>
        <w:tc>
          <w:tcPr>
            <w:tcW w:type="dxa" w:w="3360"/>
            <w:shd w:val="clear" w:color="auto" w:fill="F8FAFC"/>
          </w:tcPr>
          <w:p>
            <w:r>
              <w:rPr>
                <w:sz w:val="16"/>
              </w:rPr>
              <w:t>Threshold not tuned by sweep; requires N=299 calibration</w:t>
            </w:r>
          </w:p>
        </w:tc>
      </w:tr>
      <w:tr>
        <w:tc>
          <w:tcPr>
            <w:tcW w:type="dxa" w:w="3360"/>
            <w:shd w:val="clear" w:color="auto" w:fill="FFFFFF"/>
          </w:tcPr>
          <w:p>
            <w:r>
              <w:rPr>
                <w:sz w:val="16"/>
              </w:rPr>
              <w:t>PHI in logs</w:t>
            </w:r>
          </w:p>
        </w:tc>
        <w:tc>
          <w:tcPr>
            <w:tcW w:type="dxa" w:w="3360"/>
            <w:shd w:val="clear" w:color="auto" w:fill="FFFFFF"/>
          </w:tcPr>
          <w:p>
            <w:r>
              <w:rPr>
                <w:sz w:val="16"/>
              </w:rPr>
              <w:t>Keyed HMAC-SHA256 digest only; vector kept in memory</w:t>
            </w:r>
          </w:p>
        </w:tc>
        <w:tc>
          <w:tcPr>
            <w:tcW w:type="dxa" w:w="3360"/>
            <w:shd w:val="clear" w:color="auto" w:fill="FFFFFF"/>
          </w:tcPr>
          <w:p>
            <w:r>
              <w:rPr>
                <w:sz w:val="16"/>
              </w:rPr>
              <w:t>Low-entropy guessing mitigated by HMAC secret</w:t>
            </w:r>
          </w:p>
        </w:tc>
      </w:tr>
      <w:tr>
        <w:tc>
          <w:tcPr>
            <w:tcW w:type="dxa" w:w="3360"/>
            <w:shd w:val="clear" w:color="auto" w:fill="F8FAFC"/>
          </w:tcPr>
          <w:p>
            <w:r>
              <w:rPr>
                <w:sz w:val="16"/>
              </w:rPr>
              <w:t>Timing side-channel</w:t>
            </w:r>
          </w:p>
        </w:tc>
        <w:tc>
          <w:tcPr>
            <w:tcW w:type="dxa" w:w="3360"/>
            <w:shd w:val="clear" w:color="auto" w:fill="F8FAFC"/>
          </w:tcPr>
          <w:p>
            <w:r>
              <w:rPr>
                <w:sz w:val="16"/>
              </w:rPr>
              <w:t>Curated entries only; no per-user cache items</w:t>
            </w:r>
          </w:p>
        </w:tc>
        <w:tc>
          <w:tcPr>
            <w:tcW w:type="dxa" w:w="3360"/>
            <w:shd w:val="clear" w:color="auto" w:fill="F8FAFC"/>
          </w:tcPr>
          <w:p>
            <w:r>
              <w:rPr>
                <w:sz w:val="16"/>
              </w:rPr>
              <w:t>Serverless cold-start timing differences remain unmasked</w:t>
            </w:r>
          </w:p>
        </w:tc>
      </w:tr>
      <w:tr>
        <w:tc>
          <w:tcPr>
            <w:tcW w:type="dxa" w:w="3360"/>
            <w:shd w:val="clear" w:color="auto" w:fill="FFFFFF"/>
          </w:tcPr>
          <w:p>
            <w:r>
              <w:rPr>
                <w:sz w:val="16"/>
              </w:rPr>
              <w:t>Cache poisoning</w:t>
            </w:r>
          </w:p>
        </w:tc>
        <w:tc>
          <w:tcPr>
            <w:tcW w:type="dxa" w:w="3360"/>
            <w:shd w:val="clear" w:color="auto" w:fill="FFFFFF"/>
          </w:tcPr>
          <w:p>
            <w:r>
              <w:rPr>
                <w:sz w:val="16"/>
              </w:rPr>
              <w:t>Review status gate; IAM least privilege</w:t>
            </w:r>
          </w:p>
        </w:tc>
        <w:tc>
          <w:tcPr>
            <w:tcW w:type="dxa" w:w="3360"/>
            <w:shd w:val="clear" w:color="auto" w:fill="FFFFFF"/>
          </w:tcPr>
          <w:p>
            <w:r>
              <w:rPr>
                <w:sz w:val="16"/>
              </w:rPr>
              <w:t>Review-process quality depends on human clinicians</w:t>
            </w:r>
          </w:p>
        </w:tc>
      </w:tr>
      <w:tr>
        <w:tc>
          <w:tcPr>
            <w:tcW w:type="dxa" w:w="3360"/>
            <w:shd w:val="clear" w:color="auto" w:fill="F8FAFC"/>
          </w:tcPr>
          <w:p>
            <w:r>
              <w:rPr>
                <w:sz w:val="16"/>
              </w:rPr>
              <w:t>Cost exhaustion / abuse</w:t>
            </w:r>
          </w:p>
        </w:tc>
        <w:tc>
          <w:tcPr>
            <w:tcW w:type="dxa" w:w="3360"/>
            <w:shd w:val="clear" w:color="auto" w:fill="F8FAFC"/>
          </w:tcPr>
          <w:p>
            <w:r>
              <w:rPr>
                <w:sz w:val="16"/>
              </w:rPr>
              <w:t>USD 0.01 budget alarm</w:t>
            </w:r>
          </w:p>
        </w:tc>
        <w:tc>
          <w:tcPr>
            <w:tcW w:type="dxa" w:w="3360"/>
            <w:shd w:val="clear" w:color="auto" w:fill="F8FAFC"/>
          </w:tcPr>
          <w:p>
            <w:r>
              <w:rPr>
                <w:sz w:val="16"/>
              </w:rPr>
              <w:t>Detects after the fact; throttling evaluated in Sec. VI</w:t>
            </w:r>
          </w:p>
        </w:tc>
      </w:tr>
      <w:tr>
        <w:tc>
          <w:tcPr>
            <w:tcW w:type="dxa" w:w="3360"/>
            <w:shd w:val="clear" w:color="auto" w:fill="FFFFFF"/>
          </w:tcPr>
          <w:p>
            <w:r>
              <w:rPr>
                <w:sz w:val="16"/>
              </w:rPr>
              <w:t>Stale guidance</w:t>
            </w:r>
          </w:p>
        </w:tc>
        <w:tc>
          <w:tcPr>
            <w:tcW w:type="dxa" w:w="3360"/>
            <w:shd w:val="clear" w:color="auto" w:fill="FFFFFF"/>
          </w:tcPr>
          <w:p>
            <w:r>
              <w:rPr>
                <w:sz w:val="16"/>
              </w:rPr>
              <w:t>Provenance metadata with source; versioned TTL</w:t>
            </w:r>
          </w:p>
        </w:tc>
        <w:tc>
          <w:tcPr>
            <w:tcW w:type="dxa" w:w="3360"/>
            <w:shd w:val="clear" w:color="auto" w:fill="FFFFFF"/>
          </w:tcPr>
          <w:p>
            <w:r>
              <w:rPr>
                <w:sz w:val="16"/>
              </w:rPr>
              <w:t>Periodic clinician re-verification required</w:t>
            </w:r>
          </w:p>
        </w:tc>
      </w:tr>
    </w:tbl>
    <w:p>
      <w:pPr>
        <w:spacing w:after="80"/>
      </w:pPr>
    </w:p>
    <w:p>
      <w:pPr>
        <w:spacing w:before="280" w:after="80"/>
      </w:pPr>
      <w:r>
        <w:rPr>
          <w:b/>
          <w:sz w:val="22"/>
        </w:rPr>
        <w:t>IV. SYSTEM ARCHITECTURE</w:t>
      </w:r>
    </w:p>
    <w:p>
      <w:pPr>
        <w:spacing w:before="180" w:after="40"/>
      </w:pPr>
      <w:r>
        <w:rPr>
          <w:b/>
          <w:i/>
          <w:sz w:val="20"/>
        </w:rPr>
        <w:t>A. Overview and Request Flow</w:t>
      </w:r>
    </w:p>
    <w:p>
      <w:pPr>
        <w:spacing w:after="120" w:line="252" w:lineRule="auto"/>
      </w:pPr>
      <w:r>
        <w:t>A React console hosted on the Vercel CDN sends an HTTPS POST /query request, with CORS enabled, to an Amazon API Gateway HTTP API, which invokes a single AWS Lambda function (gensync-tier1-handler, Python 3.11, 512 MB) through a proxy integration. The handler implements, in order: a health-probe fast path, the deterministic safety gate, the embedder, and the hierarchical retrieval engine. Each request resolves to exactly one of four routes:</w:t>
        <w:br/>
        <w:t xml:space="preserve">   route(q) in {EMERGENCY, PROFESSIONAL_REFERRAL, CACHE_HIT, CACHE_MISS}   (1)</w:t>
      </w:r>
    </w:p>
    <w:p>
      <w:pPr>
        <w:spacing w:after="120" w:line="252" w:lineRule="auto"/>
      </w:pPr>
      <w:r>
        <w:t>Table 6 lists the AWS resources and their roles. All permissions follow least privilege, and a budget alarm bounds spending.</w:t>
      </w:r>
    </w:p>
    <w:p>
      <w:pPr>
        <w:spacing w:before="160" w:after="60"/>
        <w:jc w:val="center"/>
      </w:pPr>
      <w:r>
        <w:rPr>
          <w:b/>
          <w:sz w:val="17"/>
        </w:rPr>
        <w:t>TABLE 6. AWS RESOURCES AND ROLES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Service</w:t>
            </w:r>
          </w:p>
        </w:tc>
        <w:tc>
          <w:tcPr>
            <w:tcW w:type="dxa" w:w="3360"/>
            <w:shd w:val="clear" w:color="auto" w:fill="1E293B"/>
          </w:tcPr>
          <w:p>
            <w:r>
              <w:rPr>
                <w:b/>
                <w:color w:val="FFFFFF"/>
                <w:sz w:val="16"/>
              </w:rPr>
              <w:t>Resource</w:t>
            </w:r>
          </w:p>
        </w:tc>
        <w:tc>
          <w:tcPr>
            <w:tcW w:type="dxa" w:w="3360"/>
            <w:shd w:val="clear" w:color="auto" w:fill="1E293B"/>
          </w:tcPr>
          <w:p>
            <w:r>
              <w:rPr>
                <w:b/>
                <w:color w:val="FFFFFF"/>
                <w:sz w:val="16"/>
              </w:rPr>
              <w:t>Role</w:t>
            </w:r>
          </w:p>
        </w:tc>
      </w:tr>
      <w:tr>
        <w:tc>
          <w:tcPr>
            <w:tcW w:type="dxa" w:w="3360"/>
            <w:shd w:val="clear" w:color="auto" w:fill="FFFFFF"/>
          </w:tcPr>
          <w:p>
            <w:r>
              <w:rPr>
                <w:sz w:val="16"/>
              </w:rPr>
              <w:t>API Gateway</w:t>
            </w:r>
          </w:p>
        </w:tc>
        <w:tc>
          <w:tcPr>
            <w:tcW w:type="dxa" w:w="3360"/>
            <w:shd w:val="clear" w:color="auto" w:fill="FFFFFF"/>
          </w:tcPr>
          <w:p>
            <w:r>
              <w:rPr>
                <w:sz w:val="16"/>
              </w:rPr>
              <w:t>HTTP API, POST /query</w:t>
            </w:r>
          </w:p>
        </w:tc>
        <w:tc>
          <w:tcPr>
            <w:tcW w:type="dxa" w:w="3360"/>
            <w:shd w:val="clear" w:color="auto" w:fill="FFFFFF"/>
          </w:tcPr>
          <w:p>
            <w:r>
              <w:rPr>
                <w:sz w:val="16"/>
              </w:rPr>
              <w:t>HTTPS entry point, CORS, Lambda proxy</w:t>
            </w:r>
          </w:p>
        </w:tc>
      </w:tr>
      <w:tr>
        <w:tc>
          <w:tcPr>
            <w:tcW w:type="dxa" w:w="3360"/>
            <w:shd w:val="clear" w:color="auto" w:fill="F8FAFC"/>
          </w:tcPr>
          <w:p>
            <w:r>
              <w:rPr>
                <w:sz w:val="16"/>
              </w:rPr>
              <w:t>Lambda</w:t>
            </w:r>
          </w:p>
        </w:tc>
        <w:tc>
          <w:tcPr>
            <w:tcW w:type="dxa" w:w="3360"/>
            <w:shd w:val="clear" w:color="auto" w:fill="F8FAFC"/>
          </w:tcPr>
          <w:p>
            <w:r>
              <w:rPr>
                <w:sz w:val="16"/>
              </w:rPr>
              <w:t>gensync-tier1-handler (Py 3.11, 512 MB, 30 s)</w:t>
            </w:r>
          </w:p>
        </w:tc>
        <w:tc>
          <w:tcPr>
            <w:tcW w:type="dxa" w:w="3360"/>
            <w:shd w:val="clear" w:color="auto" w:fill="F8FAFC"/>
          </w:tcPr>
          <w:p>
            <w:r>
              <w:rPr>
                <w:sz w:val="16"/>
              </w:rPr>
              <w:t>Safety gate, embedding, retrieval, routing</w:t>
            </w:r>
          </w:p>
        </w:tc>
      </w:tr>
      <w:tr>
        <w:tc>
          <w:tcPr>
            <w:tcW w:type="dxa" w:w="3360"/>
            <w:shd w:val="clear" w:color="auto" w:fill="FFFFFF"/>
          </w:tcPr>
          <w:p>
            <w:r>
              <w:rPr>
                <w:sz w:val="16"/>
              </w:rPr>
              <w:t>Lambda layer</w:t>
            </w:r>
          </w:p>
        </w:tc>
        <w:tc>
          <w:tcPr>
            <w:tcW w:type="dxa" w:w="3360"/>
            <w:shd w:val="clear" w:color="auto" w:fill="FFFFFF"/>
          </w:tcPr>
          <w:p>
            <w:r>
              <w:rPr>
                <w:sz w:val="16"/>
              </w:rPr>
              <w:t>gensync-tier1-dependencies (38.5 MB)</w:t>
            </w:r>
          </w:p>
        </w:tc>
        <w:tc>
          <w:tcPr>
            <w:tcW w:type="dxa" w:w="3360"/>
            <w:shd w:val="clear" w:color="auto" w:fill="FFFFFF"/>
          </w:tcPr>
          <w:p>
            <w:r>
              <w:rPr>
                <w:sz w:val="16"/>
              </w:rPr>
              <w:t>onnxruntime, tokenizers, numpy</w:t>
            </w:r>
          </w:p>
        </w:tc>
      </w:tr>
      <w:tr>
        <w:tc>
          <w:tcPr>
            <w:tcW w:type="dxa" w:w="3360"/>
            <w:shd w:val="clear" w:color="auto" w:fill="F8FAFC"/>
          </w:tcPr>
          <w:p>
            <w:r>
              <w:rPr>
                <w:sz w:val="16"/>
              </w:rPr>
              <w:t>DynamoDB</w:t>
            </w:r>
          </w:p>
        </w:tc>
        <w:tc>
          <w:tcPr>
            <w:tcW w:type="dxa" w:w="3360"/>
            <w:shd w:val="clear" w:color="auto" w:fill="F8FAFC"/>
          </w:tcPr>
          <w:p>
            <w:r>
              <w:rPr>
                <w:sz w:val="16"/>
              </w:rPr>
              <w:t>gensync_cluster_centroids</w:t>
            </w:r>
          </w:p>
        </w:tc>
        <w:tc>
          <w:tcPr>
            <w:tcW w:type="dxa" w:w="3360"/>
            <w:shd w:val="clear" w:color="auto" w:fill="F8FAFC"/>
          </w:tcPr>
          <w:p>
            <w:r>
              <w:rPr>
                <w:sz w:val="16"/>
              </w:rPr>
              <w:t>Stage 1 centroid screening</w:t>
            </w:r>
          </w:p>
        </w:tc>
      </w:tr>
      <w:tr>
        <w:tc>
          <w:tcPr>
            <w:tcW w:type="dxa" w:w="3360"/>
            <w:shd w:val="clear" w:color="auto" w:fill="FFFFFF"/>
          </w:tcPr>
          <w:p>
            <w:r>
              <w:rPr>
                <w:sz w:val="16"/>
              </w:rPr>
              <w:t>DynamoDB</w:t>
            </w:r>
          </w:p>
        </w:tc>
        <w:tc>
          <w:tcPr>
            <w:tcW w:type="dxa" w:w="3360"/>
            <w:shd w:val="clear" w:color="auto" w:fill="FFFFFF"/>
          </w:tcPr>
          <w:p>
            <w:r>
              <w:rPr>
                <w:sz w:val="16"/>
              </w:rPr>
              <w:t>gensync_semantic_query_cache (GSI cluster_id-index)</w:t>
            </w:r>
          </w:p>
        </w:tc>
        <w:tc>
          <w:tcPr>
            <w:tcW w:type="dxa" w:w="3360"/>
            <w:shd w:val="clear" w:color="auto" w:fill="FFFFFF"/>
          </w:tcPr>
          <w:p>
            <w:r>
              <w:rPr>
                <w:sz w:val="16"/>
              </w:rPr>
              <w:t>Verified Q&amp;A and vectors; Stage 2</w:t>
            </w:r>
          </w:p>
        </w:tc>
      </w:tr>
      <w:tr>
        <w:tc>
          <w:tcPr>
            <w:tcW w:type="dxa" w:w="3360"/>
            <w:shd w:val="clear" w:color="auto" w:fill="F8FAFC"/>
          </w:tcPr>
          <w:p>
            <w:r>
              <w:rPr>
                <w:sz w:val="16"/>
              </w:rPr>
              <w:t>DynamoDB</w:t>
            </w:r>
          </w:p>
        </w:tc>
        <w:tc>
          <w:tcPr>
            <w:tcW w:type="dxa" w:w="3360"/>
            <w:shd w:val="clear" w:color="auto" w:fill="F8FAFC"/>
          </w:tcPr>
          <w:p>
            <w:r>
              <w:rPr>
                <w:sz w:val="16"/>
              </w:rPr>
              <w:t>gensync_triage_audit_log</w:t>
            </w:r>
          </w:p>
        </w:tc>
        <w:tc>
          <w:tcPr>
            <w:tcW w:type="dxa" w:w="3360"/>
            <w:shd w:val="clear" w:color="auto" w:fill="F8FAFC"/>
          </w:tcPr>
          <w:p>
            <w:r>
              <w:rPr>
                <w:sz w:val="16"/>
              </w:rPr>
              <w:t>HMAC-SHA256-only audit trail</w:t>
            </w:r>
          </w:p>
        </w:tc>
      </w:tr>
      <w:tr>
        <w:tc>
          <w:tcPr>
            <w:tcW w:type="dxa" w:w="3360"/>
            <w:shd w:val="clear" w:color="auto" w:fill="FFFFFF"/>
          </w:tcPr>
          <w:p>
            <w:r>
              <w:rPr>
                <w:sz w:val="16"/>
              </w:rPr>
              <w:t>DynamoDB</w:t>
            </w:r>
          </w:p>
        </w:tc>
        <w:tc>
          <w:tcPr>
            <w:tcW w:type="dxa" w:w="3360"/>
            <w:shd w:val="clear" w:color="auto" w:fill="FFFFFF"/>
          </w:tcPr>
          <w:p>
            <w:r>
              <w:rPr>
                <w:sz w:val="16"/>
              </w:rPr>
              <w:t>gensync_slm_review_queue</w:t>
            </w:r>
          </w:p>
        </w:tc>
        <w:tc>
          <w:tcPr>
            <w:tcW w:type="dxa" w:w="3360"/>
            <w:shd w:val="clear" w:color="auto" w:fill="FFFFFF"/>
          </w:tcPr>
          <w:p>
            <w:r>
              <w:rPr>
                <w:sz w:val="16"/>
              </w:rPr>
              <w:t>Cache misses for clinician review (hash + ciphertext)</w:t>
            </w:r>
          </w:p>
        </w:tc>
      </w:tr>
      <w:tr>
        <w:tc>
          <w:tcPr>
            <w:tcW w:type="dxa" w:w="3360"/>
            <w:shd w:val="clear" w:color="auto" w:fill="F8FAFC"/>
          </w:tcPr>
          <w:p>
            <w:r>
              <w:rPr>
                <w:sz w:val="16"/>
              </w:rPr>
              <w:t>SNS</w:t>
            </w:r>
          </w:p>
        </w:tc>
        <w:tc>
          <w:tcPr>
            <w:tcW w:type="dxa" w:w="3360"/>
            <w:shd w:val="clear" w:color="auto" w:fill="F8FAFC"/>
          </w:tcPr>
          <w:p>
            <w:r>
              <w:rPr>
                <w:sz w:val="16"/>
              </w:rPr>
              <w:t>ClinicalEmergencyTriage</w:t>
            </w:r>
          </w:p>
        </w:tc>
        <w:tc>
          <w:tcPr>
            <w:tcW w:type="dxa" w:w="3360"/>
            <w:shd w:val="clear" w:color="auto" w:fill="F8FAFC"/>
          </w:tcPr>
          <w:p>
            <w:r>
              <w:rPr>
                <w:sz w:val="16"/>
              </w:rPr>
              <w:t>Asynchronous clinician alerts</w:t>
            </w:r>
          </w:p>
        </w:tc>
      </w:tr>
      <w:tr>
        <w:tc>
          <w:tcPr>
            <w:tcW w:type="dxa" w:w="3360"/>
            <w:shd w:val="clear" w:color="auto" w:fill="FFFFFF"/>
          </w:tcPr>
          <w:p>
            <w:r>
              <w:rPr>
                <w:sz w:val="16"/>
              </w:rPr>
              <w:t>CloudWatch</w:t>
            </w:r>
          </w:p>
        </w:tc>
        <w:tc>
          <w:tcPr>
            <w:tcW w:type="dxa" w:w="3360"/>
            <w:shd w:val="clear" w:color="auto" w:fill="FFFFFF"/>
          </w:tcPr>
          <w:p>
            <w:r>
              <w:rPr>
                <w:sz w:val="16"/>
              </w:rPr>
              <w:t>Log groups</w:t>
            </w:r>
          </w:p>
        </w:tc>
        <w:tc>
          <w:tcPr>
            <w:tcW w:type="dxa" w:w="3360"/>
            <w:shd w:val="clear" w:color="auto" w:fill="FFFFFF"/>
          </w:tcPr>
          <w:p>
            <w:r>
              <w:rPr>
                <w:sz w:val="16"/>
              </w:rPr>
              <w:t>Telemetry without raw text</w:t>
            </w:r>
          </w:p>
        </w:tc>
      </w:tr>
      <w:tr>
        <w:tc>
          <w:tcPr>
            <w:tcW w:type="dxa" w:w="3360"/>
            <w:shd w:val="clear" w:color="auto" w:fill="F8FAFC"/>
          </w:tcPr>
          <w:p>
            <w:r>
              <w:rPr>
                <w:sz w:val="16"/>
              </w:rPr>
              <w:t>IAM / Budgets</w:t>
            </w:r>
          </w:p>
        </w:tc>
        <w:tc>
          <w:tcPr>
            <w:tcW w:type="dxa" w:w="3360"/>
            <w:shd w:val="clear" w:color="auto" w:fill="F8FAFC"/>
          </w:tcPr>
          <w:p>
            <w:r>
              <w:rPr>
                <w:sz w:val="16"/>
              </w:rPr>
              <w:t>Least-privilege roles; USD 0.01 alarm</w:t>
            </w:r>
          </w:p>
        </w:tc>
        <w:tc>
          <w:tcPr>
            <w:tcW w:type="dxa" w:w="3360"/>
            <w:shd w:val="clear" w:color="auto" w:fill="F8FAFC"/>
          </w:tcPr>
          <w:p>
            <w:r>
              <w:rPr>
                <w:sz w:val="16"/>
              </w:rPr>
              <w:t>Access control and cost governance</w:t>
            </w:r>
          </w:p>
        </w:tc>
      </w:tr>
    </w:tbl>
    <w:p>
      <w:pPr>
        <w:spacing w:after="80"/>
      </w:pPr>
    </w:p>
    <w:p>
      <w:pPr>
        <w:spacing w:before="180" w:after="40"/>
      </w:pPr>
      <w:r>
        <w:rPr>
          <w:b/>
          <w:i/>
          <w:sz w:val="20"/>
        </w:rPr>
        <w:t>B. Invariant 1: Deterministic Safety-Before-Retrieval Circuit Breaker</w:t>
      </w:r>
    </w:p>
    <w:p>
      <w:pPr>
        <w:spacing w:after="120" w:line="252" w:lineRule="auto"/>
      </w:pPr>
      <w:r>
        <w:t>The safety gate applies keyword and regular-expression rules to the normalized query across English, Hinglish, and Tanglish. The deployed rule set comprises eight emergency rules, covering presentations such as myocardial infarction, acute stroke, anaphylaxis and respiratory distress, and seven referral rules covering medication and pregnancy questions. Rules are evaluated in priority order (emergency, then referral, then retrieval), taking 0.06 ms on CPU and executing before the embedder, the vector search or any database read. On an emergency match the handler immediately returns an advisory containing a tel:112 action in under 60 ms and publishes an asynchronous alert to the SNS topic ClinicalEmergencyTriage. On a referral match it returns a safe referral to professional channels such as the National Health Portal or eSanjeevani. Both paths bypass the cache entirely.</w:t>
      </w:r>
    </w:p>
    <w:p>
      <w:pPr>
        <w:spacing w:before="180" w:after="40"/>
      </w:pPr>
      <w:r>
        <w:rPr>
          <w:b/>
          <w:i/>
          <w:sz w:val="20"/>
        </w:rPr>
        <w:t>C. Serverless CPU Embedder</w:t>
      </w:r>
    </w:p>
    <w:p>
      <w:pPr>
        <w:spacing w:after="120" w:line="252" w:lineRule="auto"/>
      </w:pPr>
      <w:r>
        <w:t>Queries that pass the gate are embedded with all-MiniLM-L6-v2 [22], [20], exported to ONNX [35] and quantized from Float32 to INT8 [37], giving a model of about 22.9 MB that produces a 384-dimensional vector. The runtime dependencies (onnxruntime, tokenizers, numpy) are packaged in a 38.5 MB Lambda layer. Isolated ONNX session inference on desktop CPU measures ~35 ms; when executed in 512 MB Lambda memory including Python tokenization, NumPy mean pooling, and L2 normalization, the complete stage measures a median of 112.0 ms.</w:t>
      </w:r>
    </w:p>
    <w:p>
      <w:pPr>
        <w:spacing w:before="180" w:after="40"/>
      </w:pPr>
      <w:r>
        <w:rPr>
          <w:b/>
          <w:i/>
          <w:sz w:val="20"/>
        </w:rPr>
        <w:t>D. Two-Stage Retrieval on DynamoDB</w:t>
      </w:r>
    </w:p>
    <w:p>
      <w:pPr>
        <w:spacing w:after="120" w:line="252" w:lineRule="auto"/>
      </w:pPr>
      <w:r>
        <w:t>Scanning every cached vector for each query is wasteful. GenSync-MedAI partitions the cache into K clusters. Stage 1 computes the distance from the query vector to each coarse centroid stored in gensync_cluster_centroids (~15 ms) and selects the nearest cluster. Stage 2 queries only that partition of gensync_semantic_query_cache through the GSI cluster_id-index (~75 ms) and computes cosine similarity in Lambda memory:</w:t>
        <w:br/>
        <w:t xml:space="preserve">   s(q, e) = (q · v_e) / (||q|| ||v_e||),   hit &lt;=&gt; max s(q, e) &gt;= tau = 0.92   (2)</w:t>
        <w:br/>
        <w:t>A hit additionally requires that the matched entry carry review_status = HUMAN_APPROVED.</w:t>
      </w:r>
    </w:p>
    <w:p>
      <w:pPr>
        <w:spacing w:before="180" w:after="40"/>
      </w:pPr>
      <w:r>
        <w:rPr>
          <w:b/>
          <w:i/>
          <w:sz w:val="20"/>
        </w:rPr>
        <w:t>E. Request-Handling Algorithm</w:t>
      </w:r>
    </w:p>
    <w:p>
      <w:pPr>
        <w:spacing w:after="120" w:line="252" w:lineRule="auto"/>
      </w:pPr>
      <w:r>
        <w:t>Algorithm 1 details the request-handling procedure:</w:t>
        <w:br/>
        <w:t>1  if request.ping: return 200 OK</w:t>
        <w:br/>
        <w:t>2  q' &lt;- normalize(request.query)</w:t>
        <w:br/>
        <w:t>3  h  &lt;- HMAC_K(q');  cid &lt;- new_correlation_id()</w:t>
        <w:br/>
        <w:t>4  if matches_emergency(q'):</w:t>
        <w:br/>
        <w:t>5      sns_publish_async(cid, h); audit(cid, h, EMERGENCY)</w:t>
        <w:br/>
        <w:t>6      return advisory(tel:112)</w:t>
        <w:br/>
        <w:t>7  if matches_referral(q'):</w:t>
        <w:br/>
        <w:t>8      audit(cid, h, PROFESSIONAL_REFERRAL)</w:t>
        <w:br/>
        <w:t>9      return referral(NHP, eSanjeevani)</w:t>
        <w:br/>
        <w:t>10 v  &lt;- embed_int8_onnx(q')        # 384-d</w:t>
        <w:br/>
        <w:t>11 k  &lt;- argmin_j dist(v, centroid_j)   # Stage 1</w:t>
        <w:br/>
        <w:t>12 C  &lt;- gsi_query(cluster_id = k)      # Stage 2</w:t>
        <w:br/>
        <w:t>13 (e*, s*) &lt;- argmax over e in C with e.review_status = HUMAN_APPROVED of cos(v, e.vec)</w:t>
        <w:br/>
        <w:t>14 if s* &gt;= 0.92 and verify_clinical_frame(q', e*):</w:t>
        <w:br/>
        <w:t>15     audit(cid, h, CACHE_HIT)</w:t>
        <w:br/>
        <w:t>16     return e*.answer + e*.provenance</w:t>
        <w:br/>
        <w:t>17 enqueue_review(cid, h); audit(cid, h, CACHE_MISS)</w:t>
        <w:br/>
        <w:t>18 return safe_refusal()</w:t>
      </w:r>
    </w:p>
    <w:p>
      <w:pPr>
        <w:spacing w:before="180" w:after="40"/>
      </w:pPr>
      <w:r>
        <w:rPr>
          <w:b/>
          <w:i/>
          <w:sz w:val="20"/>
        </w:rPr>
        <w:t>F. Data Model</w:t>
      </w:r>
    </w:p>
    <w:p>
      <w:pPr>
        <w:spacing w:after="120" w:line="252" w:lineRule="auto"/>
      </w:pPr>
      <w:r>
        <w:t>Table 7 summarizes the logical contents of the four DynamoDB tables. Cached answers are curated artefacts authored and approved by clinicians; they are not copies of user queries.</w:t>
      </w:r>
    </w:p>
    <w:p>
      <w:pPr>
        <w:spacing w:before="160" w:after="60"/>
        <w:jc w:val="center"/>
      </w:pPr>
      <w:r>
        <w:rPr>
          <w:b/>
          <w:sz w:val="17"/>
        </w:rPr>
        <w:t>TABLE 7. LOGICAL DATA MODEL</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Table</w:t>
            </w:r>
          </w:p>
        </w:tc>
        <w:tc>
          <w:tcPr>
            <w:tcW w:type="dxa" w:w="2520"/>
            <w:shd w:val="clear" w:color="auto" w:fill="1E293B"/>
          </w:tcPr>
          <w:p>
            <w:r>
              <w:rPr>
                <w:b/>
                <w:color w:val="FFFFFF"/>
                <w:sz w:val="16"/>
              </w:rPr>
              <w:t>Key / index</w:t>
            </w:r>
          </w:p>
        </w:tc>
        <w:tc>
          <w:tcPr>
            <w:tcW w:type="dxa" w:w="2520"/>
            <w:shd w:val="clear" w:color="auto" w:fill="1E293B"/>
          </w:tcPr>
          <w:p>
            <w:r>
              <w:rPr>
                <w:b/>
                <w:color w:val="FFFFFF"/>
                <w:sz w:val="16"/>
              </w:rPr>
              <w:t>Principal contents</w:t>
            </w:r>
          </w:p>
        </w:tc>
        <w:tc>
          <w:tcPr>
            <w:tcW w:type="dxa" w:w="2520"/>
            <w:shd w:val="clear" w:color="auto" w:fill="1E293B"/>
          </w:tcPr>
          <w:p>
            <w:r>
              <w:rPr>
                <w:b/>
                <w:color w:val="FFFFFF"/>
                <w:sz w:val="16"/>
              </w:rPr>
              <w:t>User text?</w:t>
            </w:r>
          </w:p>
        </w:tc>
      </w:tr>
      <w:tr>
        <w:tc>
          <w:tcPr>
            <w:tcW w:type="dxa" w:w="2520"/>
            <w:shd w:val="clear" w:color="auto" w:fill="FFFFFF"/>
          </w:tcPr>
          <w:p>
            <w:r>
              <w:rPr>
                <w:sz w:val="16"/>
              </w:rPr>
              <w:t>Cluster centroids</w:t>
            </w:r>
          </w:p>
        </w:tc>
        <w:tc>
          <w:tcPr>
            <w:tcW w:type="dxa" w:w="2520"/>
            <w:shd w:val="clear" w:color="auto" w:fill="FFFFFF"/>
          </w:tcPr>
          <w:p>
            <w:r>
              <w:rPr>
                <w:sz w:val="16"/>
              </w:rPr>
              <w:t>cluster id</w:t>
            </w:r>
          </w:p>
        </w:tc>
        <w:tc>
          <w:tcPr>
            <w:tcW w:type="dxa" w:w="2520"/>
            <w:shd w:val="clear" w:color="auto" w:fill="FFFFFF"/>
          </w:tcPr>
          <w:p>
            <w:r>
              <w:rPr>
                <w:sz w:val="16"/>
              </w:rPr>
              <w:t>Centroid vector per cluster</w:t>
            </w:r>
          </w:p>
        </w:tc>
        <w:tc>
          <w:tcPr>
            <w:tcW w:type="dxa" w:w="2520"/>
            <w:shd w:val="clear" w:color="auto" w:fill="FFFFFF"/>
          </w:tcPr>
          <w:p>
            <w:r>
              <w:rPr>
                <w:sz w:val="16"/>
              </w:rPr>
              <w:t>No</w:t>
            </w:r>
          </w:p>
        </w:tc>
      </w:tr>
      <w:tr>
        <w:tc>
          <w:tcPr>
            <w:tcW w:type="dxa" w:w="2520"/>
            <w:shd w:val="clear" w:color="auto" w:fill="F8FAFC"/>
          </w:tcPr>
          <w:p>
            <w:r>
              <w:rPr>
                <w:sz w:val="16"/>
              </w:rPr>
              <w:t>Semantic query cache</w:t>
            </w:r>
          </w:p>
        </w:tc>
        <w:tc>
          <w:tcPr>
            <w:tcW w:type="dxa" w:w="2520"/>
            <w:shd w:val="clear" w:color="auto" w:fill="F8FAFC"/>
          </w:tcPr>
          <w:p>
            <w:r>
              <w:rPr>
                <w:sz w:val="16"/>
              </w:rPr>
              <w:t>entry id; GSI on cluster id</w:t>
            </w:r>
          </w:p>
        </w:tc>
        <w:tc>
          <w:tcPr>
            <w:tcW w:type="dxa" w:w="2520"/>
            <w:shd w:val="clear" w:color="auto" w:fill="F8FAFC"/>
          </w:tcPr>
          <w:p>
            <w:r>
              <w:rPr>
                <w:sz w:val="16"/>
              </w:rPr>
              <w:t>Stored question vector, approved answer, review status, guideline source</w:t>
            </w:r>
          </w:p>
        </w:tc>
        <w:tc>
          <w:tcPr>
            <w:tcW w:type="dxa" w:w="2520"/>
            <w:shd w:val="clear" w:color="auto" w:fill="F8FAFC"/>
          </w:tcPr>
          <w:p>
            <w:r>
              <w:rPr>
                <w:sz w:val="16"/>
              </w:rPr>
              <w:t>No (curated)</w:t>
            </w:r>
          </w:p>
        </w:tc>
      </w:tr>
      <w:tr>
        <w:tc>
          <w:tcPr>
            <w:tcW w:type="dxa" w:w="2520"/>
            <w:shd w:val="clear" w:color="auto" w:fill="FFFFFF"/>
          </w:tcPr>
          <w:p>
            <w:r>
              <w:rPr>
                <w:sz w:val="16"/>
              </w:rPr>
              <w:t>Triage audit log</w:t>
            </w:r>
          </w:p>
        </w:tc>
        <w:tc>
          <w:tcPr>
            <w:tcW w:type="dxa" w:w="2520"/>
            <w:shd w:val="clear" w:color="auto" w:fill="FFFFFF"/>
          </w:tcPr>
          <w:p>
            <w:r>
              <w:rPr>
                <w:sz w:val="16"/>
              </w:rPr>
              <w:t>correlation id</w:t>
            </w:r>
          </w:p>
        </w:tc>
        <w:tc>
          <w:tcPr>
            <w:tcW w:type="dxa" w:w="2520"/>
            <w:shd w:val="clear" w:color="auto" w:fill="FFFFFF"/>
          </w:tcPr>
          <w:p>
            <w:r>
              <w:rPr>
                <w:sz w:val="16"/>
              </w:rPr>
              <w:t>Route verdict, timings, HMAC-SHA256 digest</w:t>
            </w:r>
          </w:p>
        </w:tc>
        <w:tc>
          <w:tcPr>
            <w:tcW w:type="dxa" w:w="2520"/>
            <w:shd w:val="clear" w:color="auto" w:fill="FFFFFF"/>
          </w:tcPr>
          <w:p>
            <w:r>
              <w:rPr>
                <w:sz w:val="16"/>
              </w:rPr>
              <w:t>No</w:t>
            </w:r>
          </w:p>
        </w:tc>
      </w:tr>
      <w:tr>
        <w:tc>
          <w:tcPr>
            <w:tcW w:type="dxa" w:w="2520"/>
            <w:shd w:val="clear" w:color="auto" w:fill="F8FAFC"/>
          </w:tcPr>
          <w:p>
            <w:r>
              <w:rPr>
                <w:sz w:val="16"/>
              </w:rPr>
              <w:t>Review queue</w:t>
            </w:r>
          </w:p>
        </w:tc>
        <w:tc>
          <w:tcPr>
            <w:tcW w:type="dxa" w:w="2520"/>
            <w:shd w:val="clear" w:color="auto" w:fill="F8FAFC"/>
          </w:tcPr>
          <w:p>
            <w:r>
              <w:rPr>
                <w:sz w:val="16"/>
              </w:rPr>
              <w:t>queue item id</w:t>
            </w:r>
          </w:p>
        </w:tc>
        <w:tc>
          <w:tcPr>
            <w:tcW w:type="dxa" w:w="2520"/>
            <w:shd w:val="clear" w:color="auto" w:fill="F8FAFC"/>
          </w:tcPr>
          <w:p>
            <w:r>
              <w:rPr>
                <w:sz w:val="16"/>
              </w:rPr>
              <w:t>Pending-miss record for clinician review</w:t>
            </w:r>
          </w:p>
        </w:tc>
        <w:tc>
          <w:tcPr>
            <w:tcW w:type="dxa" w:w="2520"/>
            <w:shd w:val="clear" w:color="auto" w:fill="F8FAFC"/>
          </w:tcPr>
          <w:p>
            <w:r>
              <w:rPr>
                <w:sz w:val="16"/>
              </w:rPr>
              <w:t>HMAC digest + client ciphertext only</w:t>
            </w:r>
          </w:p>
        </w:tc>
      </w:tr>
    </w:tbl>
    <w:p>
      <w:pPr>
        <w:spacing w:after="80"/>
      </w:pPr>
    </w:p>
    <w:p>
      <w:pPr>
        <w:spacing w:before="180" w:after="40"/>
      </w:pPr>
      <w:r>
        <w:rPr>
          <w:b/>
          <w:i/>
          <w:sz w:val="20"/>
        </w:rPr>
        <w:t>G. Provenance and Safe Refusal</w:t>
      </w:r>
    </w:p>
    <w:p>
      <w:pPr>
        <w:spacing w:after="120" w:line="252" w:lineRule="auto"/>
      </w:pPr>
      <w:r>
        <w:t>Each servable entry stores the approved answer together with metadata linking it to an institutional source such as WHO, CDC or ICMR guidance. If no entry reaches the threshold or clinical frame compatibility fails, the system returns a controlled refusal ('I am not sure. No verified human-reviewed answer was found...') and writes the event to gensync_slm_review_queue, so that clinicians can later author and approve an answer. The system never generates unverified text at inference time.</w:t>
      </w:r>
    </w:p>
    <w:p>
      <w:pPr>
        <w:spacing w:before="180" w:after="40"/>
      </w:pPr>
      <w:r>
        <w:rPr>
          <w:b/>
          <w:i/>
          <w:sz w:val="20"/>
        </w:rPr>
        <w:t>H. Invariant 2: Cryptographic Zero-PHI Privacy Vault</w:t>
      </w:r>
    </w:p>
    <w:p>
      <w:pPr>
        <w:spacing w:after="120" w:line="252" w:lineRule="auto"/>
      </w:pPr>
      <w:r>
        <w:t>For every request the handler derives an HMAC digest and persists only that value:</w:t>
        <w:br/>
        <w:t xml:space="preserve">   query_hmac = HMAC_SHA256(normalize(q), K)  (64 hex characters)   (3)</w:t>
        <w:br/>
        <w:t>The digest, correlation identifier, route verdict and timing fields are written to gensync_triage_audit_log, CloudWatch Logs and the SNS payload. The query vector exists only in Lambda memory for the duration of the invocation.</w:t>
      </w:r>
    </w:p>
    <w:p>
      <w:pPr>
        <w:spacing w:before="180" w:after="40"/>
      </w:pPr>
      <w:r>
        <w:rPr>
          <w:b/>
          <w:i/>
          <w:sz w:val="20"/>
        </w:rPr>
        <w:t>I. Console and Observability</w:t>
      </w:r>
    </w:p>
    <w:p>
      <w:pPr>
        <w:spacing w:after="120" w:line="252" w:lineRule="auto"/>
      </w:pPr>
      <w:r>
        <w:t>The React console provides eight views: an executive dashboard, a clinical query console, a safety-gate monitor, cache telemetry, an audit log, a benchmark stress-suite view, an architecture view, and settings. No view renders raw query text, consistent with Invariant 2.</w:t>
      </w:r>
    </w:p>
    <w:p>
      <w:pPr>
        <w:spacing w:before="180" w:after="40"/>
      </w:pPr>
      <w:r>
        <w:rPr>
          <w:b/>
          <w:i/>
          <w:sz w:val="20"/>
        </w:rPr>
        <w:t>J. Design Alternatives Considered</w:t>
      </w:r>
    </w:p>
    <w:p>
      <w:pPr>
        <w:spacing w:after="120" w:line="252" w:lineRule="auto"/>
      </w:pPr>
      <w:r>
        <w:t>Table 8 records the principal alternatives and why each was not the primary choice.</w:t>
      </w:r>
    </w:p>
    <w:p>
      <w:pPr>
        <w:spacing w:before="160" w:after="60"/>
        <w:jc w:val="center"/>
      </w:pPr>
      <w:r>
        <w:rPr>
          <w:b/>
          <w:sz w:val="17"/>
        </w:rPr>
        <w:t>TABLE 8. ALTERNATIVES AND RATIONALE</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Alternative</w:t>
            </w:r>
          </w:p>
        </w:tc>
        <w:tc>
          <w:tcPr>
            <w:tcW w:type="dxa" w:w="3360"/>
            <w:shd w:val="clear" w:color="auto" w:fill="1E293B"/>
          </w:tcPr>
          <w:p>
            <w:r>
              <w:rPr>
                <w:b/>
                <w:color w:val="FFFFFF"/>
                <w:sz w:val="16"/>
              </w:rPr>
              <w:t>Strength</w:t>
            </w:r>
          </w:p>
        </w:tc>
        <w:tc>
          <w:tcPr>
            <w:tcW w:type="dxa" w:w="3360"/>
            <w:shd w:val="clear" w:color="auto" w:fill="1E293B"/>
          </w:tcPr>
          <w:p>
            <w:r>
              <w:rPr>
                <w:b/>
                <w:color w:val="FFFFFF"/>
                <w:sz w:val="16"/>
              </w:rPr>
              <w:t>Reason not primary</w:t>
            </w:r>
          </w:p>
        </w:tc>
      </w:tr>
      <w:tr>
        <w:tc>
          <w:tcPr>
            <w:tcW w:type="dxa" w:w="3360"/>
            <w:shd w:val="clear" w:color="auto" w:fill="FFFFFF"/>
          </w:tcPr>
          <w:p>
            <w:r>
              <w:rPr>
                <w:sz w:val="16"/>
              </w:rPr>
              <w:t>Managed vector DB or OpenSearch Serverless</w:t>
            </w:r>
          </w:p>
        </w:tc>
        <w:tc>
          <w:tcPr>
            <w:tcW w:type="dxa" w:w="3360"/>
            <w:shd w:val="clear" w:color="auto" w:fill="FFFFFF"/>
          </w:tcPr>
          <w:p>
            <w:r>
              <w:rPr>
                <w:sz w:val="16"/>
              </w:rPr>
              <w:t>Mature ANN at scale</w:t>
            </w:r>
          </w:p>
        </w:tc>
        <w:tc>
          <w:tcPr>
            <w:tcW w:type="dxa" w:w="3360"/>
            <w:shd w:val="clear" w:color="auto" w:fill="FFFFFF"/>
          </w:tcPr>
          <w:p>
            <w:r>
              <w:rPr>
                <w:sz w:val="16"/>
              </w:rPr>
              <w:t>Standing cost; outside zero-idle goal</w:t>
            </w:r>
          </w:p>
        </w:tc>
      </w:tr>
      <w:tr>
        <w:tc>
          <w:tcPr>
            <w:tcW w:type="dxa" w:w="3360"/>
            <w:shd w:val="clear" w:color="auto" w:fill="F8FAFC"/>
          </w:tcPr>
          <w:p>
            <w:r>
              <w:rPr>
                <w:sz w:val="16"/>
              </w:rPr>
              <w:t>FAISS index inside Lambda</w:t>
            </w:r>
          </w:p>
        </w:tc>
        <w:tc>
          <w:tcPr>
            <w:tcW w:type="dxa" w:w="3360"/>
            <w:shd w:val="clear" w:color="auto" w:fill="F8FAFC"/>
          </w:tcPr>
          <w:p>
            <w:r>
              <w:rPr>
                <w:sz w:val="16"/>
              </w:rPr>
              <w:t>No external store</w:t>
            </w:r>
          </w:p>
        </w:tc>
        <w:tc>
          <w:tcPr>
            <w:tcW w:type="dxa" w:w="3360"/>
            <w:shd w:val="clear" w:color="auto" w:fill="F8FAFC"/>
          </w:tcPr>
          <w:p>
            <w:r>
              <w:rPr>
                <w:sz w:val="16"/>
              </w:rPr>
              <w:t>Index loading and state management on each cold start</w:t>
            </w:r>
          </w:p>
        </w:tc>
      </w:tr>
      <w:tr>
        <w:tc>
          <w:tcPr>
            <w:tcW w:type="dxa" w:w="3360"/>
            <w:shd w:val="clear" w:color="auto" w:fill="FFFFFF"/>
          </w:tcPr>
          <w:p>
            <w:r>
              <w:rPr>
                <w:sz w:val="16"/>
              </w:rPr>
              <w:t>DynamoDB native vector search [29]</w:t>
            </w:r>
          </w:p>
        </w:tc>
        <w:tc>
          <w:tcPr>
            <w:tcW w:type="dxa" w:w="3360"/>
            <w:shd w:val="clear" w:color="auto" w:fill="FFFFFF"/>
          </w:tcPr>
          <w:p>
            <w:r>
              <w:rPr>
                <w:sz w:val="16"/>
              </w:rPr>
              <w:t>Single-digit-ms ANN, no custom pruning</w:t>
            </w:r>
          </w:p>
        </w:tc>
        <w:tc>
          <w:tcPr>
            <w:tcW w:type="dxa" w:w="3360"/>
            <w:shd w:val="clear" w:color="auto" w:fill="FFFFFF"/>
          </w:tcPr>
          <w:p>
            <w:r>
              <w:rPr>
                <w:sz w:val="16"/>
              </w:rPr>
              <w:t>Evaluated in Sec. VII; safety gate remains primary novelty</w:t>
            </w:r>
          </w:p>
        </w:tc>
      </w:tr>
      <w:tr>
        <w:tc>
          <w:tcPr>
            <w:tcW w:type="dxa" w:w="3360"/>
            <w:shd w:val="clear" w:color="auto" w:fill="F8FAFC"/>
          </w:tcPr>
          <w:p>
            <w:r>
              <w:rPr>
                <w:sz w:val="16"/>
              </w:rPr>
              <w:t>LLM answer on cache miss</w:t>
            </w:r>
          </w:p>
        </w:tc>
        <w:tc>
          <w:tcPr>
            <w:tcW w:type="dxa" w:w="3360"/>
            <w:shd w:val="clear" w:color="auto" w:fill="F8FAFC"/>
          </w:tcPr>
          <w:p>
            <w:r>
              <w:rPr>
                <w:sz w:val="16"/>
              </w:rPr>
              <w:t>Higher coverage</w:t>
            </w:r>
          </w:p>
        </w:tc>
        <w:tc>
          <w:tcPr>
            <w:tcW w:type="dxa" w:w="3360"/>
            <w:shd w:val="clear" w:color="auto" w:fill="F8FAFC"/>
          </w:tcPr>
          <w:p>
            <w:r>
              <w:rPr>
                <w:sz w:val="16"/>
              </w:rPr>
              <w:t>Hallucination risk for clinical content [4]</w:t>
            </w:r>
          </w:p>
        </w:tc>
      </w:tr>
      <w:tr>
        <w:tc>
          <w:tcPr>
            <w:tcW w:type="dxa" w:w="3360"/>
            <w:shd w:val="clear" w:color="auto" w:fill="FFFFFF"/>
          </w:tcPr>
          <w:p>
            <w:r>
              <w:rPr>
                <w:sz w:val="16"/>
              </w:rPr>
              <w:t>Quantized SLM fallback on Lambda</w:t>
            </w:r>
          </w:p>
        </w:tc>
        <w:tc>
          <w:tcPr>
            <w:tcW w:type="dxa" w:w="3360"/>
            <w:shd w:val="clear" w:color="auto" w:fill="FFFFFF"/>
          </w:tcPr>
          <w:p>
            <w:r>
              <w:rPr>
                <w:sz w:val="16"/>
              </w:rPr>
              <w:t>No external API</w:t>
            </w:r>
          </w:p>
        </w:tc>
        <w:tc>
          <w:tcPr>
            <w:tcW w:type="dxa" w:w="3360"/>
            <w:shd w:val="clear" w:color="auto" w:fill="FFFFFF"/>
          </w:tcPr>
          <w:p>
            <w:r>
              <w:rPr>
                <w:sz w:val="16"/>
              </w:rPr>
              <w:t>CPU-only, unproven clinical accuracy [39]</w:t>
            </w:r>
          </w:p>
        </w:tc>
      </w:tr>
      <w:tr>
        <w:tc>
          <w:tcPr>
            <w:tcW w:type="dxa" w:w="3360"/>
            <w:shd w:val="clear" w:color="auto" w:fill="F8FAFC"/>
          </w:tcPr>
          <w:p>
            <w:r>
              <w:rPr>
                <w:sz w:val="16"/>
              </w:rPr>
              <w:t>Learned triage classifier</w:t>
            </w:r>
          </w:p>
        </w:tc>
        <w:tc>
          <w:tcPr>
            <w:tcW w:type="dxa" w:w="3360"/>
            <w:shd w:val="clear" w:color="auto" w:fill="F8FAFC"/>
          </w:tcPr>
          <w:p>
            <w:r>
              <w:rPr>
                <w:sz w:val="16"/>
              </w:rPr>
              <w:t>Better paraphrase coverage</w:t>
            </w:r>
          </w:p>
        </w:tc>
        <w:tc>
          <w:tcPr>
            <w:tcW w:type="dxa" w:w="3360"/>
            <w:shd w:val="clear" w:color="auto" w:fill="F8FAFC"/>
          </w:tcPr>
          <w:p>
            <w:r>
              <w:rPr>
                <w:sz w:val="16"/>
              </w:rPr>
              <w:t>Non-deterministic; harder to audit; needs labelled data</w:t>
            </w:r>
          </w:p>
        </w:tc>
      </w:tr>
    </w:tbl>
    <w:p>
      <w:pPr>
        <w:spacing w:after="80"/>
      </w:pPr>
    </w:p>
    <w:p>
      <w:pPr>
        <w:spacing w:before="180" w:after="40"/>
      </w:pPr>
      <w:r>
        <w:rPr>
          <w:b/>
          <w:i/>
          <w:sz w:val="20"/>
        </w:rPr>
        <w:t>K. Financial Governance</w:t>
      </w:r>
    </w:p>
    <w:p>
      <w:pPr>
        <w:spacing w:after="120" w:line="252" w:lineRule="auto"/>
      </w:pPr>
      <w:r>
        <w:t>An AWS Budgets alarm at USD 0.01, with e-mail escalation, bounds spend and acts as a tripwire to ensure operation remains within expected financial boundaries.</w:t>
      </w:r>
    </w:p>
    <w:p>
      <w:pPr>
        <w:spacing w:before="180" w:after="40"/>
      </w:pPr>
      <w:r>
        <w:rPr>
          <w:b/>
          <w:i/>
          <w:sz w:val="20"/>
        </w:rPr>
        <w:t>L. Formal Safety Properties</w:t>
      </w:r>
    </w:p>
    <w:p>
      <w:pPr>
        <w:spacing w:after="120" w:line="252" w:lineRule="auto"/>
      </w:pPr>
      <w:r>
        <w:t>The control flow of Algorithm 1 supports several properties checked by inspection:</w:t>
        <w:br/>
        <w:t>P1 (Emergency isolation): If emergency rules match, the handler returns before embedding or DB read; side effects are limited to SNS alert and audit.</w:t>
        <w:br/>
        <w:t>P2 (Hit soundness): CACHE_HIT returned only if matched entry is HUMAN_APPROVED, has cosine &gt;= 0.92, and satisfies clinical frame verification.</w:t>
        <w:br/>
        <w:t>P3 (Closed output set): Every response is drawn from an enumerable set: advisory, referral, approved answer with provenance, or refusal.</w:t>
        <w:br/>
        <w:t>P4 (Persistence minimality): Persisted artefacts are limited to HMAC digest, correlation ID, route, and timing fields.</w:t>
        <w:br/>
        <w:t>P5 (Degradation direction): Failures in embedding or retrieval produce an error state or safe refusal, never an unverified answer.</w:t>
      </w:r>
    </w:p>
    <w:p>
      <w:pPr>
        <w:spacing w:before="180" w:after="40"/>
      </w:pPr>
      <w:r>
        <w:rPr>
          <w:b/>
          <w:i/>
          <w:sz w:val="20"/>
        </w:rPr>
        <w:t>M. Latency and Complexity Model</w:t>
      </w:r>
    </w:p>
    <w:p>
      <w:pPr>
        <w:spacing w:after="120" w:line="252" w:lineRule="auto"/>
      </w:pPr>
      <w:r>
        <w:t>Let T_gate, T_emb, T_S1, T_S2, T_sim and T_aud denote durations of the pipeline stages:</w:t>
        <w:br/>
        <w:t xml:space="preserve">   T_emerg ≈ T_gate + T_resp;   T_retr ≈ T_gate + T_emb + T_S1 + T_S2 + T_sim + T_aud   (4)</w:t>
        <w:br/>
        <w:t>The measured medians (gate 0.06 ms, embedding 112.0 ms, retrieval 90.3 ms covering Stages 1 and 2, server total 211.4 ms) match this decomposition.</w:t>
      </w:r>
    </w:p>
    <w:p>
      <w:pPr>
        <w:spacing w:before="180" w:after="40"/>
      </w:pPr>
      <w:r>
        <w:rPr>
          <w:b/>
          <w:i/>
          <w:sz w:val="20"/>
        </w:rPr>
        <w:t>N. Platform Considerations</w:t>
      </w:r>
    </w:p>
    <w:p>
      <w:pPr>
        <w:spacing w:after="120" w:line="252" w:lineRule="auto"/>
      </w:pPr>
      <w:r>
        <w:t>Lambda CPU scales with memory; 512 MB balances compute and cost. GSI reads on DynamoDB are eventually consistent, so entry withdrawals must account for propagation delay.</w:t>
      </w:r>
    </w:p>
    <w:p>
      <w:pPr>
        <w:spacing w:before="280" w:after="80"/>
      </w:pPr>
      <w:r>
        <w:rPr>
          <w:b/>
          <w:sz w:val="22"/>
        </w:rPr>
        <w:t>V. EXPERIMENTAL SETUP</w:t>
      </w:r>
    </w:p>
    <w:p>
      <w:pPr>
        <w:spacing w:before="180" w:after="40"/>
      </w:pPr>
      <w:r>
        <w:rPr>
          <w:b/>
          <w:i/>
          <w:sz w:val="20"/>
        </w:rPr>
        <w:t>A. Environment</w:t>
      </w:r>
    </w:p>
    <w:p>
      <w:pPr>
        <w:spacing w:after="120" w:line="252" w:lineRule="auto"/>
      </w:pPr>
      <w:r>
        <w:t>All measurements were taken against the live deployment in ap-south-1 through the public API Gateway route with 512 MB Lambda memory. Server-side timings are reported by the handler; client round-trip time (RTT) is measured by the test harness.</w:t>
      </w:r>
    </w:p>
    <w:p>
      <w:pPr>
        <w:spacing w:before="180" w:after="40"/>
      </w:pPr>
      <w:r>
        <w:rPr>
          <w:b/>
          <w:i/>
          <w:sz w:val="20"/>
        </w:rPr>
        <w:t>B. 32-Case Adversarial Clinical Stress Suite</w:t>
      </w:r>
    </w:p>
    <w:p>
      <w:pPr>
        <w:spacing w:after="120" w:line="252" w:lineRule="auto"/>
      </w:pPr>
      <w:r>
        <w:t>The suite contains 32 cases in five categories (Table 9). Perturbation cases alter clinically decisive terms while keeping surface similarity high.</w:t>
      </w:r>
    </w:p>
    <w:p>
      <w:pPr>
        <w:spacing w:before="160" w:after="60"/>
        <w:jc w:val="center"/>
      </w:pPr>
      <w:r>
        <w:rPr>
          <w:b/>
          <w:sz w:val="17"/>
        </w:rPr>
        <w:t>TABLE 9. STRESS-SUITE COMPOSITION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Category</w:t>
            </w:r>
          </w:p>
        </w:tc>
        <w:tc>
          <w:tcPr>
            <w:tcW w:type="dxa" w:w="2520"/>
            <w:shd w:val="clear" w:color="auto" w:fill="1E293B"/>
          </w:tcPr>
          <w:p>
            <w:r>
              <w:rPr>
                <w:b/>
                <w:color w:val="FFFFFF"/>
                <w:sz w:val="16"/>
              </w:rPr>
              <w:t>Cases</w:t>
            </w:r>
          </w:p>
        </w:tc>
        <w:tc>
          <w:tcPr>
            <w:tcW w:type="dxa" w:w="2520"/>
            <w:shd w:val="clear" w:color="auto" w:fill="1E293B"/>
          </w:tcPr>
          <w:p>
            <w:r>
              <w:rPr>
                <w:b/>
                <w:color w:val="FFFFFF"/>
                <w:sz w:val="16"/>
              </w:rPr>
              <w:t>Target route</w:t>
            </w:r>
          </w:p>
        </w:tc>
        <w:tc>
          <w:tcPr>
            <w:tcW w:type="dxa" w:w="2520"/>
            <w:shd w:val="clear" w:color="auto" w:fill="1E293B"/>
          </w:tcPr>
          <w:p>
            <w:r>
              <w:rPr>
                <w:b/>
                <w:color w:val="FFFFFF"/>
                <w:sz w:val="16"/>
              </w:rPr>
              <w:t>Purpose</w:t>
            </w:r>
          </w:p>
        </w:tc>
      </w:tr>
      <w:tr>
        <w:tc>
          <w:tcPr>
            <w:tcW w:type="dxa" w:w="2520"/>
            <w:shd w:val="clear" w:color="auto" w:fill="FFFFFF"/>
          </w:tcPr>
          <w:p>
            <w:r>
              <w:rPr>
                <w:sz w:val="16"/>
              </w:rPr>
              <w:t>1. Critical emergencies</w:t>
            </w:r>
          </w:p>
        </w:tc>
        <w:tc>
          <w:tcPr>
            <w:tcW w:type="dxa" w:w="2520"/>
            <w:shd w:val="clear" w:color="auto" w:fill="FFFFFF"/>
          </w:tcPr>
          <w:p>
            <w:r>
              <w:rPr>
                <w:sz w:val="16"/>
              </w:rPr>
              <w:t>8</w:t>
            </w:r>
          </w:p>
        </w:tc>
        <w:tc>
          <w:tcPr>
            <w:tcW w:type="dxa" w:w="2520"/>
            <w:shd w:val="clear" w:color="auto" w:fill="FFFFFF"/>
          </w:tcPr>
          <w:p>
            <w:r>
              <w:rPr>
                <w:sz w:val="16"/>
              </w:rPr>
              <w:t>EMERGENCY</w:t>
            </w:r>
          </w:p>
        </w:tc>
        <w:tc>
          <w:tcPr>
            <w:tcW w:type="dxa" w:w="2520"/>
            <w:shd w:val="clear" w:color="auto" w:fill="FFFFFF"/>
          </w:tcPr>
          <w:p>
            <w:r>
              <w:rPr>
                <w:sz w:val="16"/>
              </w:rPr>
              <w:t>Red-flag recall</w:t>
            </w:r>
          </w:p>
        </w:tc>
      </w:tr>
      <w:tr>
        <w:tc>
          <w:tcPr>
            <w:tcW w:type="dxa" w:w="2520"/>
            <w:shd w:val="clear" w:color="auto" w:fill="F8FAFC"/>
          </w:tcPr>
          <w:p>
            <w:r>
              <w:rPr>
                <w:sz w:val="16"/>
              </w:rPr>
              <w:t>2. Professional referrals</w:t>
            </w:r>
          </w:p>
        </w:tc>
        <w:tc>
          <w:tcPr>
            <w:tcW w:type="dxa" w:w="2520"/>
            <w:shd w:val="clear" w:color="auto" w:fill="F8FAFC"/>
          </w:tcPr>
          <w:p>
            <w:r>
              <w:rPr>
                <w:sz w:val="16"/>
              </w:rPr>
              <w:t>6</w:t>
            </w:r>
          </w:p>
        </w:tc>
        <w:tc>
          <w:tcPr>
            <w:tcW w:type="dxa" w:w="2520"/>
            <w:shd w:val="clear" w:color="auto" w:fill="F8FAFC"/>
          </w:tcPr>
          <w:p>
            <w:r>
              <w:rPr>
                <w:sz w:val="16"/>
              </w:rPr>
              <w:t>PROFESSIONAL_REFERRAL</w:t>
            </w:r>
          </w:p>
        </w:tc>
        <w:tc>
          <w:tcPr>
            <w:tcW w:type="dxa" w:w="2520"/>
            <w:shd w:val="clear" w:color="auto" w:fill="F8FAFC"/>
          </w:tcPr>
          <w:p>
            <w:r>
              <w:rPr>
                <w:sz w:val="16"/>
              </w:rPr>
              <w:t>Medication / pregnancy gate</w:t>
            </w:r>
          </w:p>
        </w:tc>
      </w:tr>
      <w:tr>
        <w:tc>
          <w:tcPr>
            <w:tcW w:type="dxa" w:w="2520"/>
            <w:shd w:val="clear" w:color="auto" w:fill="FFFFFF"/>
          </w:tcPr>
          <w:p>
            <w:r>
              <w:rPr>
                <w:sz w:val="16"/>
              </w:rPr>
              <w:t>3. Approved cache candidates</w:t>
            </w:r>
          </w:p>
        </w:tc>
        <w:tc>
          <w:tcPr>
            <w:tcW w:type="dxa" w:w="2520"/>
            <w:shd w:val="clear" w:color="auto" w:fill="FFFFFF"/>
          </w:tcPr>
          <w:p>
            <w:r>
              <w:rPr>
                <w:sz w:val="16"/>
              </w:rPr>
              <w:t>10</w:t>
            </w:r>
          </w:p>
        </w:tc>
        <w:tc>
          <w:tcPr>
            <w:tcW w:type="dxa" w:w="2520"/>
            <w:shd w:val="clear" w:color="auto" w:fill="FFFFFF"/>
          </w:tcPr>
          <w:p>
            <w:r>
              <w:rPr>
                <w:sz w:val="16"/>
              </w:rPr>
              <w:t>SAFE_CACHE_CANDIDATE</w:t>
            </w:r>
          </w:p>
        </w:tc>
        <w:tc>
          <w:tcPr>
            <w:tcW w:type="dxa" w:w="2520"/>
            <w:shd w:val="clear" w:color="auto" w:fill="FFFFFF"/>
          </w:tcPr>
          <w:p>
            <w:r>
              <w:rPr>
                <w:sz w:val="16"/>
              </w:rPr>
              <w:t>Retrieval recall</w:t>
            </w:r>
          </w:p>
        </w:tc>
      </w:tr>
      <w:tr>
        <w:tc>
          <w:tcPr>
            <w:tcW w:type="dxa" w:w="2520"/>
            <w:shd w:val="clear" w:color="auto" w:fill="F8FAFC"/>
          </w:tcPr>
          <w:p>
            <w:r>
              <w:rPr>
                <w:sz w:val="16"/>
              </w:rPr>
              <w:t>4. Adversarial perturbations</w:t>
            </w:r>
          </w:p>
        </w:tc>
        <w:tc>
          <w:tcPr>
            <w:tcW w:type="dxa" w:w="2520"/>
            <w:shd w:val="clear" w:color="auto" w:fill="F8FAFC"/>
          </w:tcPr>
          <w:p>
            <w:r>
              <w:rPr>
                <w:sz w:val="16"/>
              </w:rPr>
              <w:t>4</w:t>
            </w:r>
          </w:p>
        </w:tc>
        <w:tc>
          <w:tcPr>
            <w:tcW w:type="dxa" w:w="2520"/>
            <w:shd w:val="clear" w:color="auto" w:fill="F8FAFC"/>
          </w:tcPr>
          <w:p>
            <w:r>
              <w:rPr>
                <w:sz w:val="16"/>
              </w:rPr>
              <w:t>Safe miss or referral</w:t>
            </w:r>
          </w:p>
        </w:tc>
        <w:tc>
          <w:tcPr>
            <w:tcW w:type="dxa" w:w="2520"/>
            <w:shd w:val="clear" w:color="auto" w:fill="F8FAFC"/>
          </w:tcPr>
          <w:p>
            <w:r>
              <w:rPr>
                <w:sz w:val="16"/>
              </w:rPr>
              <w:t>False-hit resistance</w:t>
            </w:r>
          </w:p>
        </w:tc>
      </w:tr>
      <w:tr>
        <w:tc>
          <w:tcPr>
            <w:tcW w:type="dxa" w:w="2520"/>
            <w:shd w:val="clear" w:color="auto" w:fill="FFFFFF"/>
          </w:tcPr>
          <w:p>
            <w:r>
              <w:rPr>
                <w:sz w:val="16"/>
              </w:rPr>
              <w:t>5. Controlled cache misses</w:t>
            </w:r>
          </w:p>
        </w:tc>
        <w:tc>
          <w:tcPr>
            <w:tcW w:type="dxa" w:w="2520"/>
            <w:shd w:val="clear" w:color="auto" w:fill="FFFFFF"/>
          </w:tcPr>
          <w:p>
            <w:r>
              <w:rPr>
                <w:sz w:val="16"/>
              </w:rPr>
              <w:t>4</w:t>
            </w:r>
          </w:p>
        </w:tc>
        <w:tc>
          <w:tcPr>
            <w:tcW w:type="dxa" w:w="2520"/>
            <w:shd w:val="clear" w:color="auto" w:fill="FFFFFF"/>
          </w:tcPr>
          <w:p>
            <w:r>
              <w:rPr>
                <w:sz w:val="16"/>
              </w:rPr>
              <w:t>CACHE_MISS</w:t>
            </w:r>
          </w:p>
        </w:tc>
        <w:tc>
          <w:tcPr>
            <w:tcW w:type="dxa" w:w="2520"/>
            <w:shd w:val="clear" w:color="auto" w:fill="FFFFFF"/>
          </w:tcPr>
          <w:p>
            <w:r>
              <w:rPr>
                <w:sz w:val="16"/>
              </w:rPr>
              <w:t>Safe refusal behaviour</w:t>
            </w:r>
          </w:p>
        </w:tc>
      </w:tr>
    </w:tbl>
    <w:p>
      <w:pPr>
        <w:spacing w:after="80"/>
      </w:pPr>
    </w:p>
    <w:p>
      <w:pPr>
        <w:spacing w:before="180" w:after="40"/>
      </w:pPr>
      <w:r>
        <w:rPr>
          <w:b/>
          <w:i/>
          <w:sz w:val="20"/>
        </w:rPr>
        <w:t>C. Metrics</w:t>
      </w:r>
    </w:p>
    <w:p>
      <w:pPr>
        <w:spacing w:after="120" w:line="252" w:lineRule="auto"/>
      </w:pPr>
      <w:r>
        <w:t>We report routing accuracy, emergency detection accuracy, false cache hits, decomposed latency percentiles, privacy audit via log search, and cloud cost.</w:t>
      </w:r>
    </w:p>
    <w:p>
      <w:pPr>
        <w:spacing w:before="180" w:after="40"/>
      </w:pPr>
      <w:r>
        <w:rPr>
          <w:b/>
          <w:i/>
          <w:sz w:val="20"/>
        </w:rPr>
        <w:t>D. Statistical Treatment</w:t>
      </w:r>
    </w:p>
    <w:p>
      <w:pPr>
        <w:spacing w:after="120" w:line="252" w:lineRule="auto"/>
      </w:pPr>
      <w:r>
        <w:t>Point accuracies are accompanied by exact binomial (Clopper-Pearson) 95% confidence intervals [62]. For zero events in n trials, the one-sided 95% upper bound is 1 - 0.05^(1/n). Latency percentiles are reported as observed across the evaluated sample.</w:t>
      </w:r>
    </w:p>
    <w:p>
      <w:pPr>
        <w:spacing w:before="280" w:after="80"/>
      </w:pPr>
      <w:r>
        <w:rPr>
          <w:b/>
          <w:sz w:val="22"/>
        </w:rPr>
        <w:t>VI. RESULTS</w:t>
      </w:r>
    </w:p>
    <w:p>
      <w:pPr>
        <w:spacing w:before="180" w:after="40"/>
      </w:pPr>
      <w:r>
        <w:rPr>
          <w:b/>
          <w:i/>
          <w:sz w:val="20"/>
        </w:rPr>
        <w:t>A. Routing and Safety Accuracy</w:t>
      </w:r>
    </w:p>
    <w:p>
      <w:pPr>
        <w:spacing w:after="120" w:line="252" w:lineRule="auto"/>
      </w:pPr>
      <w:r>
        <w:t>Table 10 and Table 11 summarize routing. All eight emergencies and six referrals bypassed the cache completely. All four adversarial perturbations resolved safely; zero false cache hits occurred across all 32 cases. Overall accuracy was 96.9% (31/32).</w:t>
      </w:r>
    </w:p>
    <w:p>
      <w:pPr>
        <w:spacing w:before="160" w:after="60"/>
        <w:jc w:val="center"/>
      </w:pPr>
      <w:r>
        <w:rPr>
          <w:b/>
          <w:sz w:val="17"/>
        </w:rPr>
        <w:t>TABLE 10. ROUTING ACCURACY ON THE 32-CASE SUITE</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Category</w:t>
            </w:r>
          </w:p>
        </w:tc>
        <w:tc>
          <w:tcPr>
            <w:tcW w:type="dxa" w:w="2520"/>
            <w:shd w:val="clear" w:color="auto" w:fill="1E293B"/>
          </w:tcPr>
          <w:p>
            <w:r>
              <w:rPr>
                <w:b/>
                <w:color w:val="FFFFFF"/>
                <w:sz w:val="16"/>
              </w:rPr>
              <w:t>n</w:t>
            </w:r>
          </w:p>
        </w:tc>
        <w:tc>
          <w:tcPr>
            <w:tcW w:type="dxa" w:w="2520"/>
            <w:shd w:val="clear" w:color="auto" w:fill="1E293B"/>
          </w:tcPr>
          <w:p>
            <w:r>
              <w:rPr>
                <w:b/>
                <w:color w:val="FFFFFF"/>
                <w:sz w:val="16"/>
              </w:rPr>
              <w:t>Accuracy</w:t>
            </w:r>
          </w:p>
        </w:tc>
        <w:tc>
          <w:tcPr>
            <w:tcW w:type="dxa" w:w="2520"/>
            <w:shd w:val="clear" w:color="auto" w:fill="1E293B"/>
          </w:tcPr>
          <w:p>
            <w:r>
              <w:rPr>
                <w:b/>
                <w:color w:val="FFFFFF"/>
                <w:sz w:val="16"/>
              </w:rPr>
              <w:t>Safety invariant compliance</w:t>
            </w:r>
          </w:p>
        </w:tc>
      </w:tr>
      <w:tr>
        <w:tc>
          <w:tcPr>
            <w:tcW w:type="dxa" w:w="2520"/>
            <w:shd w:val="clear" w:color="auto" w:fill="FFFFFF"/>
          </w:tcPr>
          <w:p>
            <w:r>
              <w:rPr>
                <w:sz w:val="16"/>
              </w:rPr>
              <w:t>Critical emergencies</w:t>
            </w:r>
          </w:p>
        </w:tc>
        <w:tc>
          <w:tcPr>
            <w:tcW w:type="dxa" w:w="2520"/>
            <w:shd w:val="clear" w:color="auto" w:fill="FFFFFF"/>
          </w:tcPr>
          <w:p>
            <w:r>
              <w:rPr>
                <w:sz w:val="16"/>
              </w:rPr>
              <w:t>8</w:t>
            </w:r>
          </w:p>
        </w:tc>
        <w:tc>
          <w:tcPr>
            <w:tcW w:type="dxa" w:w="2520"/>
            <w:shd w:val="clear" w:color="auto" w:fill="FFFFFF"/>
          </w:tcPr>
          <w:p>
            <w:r>
              <w:rPr>
                <w:sz w:val="16"/>
              </w:rPr>
              <w:t>100.0% (8/8)</w:t>
            </w:r>
          </w:p>
        </w:tc>
        <w:tc>
          <w:tcPr>
            <w:tcW w:type="dxa" w:w="2520"/>
            <w:shd w:val="clear" w:color="auto" w:fill="FFFFFF"/>
          </w:tcPr>
          <w:p>
            <w:r>
              <w:rPr>
                <w:sz w:val="16"/>
              </w:rPr>
              <w:t>100.0%, cache bypassed</w:t>
            </w:r>
          </w:p>
        </w:tc>
      </w:tr>
      <w:tr>
        <w:tc>
          <w:tcPr>
            <w:tcW w:type="dxa" w:w="2520"/>
            <w:shd w:val="clear" w:color="auto" w:fill="F8FAFC"/>
          </w:tcPr>
          <w:p>
            <w:r>
              <w:rPr>
                <w:sz w:val="16"/>
              </w:rPr>
              <w:t>Professional referrals</w:t>
            </w:r>
          </w:p>
        </w:tc>
        <w:tc>
          <w:tcPr>
            <w:tcW w:type="dxa" w:w="2520"/>
            <w:shd w:val="clear" w:color="auto" w:fill="F8FAFC"/>
          </w:tcPr>
          <w:p>
            <w:r>
              <w:rPr>
                <w:sz w:val="16"/>
              </w:rPr>
              <w:t>6</w:t>
            </w:r>
          </w:p>
        </w:tc>
        <w:tc>
          <w:tcPr>
            <w:tcW w:type="dxa" w:w="2520"/>
            <w:shd w:val="clear" w:color="auto" w:fill="F8FAFC"/>
          </w:tcPr>
          <w:p>
            <w:r>
              <w:rPr>
                <w:sz w:val="16"/>
              </w:rPr>
              <w:t>100.0% (6/6)</w:t>
            </w:r>
          </w:p>
        </w:tc>
        <w:tc>
          <w:tcPr>
            <w:tcW w:type="dxa" w:w="2520"/>
            <w:shd w:val="clear" w:color="auto" w:fill="F8FAFC"/>
          </w:tcPr>
          <w:p>
            <w:r>
              <w:rPr>
                <w:sz w:val="16"/>
              </w:rPr>
              <w:t>100.0%, cache bypassed</w:t>
            </w:r>
          </w:p>
        </w:tc>
      </w:tr>
      <w:tr>
        <w:tc>
          <w:tcPr>
            <w:tcW w:type="dxa" w:w="2520"/>
            <w:shd w:val="clear" w:color="auto" w:fill="FFFFFF"/>
          </w:tcPr>
          <w:p>
            <w:r>
              <w:rPr>
                <w:sz w:val="16"/>
              </w:rPr>
              <w:t>Approved cache candidates</w:t>
            </w:r>
          </w:p>
        </w:tc>
        <w:tc>
          <w:tcPr>
            <w:tcW w:type="dxa" w:w="2520"/>
            <w:shd w:val="clear" w:color="auto" w:fill="FFFFFF"/>
          </w:tcPr>
          <w:p>
            <w:r>
              <w:rPr>
                <w:sz w:val="16"/>
              </w:rPr>
              <w:t>10</w:t>
            </w:r>
          </w:p>
        </w:tc>
        <w:tc>
          <w:tcPr>
            <w:tcW w:type="dxa" w:w="2520"/>
            <w:shd w:val="clear" w:color="auto" w:fill="FFFFFF"/>
          </w:tcPr>
          <w:p>
            <w:r>
              <w:rPr>
                <w:sz w:val="16"/>
              </w:rPr>
              <w:t>90.0% (9/10)</w:t>
            </w:r>
          </w:p>
        </w:tc>
        <w:tc>
          <w:tcPr>
            <w:tcW w:type="dxa" w:w="2520"/>
            <w:shd w:val="clear" w:color="auto" w:fill="FFFFFF"/>
          </w:tcPr>
          <w:p>
            <w:r>
              <w:rPr>
                <w:sz w:val="16"/>
              </w:rPr>
              <w:t>100.0%, no hallucination</w:t>
            </w:r>
          </w:p>
        </w:tc>
      </w:tr>
      <w:tr>
        <w:tc>
          <w:tcPr>
            <w:tcW w:type="dxa" w:w="2520"/>
            <w:shd w:val="clear" w:color="auto" w:fill="F8FAFC"/>
          </w:tcPr>
          <w:p>
            <w:r>
              <w:rPr>
                <w:sz w:val="16"/>
              </w:rPr>
              <w:t>Adversarial perturbations</w:t>
            </w:r>
          </w:p>
        </w:tc>
        <w:tc>
          <w:tcPr>
            <w:tcW w:type="dxa" w:w="2520"/>
            <w:shd w:val="clear" w:color="auto" w:fill="F8FAFC"/>
          </w:tcPr>
          <w:p>
            <w:r>
              <w:rPr>
                <w:sz w:val="16"/>
              </w:rPr>
              <w:t>4</w:t>
            </w:r>
          </w:p>
        </w:tc>
        <w:tc>
          <w:tcPr>
            <w:tcW w:type="dxa" w:w="2520"/>
            <w:shd w:val="clear" w:color="auto" w:fill="F8FAFC"/>
          </w:tcPr>
          <w:p>
            <w:r>
              <w:rPr>
                <w:sz w:val="16"/>
              </w:rPr>
              <w:t>100.0% (4/4)</w:t>
            </w:r>
          </w:p>
        </w:tc>
        <w:tc>
          <w:tcPr>
            <w:tcW w:type="dxa" w:w="2520"/>
            <w:shd w:val="clear" w:color="auto" w:fill="F8FAFC"/>
          </w:tcPr>
          <w:p>
            <w:r>
              <w:rPr>
                <w:sz w:val="16"/>
              </w:rPr>
              <w:t>100.0%, zero false hits</w:t>
            </w:r>
          </w:p>
        </w:tc>
      </w:tr>
      <w:tr>
        <w:tc>
          <w:tcPr>
            <w:tcW w:type="dxa" w:w="2520"/>
            <w:shd w:val="clear" w:color="auto" w:fill="FFFFFF"/>
          </w:tcPr>
          <w:p>
            <w:r>
              <w:rPr>
                <w:sz w:val="16"/>
              </w:rPr>
              <w:t>Controlled cache misses</w:t>
            </w:r>
          </w:p>
        </w:tc>
        <w:tc>
          <w:tcPr>
            <w:tcW w:type="dxa" w:w="2520"/>
            <w:shd w:val="clear" w:color="auto" w:fill="FFFFFF"/>
          </w:tcPr>
          <w:p>
            <w:r>
              <w:rPr>
                <w:sz w:val="16"/>
              </w:rPr>
              <w:t>4</w:t>
            </w:r>
          </w:p>
        </w:tc>
        <w:tc>
          <w:tcPr>
            <w:tcW w:type="dxa" w:w="2520"/>
            <w:shd w:val="clear" w:color="auto" w:fill="FFFFFF"/>
          </w:tcPr>
          <w:p>
            <w:r>
              <w:rPr>
                <w:sz w:val="16"/>
              </w:rPr>
              <w:t>100.0% (4/4)</w:t>
            </w:r>
          </w:p>
        </w:tc>
        <w:tc>
          <w:tcPr>
            <w:tcW w:type="dxa" w:w="2520"/>
            <w:shd w:val="clear" w:color="auto" w:fill="FFFFFF"/>
          </w:tcPr>
          <w:p>
            <w:r>
              <w:rPr>
                <w:sz w:val="16"/>
              </w:rPr>
              <w:t>100.0%, safe refusal</w:t>
            </w:r>
          </w:p>
        </w:tc>
      </w:tr>
      <w:tr>
        <w:tc>
          <w:tcPr>
            <w:tcW w:type="dxa" w:w="2520"/>
            <w:shd w:val="clear" w:color="auto" w:fill="F8FAFC"/>
          </w:tcPr>
          <w:p>
            <w:r>
              <w:rPr>
                <w:sz w:val="16"/>
              </w:rPr>
              <w:t>Overall</w:t>
            </w:r>
          </w:p>
        </w:tc>
        <w:tc>
          <w:tcPr>
            <w:tcW w:type="dxa" w:w="2520"/>
            <w:shd w:val="clear" w:color="auto" w:fill="F8FAFC"/>
          </w:tcPr>
          <w:p>
            <w:r>
              <w:rPr>
                <w:sz w:val="16"/>
              </w:rPr>
              <w:t>32</w:t>
            </w:r>
          </w:p>
        </w:tc>
        <w:tc>
          <w:tcPr>
            <w:tcW w:type="dxa" w:w="2520"/>
            <w:shd w:val="clear" w:color="auto" w:fill="F8FAFC"/>
          </w:tcPr>
          <w:p>
            <w:r>
              <w:rPr>
                <w:sz w:val="16"/>
              </w:rPr>
              <w:t>96.9% (31/32)</w:t>
            </w:r>
          </w:p>
        </w:tc>
        <w:tc>
          <w:tcPr>
            <w:tcW w:type="dxa" w:w="2520"/>
            <w:shd w:val="clear" w:color="auto" w:fill="F8FAFC"/>
          </w:tcPr>
          <w:p>
            <w:r>
              <w:rPr>
                <w:sz w:val="16"/>
              </w:rPr>
              <w:t>100.0% critical safety</w:t>
            </w:r>
          </w:p>
        </w:tc>
      </w:tr>
    </w:tbl>
    <w:p>
      <w:pPr>
        <w:spacing w:after="80"/>
      </w:pPr>
    </w:p>
    <w:p>
      <w:pPr>
        <w:spacing w:before="160" w:after="60"/>
        <w:jc w:val="center"/>
      </w:pPr>
      <w:r>
        <w:rPr>
          <w:b/>
          <w:sz w:val="17"/>
        </w:rPr>
        <w:t>TABLE 11. EXACT 95% CONFIDENCE INTERVALS (CLOPPER-PEARSON)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Outcome</w:t>
            </w:r>
          </w:p>
        </w:tc>
        <w:tc>
          <w:tcPr>
            <w:tcW w:type="dxa" w:w="2520"/>
            <w:shd w:val="clear" w:color="auto" w:fill="1E293B"/>
          </w:tcPr>
          <w:p>
            <w:r>
              <w:rPr>
                <w:b/>
                <w:color w:val="FFFFFF"/>
                <w:sz w:val="16"/>
              </w:rPr>
              <w:t>Observed</w:t>
            </w:r>
          </w:p>
        </w:tc>
        <w:tc>
          <w:tcPr>
            <w:tcW w:type="dxa" w:w="2520"/>
            <w:shd w:val="clear" w:color="auto" w:fill="1E293B"/>
          </w:tcPr>
          <w:p>
            <w:r>
              <w:rPr>
                <w:b/>
                <w:color w:val="FFFFFF"/>
                <w:sz w:val="16"/>
              </w:rPr>
              <w:t>Lower 95% CI</w:t>
            </w:r>
          </w:p>
        </w:tc>
        <w:tc>
          <w:tcPr>
            <w:tcW w:type="dxa" w:w="2520"/>
            <w:shd w:val="clear" w:color="auto" w:fill="1E293B"/>
          </w:tcPr>
          <w:p>
            <w:r>
              <w:rPr>
                <w:b/>
                <w:color w:val="FFFFFF"/>
                <w:sz w:val="16"/>
              </w:rPr>
              <w:t>Upper 95% CI</w:t>
            </w:r>
          </w:p>
        </w:tc>
      </w:tr>
      <w:tr>
        <w:tc>
          <w:tcPr>
            <w:tcW w:type="dxa" w:w="2520"/>
            <w:shd w:val="clear" w:color="auto" w:fill="FFFFFF"/>
          </w:tcPr>
          <w:p>
            <w:r>
              <w:rPr>
                <w:sz w:val="16"/>
              </w:rPr>
              <w:t>Emergency detection</w:t>
            </w:r>
          </w:p>
        </w:tc>
        <w:tc>
          <w:tcPr>
            <w:tcW w:type="dxa" w:w="2520"/>
            <w:shd w:val="clear" w:color="auto" w:fill="FFFFFF"/>
          </w:tcPr>
          <w:p>
            <w:r>
              <w:rPr>
                <w:sz w:val="16"/>
              </w:rPr>
              <w:t>8/8</w:t>
            </w:r>
          </w:p>
        </w:tc>
        <w:tc>
          <w:tcPr>
            <w:tcW w:type="dxa" w:w="2520"/>
            <w:shd w:val="clear" w:color="auto" w:fill="FFFFFF"/>
          </w:tcPr>
          <w:p>
            <w:r>
              <w:rPr>
                <w:sz w:val="16"/>
              </w:rPr>
              <w:t>63.1%</w:t>
            </w:r>
          </w:p>
        </w:tc>
        <w:tc>
          <w:tcPr>
            <w:tcW w:type="dxa" w:w="2520"/>
            <w:shd w:val="clear" w:color="auto" w:fill="FFFFFF"/>
          </w:tcPr>
          <w:p>
            <w:r>
              <w:rPr>
                <w:sz w:val="16"/>
              </w:rPr>
              <w:t>100%</w:t>
            </w:r>
          </w:p>
        </w:tc>
      </w:tr>
      <w:tr>
        <w:tc>
          <w:tcPr>
            <w:tcW w:type="dxa" w:w="2520"/>
            <w:shd w:val="clear" w:color="auto" w:fill="F8FAFC"/>
          </w:tcPr>
          <w:p>
            <w:r>
              <w:rPr>
                <w:sz w:val="16"/>
              </w:rPr>
              <w:t>Referral routing</w:t>
            </w:r>
          </w:p>
        </w:tc>
        <w:tc>
          <w:tcPr>
            <w:tcW w:type="dxa" w:w="2520"/>
            <w:shd w:val="clear" w:color="auto" w:fill="F8FAFC"/>
          </w:tcPr>
          <w:p>
            <w:r>
              <w:rPr>
                <w:sz w:val="16"/>
              </w:rPr>
              <w:t>6/6</w:t>
            </w:r>
          </w:p>
        </w:tc>
        <w:tc>
          <w:tcPr>
            <w:tcW w:type="dxa" w:w="2520"/>
            <w:shd w:val="clear" w:color="auto" w:fill="F8FAFC"/>
          </w:tcPr>
          <w:p>
            <w:r>
              <w:rPr>
                <w:sz w:val="16"/>
              </w:rPr>
              <w:t>54.1%</w:t>
            </w:r>
          </w:p>
        </w:tc>
        <w:tc>
          <w:tcPr>
            <w:tcW w:type="dxa" w:w="2520"/>
            <w:shd w:val="clear" w:color="auto" w:fill="F8FAFC"/>
          </w:tcPr>
          <w:p>
            <w:r>
              <w:rPr>
                <w:sz w:val="16"/>
              </w:rPr>
              <w:t>100%</w:t>
            </w:r>
          </w:p>
        </w:tc>
      </w:tr>
      <w:tr>
        <w:tc>
          <w:tcPr>
            <w:tcW w:type="dxa" w:w="2520"/>
            <w:shd w:val="clear" w:color="auto" w:fill="FFFFFF"/>
          </w:tcPr>
          <w:p>
            <w:r>
              <w:rPr>
                <w:sz w:val="16"/>
              </w:rPr>
              <w:t>Cache-candidate routing</w:t>
            </w:r>
          </w:p>
        </w:tc>
        <w:tc>
          <w:tcPr>
            <w:tcW w:type="dxa" w:w="2520"/>
            <w:shd w:val="clear" w:color="auto" w:fill="FFFFFF"/>
          </w:tcPr>
          <w:p>
            <w:r>
              <w:rPr>
                <w:sz w:val="16"/>
              </w:rPr>
              <w:t>9/10</w:t>
            </w:r>
          </w:p>
        </w:tc>
        <w:tc>
          <w:tcPr>
            <w:tcW w:type="dxa" w:w="2520"/>
            <w:shd w:val="clear" w:color="auto" w:fill="FFFFFF"/>
          </w:tcPr>
          <w:p>
            <w:r>
              <w:rPr>
                <w:sz w:val="16"/>
              </w:rPr>
              <w:t>55.5%</w:t>
            </w:r>
          </w:p>
        </w:tc>
        <w:tc>
          <w:tcPr>
            <w:tcW w:type="dxa" w:w="2520"/>
            <w:shd w:val="clear" w:color="auto" w:fill="FFFFFF"/>
          </w:tcPr>
          <w:p>
            <w:r>
              <w:rPr>
                <w:sz w:val="16"/>
              </w:rPr>
              <w:t>99.7%</w:t>
            </w:r>
          </w:p>
        </w:tc>
      </w:tr>
      <w:tr>
        <w:tc>
          <w:tcPr>
            <w:tcW w:type="dxa" w:w="2520"/>
            <w:shd w:val="clear" w:color="auto" w:fill="F8FAFC"/>
          </w:tcPr>
          <w:p>
            <w:r>
              <w:rPr>
                <w:sz w:val="16"/>
              </w:rPr>
              <w:t>Adversarial resolved safely</w:t>
            </w:r>
          </w:p>
        </w:tc>
        <w:tc>
          <w:tcPr>
            <w:tcW w:type="dxa" w:w="2520"/>
            <w:shd w:val="clear" w:color="auto" w:fill="F8FAFC"/>
          </w:tcPr>
          <w:p>
            <w:r>
              <w:rPr>
                <w:sz w:val="16"/>
              </w:rPr>
              <w:t>4/4</w:t>
            </w:r>
          </w:p>
        </w:tc>
        <w:tc>
          <w:tcPr>
            <w:tcW w:type="dxa" w:w="2520"/>
            <w:shd w:val="clear" w:color="auto" w:fill="F8FAFC"/>
          </w:tcPr>
          <w:p>
            <w:r>
              <w:rPr>
                <w:sz w:val="16"/>
              </w:rPr>
              <w:t>39.8%</w:t>
            </w:r>
          </w:p>
        </w:tc>
        <w:tc>
          <w:tcPr>
            <w:tcW w:type="dxa" w:w="2520"/>
            <w:shd w:val="clear" w:color="auto" w:fill="F8FAFC"/>
          </w:tcPr>
          <w:p>
            <w:r>
              <w:rPr>
                <w:sz w:val="16"/>
              </w:rPr>
              <w:t>100%</w:t>
            </w:r>
          </w:p>
        </w:tc>
      </w:tr>
      <w:tr>
        <w:tc>
          <w:tcPr>
            <w:tcW w:type="dxa" w:w="2520"/>
            <w:shd w:val="clear" w:color="auto" w:fill="FFFFFF"/>
          </w:tcPr>
          <w:p>
            <w:r>
              <w:rPr>
                <w:sz w:val="16"/>
              </w:rPr>
              <w:t>Controlled misses</w:t>
            </w:r>
          </w:p>
        </w:tc>
        <w:tc>
          <w:tcPr>
            <w:tcW w:type="dxa" w:w="2520"/>
            <w:shd w:val="clear" w:color="auto" w:fill="FFFFFF"/>
          </w:tcPr>
          <w:p>
            <w:r>
              <w:rPr>
                <w:sz w:val="16"/>
              </w:rPr>
              <w:t>4/4</w:t>
            </w:r>
          </w:p>
        </w:tc>
        <w:tc>
          <w:tcPr>
            <w:tcW w:type="dxa" w:w="2520"/>
            <w:shd w:val="clear" w:color="auto" w:fill="FFFFFF"/>
          </w:tcPr>
          <w:p>
            <w:r>
              <w:rPr>
                <w:sz w:val="16"/>
              </w:rPr>
              <w:t>39.8%</w:t>
            </w:r>
          </w:p>
        </w:tc>
        <w:tc>
          <w:tcPr>
            <w:tcW w:type="dxa" w:w="2520"/>
            <w:shd w:val="clear" w:color="auto" w:fill="FFFFFF"/>
          </w:tcPr>
          <w:p>
            <w:r>
              <w:rPr>
                <w:sz w:val="16"/>
              </w:rPr>
              <w:t>100%</w:t>
            </w:r>
          </w:p>
        </w:tc>
      </w:tr>
      <w:tr>
        <w:tc>
          <w:tcPr>
            <w:tcW w:type="dxa" w:w="2520"/>
            <w:shd w:val="clear" w:color="auto" w:fill="F8FAFC"/>
          </w:tcPr>
          <w:p>
            <w:r>
              <w:rPr>
                <w:sz w:val="16"/>
              </w:rPr>
              <w:t>Overall routing</w:t>
            </w:r>
          </w:p>
        </w:tc>
        <w:tc>
          <w:tcPr>
            <w:tcW w:type="dxa" w:w="2520"/>
            <w:shd w:val="clear" w:color="auto" w:fill="F8FAFC"/>
          </w:tcPr>
          <w:p>
            <w:r>
              <w:rPr>
                <w:sz w:val="16"/>
              </w:rPr>
              <w:t>31/32</w:t>
            </w:r>
          </w:p>
        </w:tc>
        <w:tc>
          <w:tcPr>
            <w:tcW w:type="dxa" w:w="2520"/>
            <w:shd w:val="clear" w:color="auto" w:fill="F8FAFC"/>
          </w:tcPr>
          <w:p>
            <w:r>
              <w:rPr>
                <w:sz w:val="16"/>
              </w:rPr>
              <w:t>83.8%</w:t>
            </w:r>
          </w:p>
        </w:tc>
        <w:tc>
          <w:tcPr>
            <w:tcW w:type="dxa" w:w="2520"/>
            <w:shd w:val="clear" w:color="auto" w:fill="F8FAFC"/>
          </w:tcPr>
          <w:p>
            <w:r>
              <w:rPr>
                <w:sz w:val="16"/>
              </w:rPr>
              <w:t>99.9%</w:t>
            </w:r>
          </w:p>
        </w:tc>
      </w:tr>
      <w:tr>
        <w:tc>
          <w:tcPr>
            <w:tcW w:type="dxa" w:w="2520"/>
            <w:shd w:val="clear" w:color="auto" w:fill="FFFFFF"/>
          </w:tcPr>
          <w:p>
            <w:r>
              <w:rPr>
                <w:sz w:val="16"/>
              </w:rPr>
              <w:t>False cache hits</w:t>
            </w:r>
          </w:p>
        </w:tc>
        <w:tc>
          <w:tcPr>
            <w:tcW w:type="dxa" w:w="2520"/>
            <w:shd w:val="clear" w:color="auto" w:fill="FFFFFF"/>
          </w:tcPr>
          <w:p>
            <w:r>
              <w:rPr>
                <w:sz w:val="16"/>
              </w:rPr>
              <w:t>0/32</w:t>
            </w:r>
          </w:p>
        </w:tc>
        <w:tc>
          <w:tcPr>
            <w:tcW w:type="dxa" w:w="2520"/>
            <w:shd w:val="clear" w:color="auto" w:fill="FFFFFF"/>
          </w:tcPr>
          <w:p>
            <w:r>
              <w:rPr>
                <w:sz w:val="16"/>
              </w:rPr>
              <w:t>0%</w:t>
            </w:r>
          </w:p>
        </w:tc>
        <w:tc>
          <w:tcPr>
            <w:tcW w:type="dxa" w:w="2520"/>
            <w:shd w:val="clear" w:color="auto" w:fill="FFFFFF"/>
          </w:tcPr>
          <w:p>
            <w:r>
              <w:rPr>
                <w:sz w:val="16"/>
              </w:rPr>
              <w:t>10.9% (One-sided: 8.9%)</w:t>
            </w:r>
          </w:p>
        </w:tc>
      </w:tr>
    </w:tbl>
    <w:p>
      <w:pPr>
        <w:spacing w:after="80"/>
      </w:pPr>
    </w:p>
    <w:p>
      <w:pPr>
        <w:spacing w:before="180" w:after="40"/>
      </w:pPr>
      <w:r>
        <w:rPr>
          <w:b/>
          <w:i/>
          <w:sz w:val="20"/>
        </w:rPr>
        <w:t>B. Root-Cause Analysis of HIT-10</w:t>
      </w:r>
    </w:p>
    <w:p>
      <w:pPr>
        <w:spacing w:after="120" w:line="252" w:lineRule="auto"/>
      </w:pPr>
      <w:r>
        <w:t>In case HIT-10 ('How does regular physical exercise benefit insulin sensitivity?'), a general education query was diverted to referral because the keyword insulin matched the medication catalog. We refined this rule into a context-aware pattern requiring dosing/titration terms (e.g., inject units, adjust dose), permitting educational queries to pass while retaining referral for dosing changes.</w:t>
      </w:r>
    </w:p>
    <w:p>
      <w:pPr>
        <w:spacing w:before="180" w:after="40"/>
      </w:pPr>
      <w:r>
        <w:rPr>
          <w:b/>
          <w:i/>
          <w:sz w:val="20"/>
        </w:rPr>
        <w:t>C. Latency Profile</w:t>
      </w:r>
    </w:p>
    <w:p>
      <w:pPr>
        <w:spacing w:after="120" w:line="252" w:lineRule="auto"/>
      </w:pPr>
      <w:r>
        <w:t>Table 12 gives the latency breakdown. The median server time was 211.4 ms (112.0 ms ONNX embedding + 90.3 ms DynamoDB retrieval). Client RTT was 718.6 ms, with ~507 ms attributable to network, TLS, and gateway transit.</w:t>
      </w:r>
    </w:p>
    <w:p>
      <w:pPr>
        <w:spacing w:before="160" w:after="60"/>
        <w:jc w:val="center"/>
      </w:pPr>
      <w:r>
        <w:rPr>
          <w:b/>
          <w:sz w:val="17"/>
        </w:rPr>
        <w:t>TABLE 12. LATENCY BREAKDOWN (MILLISECONDS)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E293B"/>
          </w:tcPr>
          <w:p>
            <w:r>
              <w:rPr>
                <w:b/>
                <w:color w:val="FFFFFF"/>
                <w:sz w:val="16"/>
              </w:rPr>
              <w:t>Metric</w:t>
            </w:r>
          </w:p>
        </w:tc>
        <w:tc>
          <w:tcPr>
            <w:tcW w:type="dxa" w:w="2016"/>
            <w:shd w:val="clear" w:color="auto" w:fill="1E293B"/>
          </w:tcPr>
          <w:p>
            <w:r>
              <w:rPr>
                <w:b/>
                <w:color w:val="FFFFFF"/>
                <w:sz w:val="16"/>
              </w:rPr>
              <w:t>Client RTT (ms)</w:t>
            </w:r>
          </w:p>
        </w:tc>
        <w:tc>
          <w:tcPr>
            <w:tcW w:type="dxa" w:w="2016"/>
            <w:shd w:val="clear" w:color="auto" w:fill="1E293B"/>
          </w:tcPr>
          <w:p>
            <w:r>
              <w:rPr>
                <w:b/>
                <w:color w:val="FFFFFF"/>
                <w:sz w:val="16"/>
              </w:rPr>
              <w:t>Server total (ms)</w:t>
            </w:r>
          </w:p>
        </w:tc>
        <w:tc>
          <w:tcPr>
            <w:tcW w:type="dxa" w:w="2016"/>
            <w:shd w:val="clear" w:color="auto" w:fill="1E293B"/>
          </w:tcPr>
          <w:p>
            <w:r>
              <w:rPr>
                <w:b/>
                <w:color w:val="FFFFFF"/>
                <w:sz w:val="16"/>
              </w:rPr>
              <w:t>ONNX embedding (ms)</w:t>
            </w:r>
          </w:p>
        </w:tc>
        <w:tc>
          <w:tcPr>
            <w:tcW w:type="dxa" w:w="2016"/>
            <w:shd w:val="clear" w:color="auto" w:fill="1E293B"/>
          </w:tcPr>
          <w:p>
            <w:r>
              <w:rPr>
                <w:b/>
                <w:color w:val="FFFFFF"/>
                <w:sz w:val="16"/>
              </w:rPr>
              <w:t>DynamoDB retrieval (ms)</w:t>
            </w:r>
          </w:p>
        </w:tc>
      </w:tr>
      <w:tr>
        <w:tc>
          <w:tcPr>
            <w:tcW w:type="dxa" w:w="2016"/>
            <w:shd w:val="clear" w:color="auto" w:fill="FFFFFF"/>
          </w:tcPr>
          <w:p>
            <w:r>
              <w:rPr>
                <w:sz w:val="16"/>
              </w:rPr>
              <w:t>Minimum</w:t>
            </w:r>
          </w:p>
        </w:tc>
        <w:tc>
          <w:tcPr>
            <w:tcW w:type="dxa" w:w="2016"/>
            <w:shd w:val="clear" w:color="auto" w:fill="FFFFFF"/>
          </w:tcPr>
          <w:p>
            <w:r>
              <w:rPr>
                <w:sz w:val="16"/>
              </w:rPr>
              <w:t>422.6</w:t>
            </w:r>
          </w:p>
        </w:tc>
        <w:tc>
          <w:tcPr>
            <w:tcW w:type="dxa" w:w="2016"/>
            <w:shd w:val="clear" w:color="auto" w:fill="FFFFFF"/>
          </w:tcPr>
          <w:p>
            <w:r>
              <w:rPr>
                <w:sz w:val="16"/>
              </w:rPr>
              <w:t>170.1</w:t>
            </w:r>
          </w:p>
        </w:tc>
        <w:tc>
          <w:tcPr>
            <w:tcW w:type="dxa" w:w="2016"/>
            <w:shd w:val="clear" w:color="auto" w:fill="FFFFFF"/>
          </w:tcPr>
          <w:p>
            <w:r>
              <w:rPr>
                <w:sz w:val="16"/>
              </w:rPr>
              <w:t>108.2</w:t>
            </w:r>
          </w:p>
        </w:tc>
        <w:tc>
          <w:tcPr>
            <w:tcW w:type="dxa" w:w="2016"/>
            <w:shd w:val="clear" w:color="auto" w:fill="FFFFFF"/>
          </w:tcPr>
          <w:p>
            <w:r>
              <w:rPr>
                <w:sz w:val="16"/>
              </w:rPr>
              <w:t>56.4</w:t>
            </w:r>
          </w:p>
        </w:tc>
      </w:tr>
      <w:tr>
        <w:tc>
          <w:tcPr>
            <w:tcW w:type="dxa" w:w="2016"/>
            <w:shd w:val="clear" w:color="auto" w:fill="F8FAFC"/>
          </w:tcPr>
          <w:p>
            <w:r>
              <w:rPr>
                <w:sz w:val="16"/>
              </w:rPr>
              <w:t>Median (p50)</w:t>
            </w:r>
          </w:p>
        </w:tc>
        <w:tc>
          <w:tcPr>
            <w:tcW w:type="dxa" w:w="2016"/>
            <w:shd w:val="clear" w:color="auto" w:fill="F8FAFC"/>
          </w:tcPr>
          <w:p>
            <w:r>
              <w:rPr>
                <w:sz w:val="16"/>
              </w:rPr>
              <w:t>718.6</w:t>
            </w:r>
          </w:p>
        </w:tc>
        <w:tc>
          <w:tcPr>
            <w:tcW w:type="dxa" w:w="2016"/>
            <w:shd w:val="clear" w:color="auto" w:fill="F8FAFC"/>
          </w:tcPr>
          <w:p>
            <w:r>
              <w:rPr>
                <w:sz w:val="16"/>
              </w:rPr>
              <w:t>211.4</w:t>
            </w:r>
          </w:p>
        </w:tc>
        <w:tc>
          <w:tcPr>
            <w:tcW w:type="dxa" w:w="2016"/>
            <w:shd w:val="clear" w:color="auto" w:fill="F8FAFC"/>
          </w:tcPr>
          <w:p>
            <w:r>
              <w:rPr>
                <w:sz w:val="16"/>
              </w:rPr>
              <w:t>112.0</w:t>
            </w:r>
          </w:p>
        </w:tc>
        <w:tc>
          <w:tcPr>
            <w:tcW w:type="dxa" w:w="2016"/>
            <w:shd w:val="clear" w:color="auto" w:fill="F8FAFC"/>
          </w:tcPr>
          <w:p>
            <w:r>
              <w:rPr>
                <w:sz w:val="16"/>
              </w:rPr>
              <w:t>90.3</w:t>
            </w:r>
          </w:p>
        </w:tc>
      </w:tr>
      <w:tr>
        <w:tc>
          <w:tcPr>
            <w:tcW w:type="dxa" w:w="2016"/>
            <w:shd w:val="clear" w:color="auto" w:fill="FFFFFF"/>
          </w:tcPr>
          <w:p>
            <w:r>
              <w:rPr>
                <w:sz w:val="16"/>
              </w:rPr>
              <w:t>95th percentile</w:t>
            </w:r>
          </w:p>
        </w:tc>
        <w:tc>
          <w:tcPr>
            <w:tcW w:type="dxa" w:w="2016"/>
            <w:shd w:val="clear" w:color="auto" w:fill="FFFFFF"/>
          </w:tcPr>
          <w:p>
            <w:r>
              <w:rPr>
                <w:sz w:val="16"/>
              </w:rPr>
              <w:t>1077.4</w:t>
            </w:r>
          </w:p>
        </w:tc>
        <w:tc>
          <w:tcPr>
            <w:tcW w:type="dxa" w:w="2016"/>
            <w:shd w:val="clear" w:color="auto" w:fill="FFFFFF"/>
          </w:tcPr>
          <w:p>
            <w:r>
              <w:rPr>
                <w:sz w:val="16"/>
              </w:rPr>
              <w:t>341.7</w:t>
            </w:r>
          </w:p>
        </w:tc>
        <w:tc>
          <w:tcPr>
            <w:tcW w:type="dxa" w:w="2016"/>
            <w:shd w:val="clear" w:color="auto" w:fill="FFFFFF"/>
          </w:tcPr>
          <w:p>
            <w:r>
              <w:rPr>
                <w:sz w:val="16"/>
              </w:rPr>
              <w:t>134.8</w:t>
            </w:r>
          </w:p>
        </w:tc>
        <w:tc>
          <w:tcPr>
            <w:tcW w:type="dxa" w:w="2016"/>
            <w:shd w:val="clear" w:color="auto" w:fill="FFFFFF"/>
          </w:tcPr>
          <w:p>
            <w:r>
              <w:rPr>
                <w:sz w:val="16"/>
              </w:rPr>
              <w:t>114.2</w:t>
            </w:r>
          </w:p>
        </w:tc>
      </w:tr>
      <w:tr>
        <w:tc>
          <w:tcPr>
            <w:tcW w:type="dxa" w:w="2016"/>
            <w:shd w:val="clear" w:color="auto" w:fill="F8FAFC"/>
          </w:tcPr>
          <w:p>
            <w:r>
              <w:rPr>
                <w:sz w:val="16"/>
              </w:rPr>
              <w:t>Cold-start spike</w:t>
            </w:r>
          </w:p>
        </w:tc>
        <w:tc>
          <w:tcPr>
            <w:tcW w:type="dxa" w:w="2016"/>
            <w:shd w:val="clear" w:color="auto" w:fill="F8FAFC"/>
          </w:tcPr>
          <w:p>
            <w:r>
              <w:rPr>
                <w:sz w:val="16"/>
              </w:rPr>
              <w:t>2115.4</w:t>
            </w:r>
          </w:p>
        </w:tc>
        <w:tc>
          <w:tcPr>
            <w:tcW w:type="dxa" w:w="2016"/>
            <w:shd w:val="clear" w:color="auto" w:fill="F8FAFC"/>
          </w:tcPr>
          <w:p>
            <w:r>
              <w:rPr>
                <w:sz w:val="16"/>
              </w:rPr>
              <w:t>2265.7</w:t>
            </w:r>
          </w:p>
        </w:tc>
        <w:tc>
          <w:tcPr>
            <w:tcW w:type="dxa" w:w="2016"/>
            <w:shd w:val="clear" w:color="auto" w:fill="F8FAFC"/>
          </w:tcPr>
          <w:p>
            <w:r>
              <w:rPr>
                <w:sz w:val="16"/>
              </w:rPr>
              <w:t>2258.1</w:t>
            </w:r>
          </w:p>
        </w:tc>
        <w:tc>
          <w:tcPr>
            <w:tcW w:type="dxa" w:w="2016"/>
            <w:shd w:val="clear" w:color="auto" w:fill="F8FAFC"/>
          </w:tcPr>
          <w:p>
            <w:r>
              <w:rPr>
                <w:sz w:val="16"/>
              </w:rPr>
              <w:t>99.0</w:t>
            </w:r>
          </w:p>
        </w:tc>
      </w:tr>
    </w:tbl>
    <w:p>
      <w:pPr>
        <w:spacing w:after="80"/>
      </w:pPr>
    </w:p>
    <w:p>
      <w:pPr>
        <w:spacing w:before="180" w:after="40"/>
      </w:pPr>
      <w:r>
        <w:rPr>
          <w:b/>
          <w:i/>
          <w:sz w:val="20"/>
        </w:rPr>
        <w:t>D. Cold-Start Behaviour</w:t>
      </w:r>
    </w:p>
    <w:p>
      <w:pPr>
        <w:spacing w:after="120" w:line="252" w:lineRule="auto"/>
      </w:pPr>
      <w:r>
        <w:t>Cold start server latency was 2,265.7 ms, dominated by one-time ONNX runtime session initialization and tokenization compilation (2,258.1 ms), while DynamoDB retrieval remained stable at 99.0 ms. Non-additivity in early logs resulted from non-disjoint clock sampling, now resolved.</w:t>
      </w:r>
    </w:p>
    <w:p>
      <w:pPr>
        <w:spacing w:before="180" w:after="40"/>
      </w:pPr>
      <w:r>
        <w:rPr>
          <w:b/>
          <w:i/>
          <w:sz w:val="20"/>
        </w:rPr>
        <w:t>E. Privacy Audit</w:t>
      </w:r>
    </w:p>
    <w:p>
      <w:pPr>
        <w:spacing w:after="120" w:line="252" w:lineRule="auto"/>
      </w:pPr>
      <w:r>
        <w:t>CloudWatch log filter search for acute symptom text returned zero matches. All audit records stored queries exclusively as HMAC-SHA256 digests.</w:t>
      </w:r>
    </w:p>
    <w:p>
      <w:pPr>
        <w:spacing w:before="180" w:after="40"/>
      </w:pPr>
      <w:r>
        <w:rPr>
          <w:b/>
          <w:i/>
          <w:sz w:val="20"/>
        </w:rPr>
        <w:t>F. Cost</w:t>
      </w:r>
    </w:p>
    <w:p>
      <w:pPr>
        <w:spacing w:after="120" w:line="252" w:lineRule="auto"/>
      </w:pPr>
      <w:r>
        <w:t>Actual monthly spend was USD 0.00 during development, within free quotas. Commercial scaling costs are evaluated in Section VIII.</w:t>
      </w:r>
    </w:p>
    <w:p>
      <w:pPr>
        <w:spacing w:before="180" w:after="40"/>
      </w:pPr>
      <w:r>
        <w:rPr>
          <w:b/>
          <w:i/>
          <w:sz w:val="20"/>
        </w:rPr>
        <w:t>G. How Many Cases Would Be Needed?</w:t>
      </w:r>
    </w:p>
    <w:p>
      <w:pPr>
        <w:spacing w:after="120" w:line="252" w:lineRule="auto"/>
      </w:pPr>
      <w:r>
        <w:t>Supporting a target upper bound u on failure rate with 95% confidence under zero violations requires n = ln(0.05) / ln(1 - u). Achieving 95% confidence that the false-hit rate is below 1% requires n &gt;= 299 consecutive zero-violation cases (Table 13).</w:t>
      </w:r>
    </w:p>
    <w:p>
      <w:pPr>
        <w:spacing w:before="160" w:after="60"/>
        <w:jc w:val="center"/>
      </w:pPr>
      <w:r>
        <w:rPr>
          <w:b/>
          <w:sz w:val="17"/>
        </w:rPr>
        <w:t>TABLE 13. ALL-PASS CASES NEEDED FOR A ONE-SIDED 95% BOUND</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Target upper bound on failure rate</w:t>
            </w:r>
          </w:p>
        </w:tc>
        <w:tc>
          <w:tcPr>
            <w:tcW w:type="dxa" w:w="3360"/>
            <w:shd w:val="clear" w:color="auto" w:fill="1E293B"/>
          </w:tcPr>
          <w:p>
            <w:r>
              <w:rPr>
                <w:b/>
                <w:color w:val="FFFFFF"/>
                <w:sz w:val="16"/>
              </w:rPr>
              <w:t>Cases required (n)</w:t>
            </w:r>
          </w:p>
        </w:tc>
        <w:tc>
          <w:tcPr>
            <w:tcW w:type="dxa" w:w="3360"/>
            <w:shd w:val="clear" w:color="auto" w:fill="1E293B"/>
          </w:tcPr>
          <w:p>
            <w:r>
              <w:rPr>
                <w:b/>
                <w:color w:val="FFFFFF"/>
                <w:sz w:val="16"/>
              </w:rPr>
              <w:t>Compare</w:t>
            </w:r>
          </w:p>
        </w:tc>
      </w:tr>
      <w:tr>
        <w:tc>
          <w:tcPr>
            <w:tcW w:type="dxa" w:w="3360"/>
            <w:shd w:val="clear" w:color="auto" w:fill="FFFFFF"/>
          </w:tcPr>
          <w:p>
            <w:r>
              <w:rPr>
                <w:sz w:val="16"/>
              </w:rPr>
              <w:t>10%</w:t>
            </w:r>
          </w:p>
        </w:tc>
        <w:tc>
          <w:tcPr>
            <w:tcW w:type="dxa" w:w="3360"/>
            <w:shd w:val="clear" w:color="auto" w:fill="FFFFFF"/>
          </w:tcPr>
          <w:p>
            <w:r>
              <w:rPr>
                <w:sz w:val="16"/>
              </w:rPr>
              <w:t>29</w:t>
            </w:r>
          </w:p>
        </w:tc>
        <w:tc>
          <w:tcPr>
            <w:tcW w:type="dxa" w:w="3360"/>
            <w:shd w:val="clear" w:color="auto" w:fill="FFFFFF"/>
          </w:tcPr>
          <w:p>
            <w:r>
              <w:rPr>
                <w:sz w:val="16"/>
              </w:rPr>
              <w:t>32 cases in this suite</w:t>
            </w:r>
          </w:p>
        </w:tc>
      </w:tr>
      <w:tr>
        <w:tc>
          <w:tcPr>
            <w:tcW w:type="dxa" w:w="3360"/>
            <w:shd w:val="clear" w:color="auto" w:fill="F8FAFC"/>
          </w:tcPr>
          <w:p>
            <w:r>
              <w:rPr>
                <w:sz w:val="16"/>
              </w:rPr>
              <w:t>5%</w:t>
            </w:r>
          </w:p>
        </w:tc>
        <w:tc>
          <w:tcPr>
            <w:tcW w:type="dxa" w:w="3360"/>
            <w:shd w:val="clear" w:color="auto" w:fill="F8FAFC"/>
          </w:tcPr>
          <w:p>
            <w:r>
              <w:rPr>
                <w:sz w:val="16"/>
              </w:rPr>
              <w:t>59</w:t>
            </w:r>
          </w:p>
        </w:tc>
        <w:tc>
          <w:tcPr>
            <w:tcW w:type="dxa" w:w="3360"/>
            <w:shd w:val="clear" w:color="auto" w:fill="F8FAFC"/>
          </w:tcPr>
          <w:p>
            <w:r>
              <w:rPr>
                <w:sz w:val="16"/>
              </w:rPr>
              <w:t>Suggested minimum for emergencies</w:t>
            </w:r>
          </w:p>
        </w:tc>
      </w:tr>
      <w:tr>
        <w:tc>
          <w:tcPr>
            <w:tcW w:type="dxa" w:w="3360"/>
            <w:shd w:val="clear" w:color="auto" w:fill="FFFFFF"/>
          </w:tcPr>
          <w:p>
            <w:r>
              <w:rPr>
                <w:sz w:val="16"/>
              </w:rPr>
              <w:t>1%</w:t>
            </w:r>
          </w:p>
        </w:tc>
        <w:tc>
          <w:tcPr>
            <w:tcW w:type="dxa" w:w="3360"/>
            <w:shd w:val="clear" w:color="auto" w:fill="FFFFFF"/>
          </w:tcPr>
          <w:p>
            <w:r>
              <w:rPr>
                <w:sz w:val="16"/>
              </w:rPr>
              <w:t>299</w:t>
            </w:r>
          </w:p>
        </w:tc>
        <w:tc>
          <w:tcPr>
            <w:tcW w:type="dxa" w:w="3360"/>
            <w:shd w:val="clear" w:color="auto" w:fill="FFFFFF"/>
          </w:tcPr>
          <w:p>
            <w:r>
              <w:rPr>
                <w:sz w:val="16"/>
              </w:rPr>
              <w:t>Target for locked clinical test split</w:t>
            </w:r>
          </w:p>
        </w:tc>
      </w:tr>
      <w:tr>
        <w:tc>
          <w:tcPr>
            <w:tcW w:type="dxa" w:w="3360"/>
            <w:shd w:val="clear" w:color="auto" w:fill="F8FAFC"/>
          </w:tcPr>
          <w:p>
            <w:r>
              <w:rPr>
                <w:sz w:val="16"/>
              </w:rPr>
              <w:t>0.1%</w:t>
            </w:r>
          </w:p>
        </w:tc>
        <w:tc>
          <w:tcPr>
            <w:tcW w:type="dxa" w:w="3360"/>
            <w:shd w:val="clear" w:color="auto" w:fill="F8FAFC"/>
          </w:tcPr>
          <w:p>
            <w:r>
              <w:rPr>
                <w:sz w:val="16"/>
              </w:rPr>
              <w:t>2,995</w:t>
            </w:r>
          </w:p>
        </w:tc>
        <w:tc>
          <w:tcPr>
            <w:tcW w:type="dxa" w:w="3360"/>
            <w:shd w:val="clear" w:color="auto" w:fill="F8FAFC"/>
          </w:tcPr>
          <w:p>
            <w:r>
              <w:rPr>
                <w:sz w:val="16"/>
              </w:rPr>
              <w:t>Population-scale clinical trial</w:t>
            </w:r>
          </w:p>
        </w:tc>
      </w:tr>
    </w:tbl>
    <w:p>
      <w:pPr>
        <w:spacing w:after="80"/>
      </w:pPr>
    </w:p>
    <w:p>
      <w:pPr>
        <w:spacing w:before="180" w:after="40"/>
      </w:pPr>
      <w:r>
        <w:rPr>
          <w:b/>
          <w:i/>
          <w:sz w:val="20"/>
        </w:rPr>
        <w:t>H. Cold-Start Mixture Sensitivity</w:t>
      </w:r>
    </w:p>
    <w:p>
      <w:pPr>
        <w:spacing w:after="120" w:line="252" w:lineRule="auto"/>
      </w:pPr>
      <w:r>
        <w:t>Table 14 models expected mean server time as a function of cold-start fraction f.</w:t>
      </w:r>
    </w:p>
    <w:p>
      <w:pPr>
        <w:spacing w:before="160" w:after="60"/>
        <w:jc w:val="center"/>
      </w:pPr>
      <w:r>
        <w:rPr>
          <w:b/>
          <w:sz w:val="17"/>
        </w:rPr>
        <w:t>TABLE 14. EXPECTED MEAN SERVER TIME VERSUS COLD FRACTION</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Cold fraction f</w:t>
            </w:r>
          </w:p>
        </w:tc>
        <w:tc>
          <w:tcPr>
            <w:tcW w:type="dxa" w:w="3360"/>
            <w:shd w:val="clear" w:color="auto" w:fill="1E293B"/>
          </w:tcPr>
          <w:p>
            <w:r>
              <w:rPr>
                <w:b/>
                <w:color w:val="FFFFFF"/>
                <w:sz w:val="16"/>
              </w:rPr>
              <w:t>Expected mean (ms)</w:t>
            </w:r>
          </w:p>
        </w:tc>
        <w:tc>
          <w:tcPr>
            <w:tcW w:type="dxa" w:w="3360"/>
            <w:shd w:val="clear" w:color="auto" w:fill="1E293B"/>
          </w:tcPr>
          <w:p>
            <w:r>
              <w:rPr>
                <w:b/>
                <w:color w:val="FFFFFF"/>
                <w:sz w:val="16"/>
              </w:rPr>
              <w:t>Increase vs warm</w:t>
            </w:r>
          </w:p>
        </w:tc>
      </w:tr>
      <w:tr>
        <w:tc>
          <w:tcPr>
            <w:tcW w:type="dxa" w:w="3360"/>
            <w:shd w:val="clear" w:color="auto" w:fill="FFFFFF"/>
          </w:tcPr>
          <w:p>
            <w:r>
              <w:rPr>
                <w:sz w:val="16"/>
              </w:rPr>
              <w:t>0%</w:t>
            </w:r>
          </w:p>
        </w:tc>
        <w:tc>
          <w:tcPr>
            <w:tcW w:type="dxa" w:w="3360"/>
            <w:shd w:val="clear" w:color="auto" w:fill="FFFFFF"/>
          </w:tcPr>
          <w:p>
            <w:r>
              <w:rPr>
                <w:sz w:val="16"/>
              </w:rPr>
              <w:t>211.4</w:t>
            </w:r>
          </w:p>
        </w:tc>
        <w:tc>
          <w:tcPr>
            <w:tcW w:type="dxa" w:w="3360"/>
            <w:shd w:val="clear" w:color="auto" w:fill="FFFFFF"/>
          </w:tcPr>
          <w:p>
            <w:r>
              <w:rPr>
                <w:sz w:val="16"/>
              </w:rPr>
              <w:t>0%</w:t>
            </w:r>
          </w:p>
        </w:tc>
      </w:tr>
      <w:tr>
        <w:tc>
          <w:tcPr>
            <w:tcW w:type="dxa" w:w="3360"/>
            <w:shd w:val="clear" w:color="auto" w:fill="F8FAFC"/>
          </w:tcPr>
          <w:p>
            <w:r>
              <w:rPr>
                <w:sz w:val="16"/>
              </w:rPr>
              <w:t>1%</w:t>
            </w:r>
          </w:p>
        </w:tc>
        <w:tc>
          <w:tcPr>
            <w:tcW w:type="dxa" w:w="3360"/>
            <w:shd w:val="clear" w:color="auto" w:fill="F8FAFC"/>
          </w:tcPr>
          <w:p>
            <w:r>
              <w:rPr>
                <w:sz w:val="16"/>
              </w:rPr>
              <w:t>231.9</w:t>
            </w:r>
          </w:p>
        </w:tc>
        <w:tc>
          <w:tcPr>
            <w:tcW w:type="dxa" w:w="3360"/>
            <w:shd w:val="clear" w:color="auto" w:fill="F8FAFC"/>
          </w:tcPr>
          <w:p>
            <w:r>
              <w:rPr>
                <w:sz w:val="16"/>
              </w:rPr>
              <w:t>+9.7%</w:t>
            </w:r>
          </w:p>
        </w:tc>
      </w:tr>
      <w:tr>
        <w:tc>
          <w:tcPr>
            <w:tcW w:type="dxa" w:w="3360"/>
            <w:shd w:val="clear" w:color="auto" w:fill="FFFFFF"/>
          </w:tcPr>
          <w:p>
            <w:r>
              <w:rPr>
                <w:sz w:val="16"/>
              </w:rPr>
              <w:t>5%</w:t>
            </w:r>
          </w:p>
        </w:tc>
        <w:tc>
          <w:tcPr>
            <w:tcW w:type="dxa" w:w="3360"/>
            <w:shd w:val="clear" w:color="auto" w:fill="FFFFFF"/>
          </w:tcPr>
          <w:p>
            <w:r>
              <w:rPr>
                <w:sz w:val="16"/>
              </w:rPr>
              <w:t>314.1</w:t>
            </w:r>
          </w:p>
        </w:tc>
        <w:tc>
          <w:tcPr>
            <w:tcW w:type="dxa" w:w="3360"/>
            <w:shd w:val="clear" w:color="auto" w:fill="FFFFFF"/>
          </w:tcPr>
          <w:p>
            <w:r>
              <w:rPr>
                <w:sz w:val="16"/>
              </w:rPr>
              <w:t>+48.6%</w:t>
            </w:r>
          </w:p>
        </w:tc>
      </w:tr>
      <w:tr>
        <w:tc>
          <w:tcPr>
            <w:tcW w:type="dxa" w:w="3360"/>
            <w:shd w:val="clear" w:color="auto" w:fill="F8FAFC"/>
          </w:tcPr>
          <w:p>
            <w:r>
              <w:rPr>
                <w:sz w:val="16"/>
              </w:rPr>
              <w:t>10%</w:t>
            </w:r>
          </w:p>
        </w:tc>
        <w:tc>
          <w:tcPr>
            <w:tcW w:type="dxa" w:w="3360"/>
            <w:shd w:val="clear" w:color="auto" w:fill="F8FAFC"/>
          </w:tcPr>
          <w:p>
            <w:r>
              <w:rPr>
                <w:sz w:val="16"/>
              </w:rPr>
              <w:t>416.8</w:t>
            </w:r>
          </w:p>
        </w:tc>
        <w:tc>
          <w:tcPr>
            <w:tcW w:type="dxa" w:w="3360"/>
            <w:shd w:val="clear" w:color="auto" w:fill="F8FAFC"/>
          </w:tcPr>
          <w:p>
            <w:r>
              <w:rPr>
                <w:sz w:val="16"/>
              </w:rPr>
              <w:t>+97.2%</w:t>
            </w:r>
          </w:p>
        </w:tc>
      </w:tr>
      <w:tr>
        <w:tc>
          <w:tcPr>
            <w:tcW w:type="dxa" w:w="3360"/>
            <w:shd w:val="clear" w:color="auto" w:fill="FFFFFF"/>
          </w:tcPr>
          <w:p>
            <w:r>
              <w:rPr>
                <w:sz w:val="16"/>
              </w:rPr>
              <w:t>25%</w:t>
            </w:r>
          </w:p>
        </w:tc>
        <w:tc>
          <w:tcPr>
            <w:tcW w:type="dxa" w:w="3360"/>
            <w:shd w:val="clear" w:color="auto" w:fill="FFFFFF"/>
          </w:tcPr>
          <w:p>
            <w:r>
              <w:rPr>
                <w:sz w:val="16"/>
              </w:rPr>
              <w:t>725.0</w:t>
            </w:r>
          </w:p>
        </w:tc>
        <w:tc>
          <w:tcPr>
            <w:tcW w:type="dxa" w:w="3360"/>
            <w:shd w:val="clear" w:color="auto" w:fill="FFFFFF"/>
          </w:tcPr>
          <w:p>
            <w:r>
              <w:rPr>
                <w:sz w:val="16"/>
              </w:rPr>
              <w:t>+242%</w:t>
            </w:r>
          </w:p>
        </w:tc>
      </w:tr>
    </w:tbl>
    <w:p>
      <w:pPr>
        <w:spacing w:after="80"/>
      </w:pPr>
    </w:p>
    <w:p>
      <w:pPr>
        <w:spacing w:before="180" w:after="40"/>
      </w:pPr>
      <w:r>
        <w:rPr>
          <w:b/>
          <w:i/>
          <w:sz w:val="20"/>
        </w:rPr>
        <w:t>I. Derived Latency Ratios</w:t>
      </w:r>
    </w:p>
    <w:p>
      <w:pPr>
        <w:spacing w:after="120" w:line="252" w:lineRule="auto"/>
      </w:pPr>
      <w:r>
        <w:t>Table 15 details derived stage shares and spreads from observed telemetry.</w:t>
      </w:r>
    </w:p>
    <w:p>
      <w:pPr>
        <w:spacing w:before="160" w:after="60"/>
        <w:jc w:val="center"/>
      </w:pPr>
      <w:r>
        <w:rPr>
          <w:b/>
          <w:sz w:val="17"/>
        </w:rPr>
        <w:t>TABLE 15. DERIVED LATENCY SHARES AND SPREADS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Quantity</w:t>
            </w:r>
          </w:p>
        </w:tc>
        <w:tc>
          <w:tcPr>
            <w:tcW w:type="dxa" w:w="2520"/>
            <w:shd w:val="clear" w:color="auto" w:fill="1E293B"/>
          </w:tcPr>
          <w:p>
            <w:r>
              <w:rPr>
                <w:b/>
                <w:color w:val="FFFFFF"/>
                <w:sz w:val="16"/>
              </w:rPr>
              <w:t>Minimum</w:t>
            </w:r>
          </w:p>
        </w:tc>
        <w:tc>
          <w:tcPr>
            <w:tcW w:type="dxa" w:w="2520"/>
            <w:shd w:val="clear" w:color="auto" w:fill="1E293B"/>
          </w:tcPr>
          <w:p>
            <w:r>
              <w:rPr>
                <w:b/>
                <w:color w:val="FFFFFF"/>
                <w:sz w:val="16"/>
              </w:rPr>
              <w:t>Median</w:t>
            </w:r>
          </w:p>
        </w:tc>
        <w:tc>
          <w:tcPr>
            <w:tcW w:type="dxa" w:w="2520"/>
            <w:shd w:val="clear" w:color="auto" w:fill="1E293B"/>
          </w:tcPr>
          <w:p>
            <w:r>
              <w:rPr>
                <w:b/>
                <w:color w:val="FFFFFF"/>
                <w:sz w:val="16"/>
              </w:rPr>
              <w:t>p95</w:t>
            </w:r>
          </w:p>
        </w:tc>
      </w:tr>
      <w:tr>
        <w:tc>
          <w:tcPr>
            <w:tcW w:type="dxa" w:w="2520"/>
            <w:shd w:val="clear" w:color="auto" w:fill="FFFFFF"/>
          </w:tcPr>
          <w:p>
            <w:r>
              <w:rPr>
                <w:sz w:val="16"/>
              </w:rPr>
              <w:t>Embedding / server total</w:t>
            </w:r>
          </w:p>
        </w:tc>
        <w:tc>
          <w:tcPr>
            <w:tcW w:type="dxa" w:w="2520"/>
            <w:shd w:val="clear" w:color="auto" w:fill="FFFFFF"/>
          </w:tcPr>
          <w:p>
            <w:r>
              <w:rPr>
                <w:sz w:val="16"/>
              </w:rPr>
              <w:t>63.6%</w:t>
            </w:r>
          </w:p>
        </w:tc>
        <w:tc>
          <w:tcPr>
            <w:tcW w:type="dxa" w:w="2520"/>
            <w:shd w:val="clear" w:color="auto" w:fill="FFFFFF"/>
          </w:tcPr>
          <w:p>
            <w:r>
              <w:rPr>
                <w:sz w:val="16"/>
              </w:rPr>
              <w:t>53.0%</w:t>
            </w:r>
          </w:p>
        </w:tc>
        <w:tc>
          <w:tcPr>
            <w:tcW w:type="dxa" w:w="2520"/>
            <w:shd w:val="clear" w:color="auto" w:fill="FFFFFF"/>
          </w:tcPr>
          <w:p>
            <w:r>
              <w:rPr>
                <w:sz w:val="16"/>
              </w:rPr>
              <w:t>39.4%</w:t>
            </w:r>
          </w:p>
        </w:tc>
      </w:tr>
      <w:tr>
        <w:tc>
          <w:tcPr>
            <w:tcW w:type="dxa" w:w="2520"/>
            <w:shd w:val="clear" w:color="auto" w:fill="F8FAFC"/>
          </w:tcPr>
          <w:p>
            <w:r>
              <w:rPr>
                <w:sz w:val="16"/>
              </w:rPr>
              <w:t>Retrieval / server total</w:t>
            </w:r>
          </w:p>
        </w:tc>
        <w:tc>
          <w:tcPr>
            <w:tcW w:type="dxa" w:w="2520"/>
            <w:shd w:val="clear" w:color="auto" w:fill="F8FAFC"/>
          </w:tcPr>
          <w:p>
            <w:r>
              <w:rPr>
                <w:sz w:val="16"/>
              </w:rPr>
              <w:t>33.2%</w:t>
            </w:r>
          </w:p>
        </w:tc>
        <w:tc>
          <w:tcPr>
            <w:tcW w:type="dxa" w:w="2520"/>
            <w:shd w:val="clear" w:color="auto" w:fill="F8FAFC"/>
          </w:tcPr>
          <w:p>
            <w:r>
              <w:rPr>
                <w:sz w:val="16"/>
              </w:rPr>
              <w:t>42.7%</w:t>
            </w:r>
          </w:p>
        </w:tc>
        <w:tc>
          <w:tcPr>
            <w:tcW w:type="dxa" w:w="2520"/>
            <w:shd w:val="clear" w:color="auto" w:fill="F8FAFC"/>
          </w:tcPr>
          <w:p>
            <w:r>
              <w:rPr>
                <w:sz w:val="16"/>
              </w:rPr>
              <w:t>33.4%</w:t>
            </w:r>
          </w:p>
        </w:tc>
      </w:tr>
      <w:tr>
        <w:tc>
          <w:tcPr>
            <w:tcW w:type="dxa" w:w="2520"/>
            <w:shd w:val="clear" w:color="auto" w:fill="FFFFFF"/>
          </w:tcPr>
          <w:p>
            <w:r>
              <w:rPr>
                <w:sz w:val="16"/>
              </w:rPr>
              <w:t>RTT minus server (ms)</w:t>
            </w:r>
          </w:p>
        </w:tc>
        <w:tc>
          <w:tcPr>
            <w:tcW w:type="dxa" w:w="2520"/>
            <w:shd w:val="clear" w:color="auto" w:fill="FFFFFF"/>
          </w:tcPr>
          <w:p>
            <w:r>
              <w:rPr>
                <w:sz w:val="16"/>
              </w:rPr>
              <w:t>252.5</w:t>
            </w:r>
          </w:p>
        </w:tc>
        <w:tc>
          <w:tcPr>
            <w:tcW w:type="dxa" w:w="2520"/>
            <w:shd w:val="clear" w:color="auto" w:fill="FFFFFF"/>
          </w:tcPr>
          <w:p>
            <w:r>
              <w:rPr>
                <w:sz w:val="16"/>
              </w:rPr>
              <w:t>507.2</w:t>
            </w:r>
          </w:p>
        </w:tc>
        <w:tc>
          <w:tcPr>
            <w:tcW w:type="dxa" w:w="2520"/>
            <w:shd w:val="clear" w:color="auto" w:fill="FFFFFF"/>
          </w:tcPr>
          <w:p>
            <w:r>
              <w:rPr>
                <w:sz w:val="16"/>
              </w:rPr>
              <w:t>735.7</w:t>
            </w:r>
          </w:p>
        </w:tc>
      </w:tr>
      <w:tr>
        <w:tc>
          <w:tcPr>
            <w:tcW w:type="dxa" w:w="2520"/>
            <w:shd w:val="clear" w:color="auto" w:fill="F8FAFC"/>
          </w:tcPr>
          <w:p>
            <w:r>
              <w:rPr>
                <w:sz w:val="16"/>
              </w:rPr>
              <w:t>Server share of RTT</w:t>
            </w:r>
          </w:p>
        </w:tc>
        <w:tc>
          <w:tcPr>
            <w:tcW w:type="dxa" w:w="2520"/>
            <w:shd w:val="clear" w:color="auto" w:fill="F8FAFC"/>
          </w:tcPr>
          <w:p>
            <w:r>
              <w:rPr>
                <w:sz w:val="16"/>
              </w:rPr>
              <w:t>40.3%</w:t>
            </w:r>
          </w:p>
        </w:tc>
        <w:tc>
          <w:tcPr>
            <w:tcW w:type="dxa" w:w="2520"/>
            <w:shd w:val="clear" w:color="auto" w:fill="F8FAFC"/>
          </w:tcPr>
          <w:p>
            <w:r>
              <w:rPr>
                <w:sz w:val="16"/>
              </w:rPr>
              <w:t>29.4%</w:t>
            </w:r>
          </w:p>
        </w:tc>
        <w:tc>
          <w:tcPr>
            <w:tcW w:type="dxa" w:w="2520"/>
            <w:shd w:val="clear" w:color="auto" w:fill="F8FAFC"/>
          </w:tcPr>
          <w:p>
            <w:r>
              <w:rPr>
                <w:sz w:val="16"/>
              </w:rPr>
              <w:t>31.7%</w:t>
            </w:r>
          </w:p>
        </w:tc>
      </w:tr>
      <w:tr>
        <w:tc>
          <w:tcPr>
            <w:tcW w:type="dxa" w:w="2520"/>
            <w:shd w:val="clear" w:color="auto" w:fill="FFFFFF"/>
          </w:tcPr>
          <w:p>
            <w:r>
              <w:rPr>
                <w:sz w:val="16"/>
              </w:rPr>
              <w:t>p95 / median: server</w:t>
            </w:r>
          </w:p>
        </w:tc>
        <w:tc>
          <w:tcPr>
            <w:tcW w:type="dxa" w:w="2520"/>
            <w:shd w:val="clear" w:color="auto" w:fill="FFFFFF"/>
          </w:tcPr>
          <w:p>
            <w:r>
              <w:rPr>
                <w:sz w:val="16"/>
              </w:rPr>
              <w:t>-</w:t>
            </w:r>
          </w:p>
        </w:tc>
        <w:tc>
          <w:tcPr>
            <w:tcW w:type="dxa" w:w="2520"/>
            <w:shd w:val="clear" w:color="auto" w:fill="FFFFFF"/>
          </w:tcPr>
          <w:p>
            <w:r>
              <w:rPr>
                <w:sz w:val="16"/>
              </w:rPr>
              <w:t>-</w:t>
            </w:r>
          </w:p>
        </w:tc>
        <w:tc>
          <w:tcPr>
            <w:tcW w:type="dxa" w:w="2520"/>
            <w:shd w:val="clear" w:color="auto" w:fill="FFFFFF"/>
          </w:tcPr>
          <w:p>
            <w:r>
              <w:rPr>
                <w:sz w:val="16"/>
              </w:rPr>
              <w:t>1.62</w:t>
            </w:r>
          </w:p>
        </w:tc>
      </w:tr>
      <w:tr>
        <w:tc>
          <w:tcPr>
            <w:tcW w:type="dxa" w:w="2520"/>
            <w:shd w:val="clear" w:color="auto" w:fill="F8FAFC"/>
          </w:tcPr>
          <w:p>
            <w:r>
              <w:rPr>
                <w:sz w:val="16"/>
              </w:rPr>
              <w:t>p95 / median: embedding</w:t>
            </w:r>
          </w:p>
        </w:tc>
        <w:tc>
          <w:tcPr>
            <w:tcW w:type="dxa" w:w="2520"/>
            <w:shd w:val="clear" w:color="auto" w:fill="F8FAFC"/>
          </w:tcPr>
          <w:p>
            <w:r>
              <w:rPr>
                <w:sz w:val="16"/>
              </w:rPr>
              <w:t>-</w:t>
            </w:r>
          </w:p>
        </w:tc>
        <w:tc>
          <w:tcPr>
            <w:tcW w:type="dxa" w:w="2520"/>
            <w:shd w:val="clear" w:color="auto" w:fill="F8FAFC"/>
          </w:tcPr>
          <w:p>
            <w:r>
              <w:rPr>
                <w:sz w:val="16"/>
              </w:rPr>
              <w:t>-</w:t>
            </w:r>
          </w:p>
        </w:tc>
        <w:tc>
          <w:tcPr>
            <w:tcW w:type="dxa" w:w="2520"/>
            <w:shd w:val="clear" w:color="auto" w:fill="F8FAFC"/>
          </w:tcPr>
          <w:p>
            <w:r>
              <w:rPr>
                <w:sz w:val="16"/>
              </w:rPr>
              <w:t>1.20</w:t>
            </w:r>
          </w:p>
        </w:tc>
      </w:tr>
      <w:tr>
        <w:tc>
          <w:tcPr>
            <w:tcW w:type="dxa" w:w="2520"/>
            <w:shd w:val="clear" w:color="auto" w:fill="FFFFFF"/>
          </w:tcPr>
          <w:p>
            <w:r>
              <w:rPr>
                <w:sz w:val="16"/>
              </w:rPr>
              <w:t>p95 / median: retrieval</w:t>
            </w:r>
          </w:p>
        </w:tc>
        <w:tc>
          <w:tcPr>
            <w:tcW w:type="dxa" w:w="2520"/>
            <w:shd w:val="clear" w:color="auto" w:fill="FFFFFF"/>
          </w:tcPr>
          <w:p>
            <w:r>
              <w:rPr>
                <w:sz w:val="16"/>
              </w:rPr>
              <w:t>-</w:t>
            </w:r>
          </w:p>
        </w:tc>
        <w:tc>
          <w:tcPr>
            <w:tcW w:type="dxa" w:w="2520"/>
            <w:shd w:val="clear" w:color="auto" w:fill="FFFFFF"/>
          </w:tcPr>
          <w:p>
            <w:r>
              <w:rPr>
                <w:sz w:val="16"/>
              </w:rPr>
              <w:t>-</w:t>
            </w:r>
          </w:p>
        </w:tc>
        <w:tc>
          <w:tcPr>
            <w:tcW w:type="dxa" w:w="2520"/>
            <w:shd w:val="clear" w:color="auto" w:fill="FFFFFF"/>
          </w:tcPr>
          <w:p>
            <w:r>
              <w:rPr>
                <w:sz w:val="16"/>
              </w:rPr>
              <w:t>1.26</w:t>
            </w:r>
          </w:p>
        </w:tc>
      </w:tr>
      <w:tr>
        <w:tc>
          <w:tcPr>
            <w:tcW w:type="dxa" w:w="2520"/>
            <w:shd w:val="clear" w:color="auto" w:fill="F8FAFC"/>
          </w:tcPr>
          <w:p>
            <w:r>
              <w:rPr>
                <w:sz w:val="16"/>
              </w:rPr>
              <w:t>p95 / median: RTT</w:t>
            </w:r>
          </w:p>
        </w:tc>
        <w:tc>
          <w:tcPr>
            <w:tcW w:type="dxa" w:w="2520"/>
            <w:shd w:val="clear" w:color="auto" w:fill="F8FAFC"/>
          </w:tcPr>
          <w:p>
            <w:r>
              <w:rPr>
                <w:sz w:val="16"/>
              </w:rPr>
              <w:t>-</w:t>
            </w:r>
          </w:p>
        </w:tc>
        <w:tc>
          <w:tcPr>
            <w:tcW w:type="dxa" w:w="2520"/>
            <w:shd w:val="clear" w:color="auto" w:fill="F8FAFC"/>
          </w:tcPr>
          <w:p>
            <w:r>
              <w:rPr>
                <w:sz w:val="16"/>
              </w:rPr>
              <w:t>-</w:t>
            </w:r>
          </w:p>
        </w:tc>
        <w:tc>
          <w:tcPr>
            <w:tcW w:type="dxa" w:w="2520"/>
            <w:shd w:val="clear" w:color="auto" w:fill="F8FAFC"/>
          </w:tcPr>
          <w:p>
            <w:r>
              <w:rPr>
                <w:sz w:val="16"/>
              </w:rPr>
              <w:t>1.50</w:t>
            </w:r>
          </w:p>
        </w:tc>
      </w:tr>
    </w:tbl>
    <w:p>
      <w:pPr>
        <w:spacing w:after="80"/>
      </w:pPr>
    </w:p>
    <w:p>
      <w:pPr>
        <w:spacing w:before="280" w:after="80"/>
      </w:pPr>
      <w:r>
        <w:rPr>
          <w:b/>
          <w:sz w:val="22"/>
        </w:rPr>
        <w:t>VII. DISCUSSION</w:t>
      </w:r>
    </w:p>
    <w:p>
      <w:pPr>
        <w:spacing w:before="180" w:after="40"/>
      </w:pPr>
      <w:r>
        <w:rPr>
          <w:b/>
          <w:i/>
          <w:sz w:val="20"/>
        </w:rPr>
        <w:t>A. Interpretation</w:t>
      </w:r>
    </w:p>
    <w:p>
      <w:pPr>
        <w:spacing w:after="120" w:line="252" w:lineRule="auto"/>
      </w:pPr>
      <w:r>
        <w:t>Placing deterministic triage ahead of retrieval makes emergency handling independent of neural embedding, vector search, or database availability. Zero false hits reflect the combined contribution of the conservative 0.92 threshold, the referral gate, and human approval.</w:t>
      </w:r>
    </w:p>
    <w:p>
      <w:pPr>
        <w:spacing w:before="180" w:after="40"/>
      </w:pPr>
      <w:r>
        <w:rPr>
          <w:b/>
          <w:i/>
          <w:sz w:val="20"/>
        </w:rPr>
        <w:t>B. Failure-Mode Analysis</w:t>
      </w:r>
    </w:p>
    <w:p>
      <w:pPr>
        <w:spacing w:after="120" w:line="252" w:lineRule="auto"/>
      </w:pPr>
      <w:r>
        <w:t>Table 16 reviews failure modes analytically.</w:t>
      </w:r>
    </w:p>
    <w:p>
      <w:pPr>
        <w:spacing w:before="160" w:after="60"/>
        <w:jc w:val="center"/>
      </w:pPr>
      <w:r>
        <w:rPr>
          <w:b/>
          <w:sz w:val="17"/>
        </w:rPr>
        <w:t>TABLE 16. FAILURE-MODE REVIEW (ANALYTICAL)</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Failure mode</w:t>
            </w:r>
          </w:p>
        </w:tc>
        <w:tc>
          <w:tcPr>
            <w:tcW w:type="dxa" w:w="2520"/>
            <w:shd w:val="clear" w:color="auto" w:fill="1E293B"/>
          </w:tcPr>
          <w:p>
            <w:r>
              <w:rPr>
                <w:b/>
                <w:color w:val="FFFFFF"/>
                <w:sz w:val="16"/>
              </w:rPr>
              <w:t>Severity</w:t>
            </w:r>
          </w:p>
        </w:tc>
        <w:tc>
          <w:tcPr>
            <w:tcW w:type="dxa" w:w="2520"/>
            <w:shd w:val="clear" w:color="auto" w:fill="1E293B"/>
          </w:tcPr>
          <w:p>
            <w:r>
              <w:rPr>
                <w:b/>
                <w:color w:val="FFFFFF"/>
                <w:sz w:val="16"/>
              </w:rPr>
              <w:t>Mitigation / detection</w:t>
            </w:r>
          </w:p>
        </w:tc>
        <w:tc>
          <w:tcPr>
            <w:tcW w:type="dxa" w:w="2520"/>
            <w:shd w:val="clear" w:color="auto" w:fill="1E293B"/>
          </w:tcPr>
          <w:p>
            <w:r>
              <w:rPr>
                <w:b/>
                <w:color w:val="FFFFFF"/>
                <w:sz w:val="16"/>
              </w:rPr>
              <w:t>Status</w:t>
            </w:r>
          </w:p>
        </w:tc>
      </w:tr>
      <w:tr>
        <w:tc>
          <w:tcPr>
            <w:tcW w:type="dxa" w:w="2520"/>
            <w:shd w:val="clear" w:color="auto" w:fill="FFFFFF"/>
          </w:tcPr>
          <w:p>
            <w:r>
              <w:rPr>
                <w:sz w:val="16"/>
              </w:rPr>
              <w:t>Emergency phrased outside rules</w:t>
            </w:r>
          </w:p>
        </w:tc>
        <w:tc>
          <w:tcPr>
            <w:tcW w:type="dxa" w:w="2520"/>
            <w:shd w:val="clear" w:color="auto" w:fill="FFFFFF"/>
          </w:tcPr>
          <w:p>
            <w:r>
              <w:rPr>
                <w:sz w:val="16"/>
              </w:rPr>
              <w:t>High</w:t>
            </w:r>
          </w:p>
        </w:tc>
        <w:tc>
          <w:tcPr>
            <w:tcW w:type="dxa" w:w="2520"/>
            <w:shd w:val="clear" w:color="auto" w:fill="FFFFFF"/>
          </w:tcPr>
          <w:p>
            <w:r>
              <w:rPr>
                <w:sz w:val="16"/>
              </w:rPr>
              <w:t>Rule expansion; multilingual red-teaming</w:t>
            </w:r>
          </w:p>
        </w:tc>
        <w:tc>
          <w:tcPr>
            <w:tcW w:type="dxa" w:w="2520"/>
            <w:shd w:val="clear" w:color="auto" w:fill="FFFFFF"/>
          </w:tcPr>
          <w:p>
            <w:r>
              <w:rPr>
                <w:sz w:val="16"/>
              </w:rPr>
              <w:t>Expanded (Hinglish/Tanglish)</w:t>
            </w:r>
          </w:p>
        </w:tc>
      </w:tr>
      <w:tr>
        <w:tc>
          <w:tcPr>
            <w:tcW w:type="dxa" w:w="2520"/>
            <w:shd w:val="clear" w:color="auto" w:fill="F8FAFC"/>
          </w:tcPr>
          <w:p>
            <w:r>
              <w:rPr>
                <w:sz w:val="16"/>
              </w:rPr>
              <w:t>Benign query diverted (HIT-10)</w:t>
            </w:r>
          </w:p>
        </w:tc>
        <w:tc>
          <w:tcPr>
            <w:tcW w:type="dxa" w:w="2520"/>
            <w:shd w:val="clear" w:color="auto" w:fill="F8FAFC"/>
          </w:tcPr>
          <w:p>
            <w:r>
              <w:rPr>
                <w:sz w:val="16"/>
              </w:rPr>
              <w:t>Low</w:t>
            </w:r>
          </w:p>
        </w:tc>
        <w:tc>
          <w:tcPr>
            <w:tcW w:type="dxa" w:w="2520"/>
            <w:shd w:val="clear" w:color="auto" w:fill="F8FAFC"/>
          </w:tcPr>
          <w:p>
            <w:r>
              <w:rPr>
                <w:sz w:val="16"/>
              </w:rPr>
              <w:t>Context-aware dosing regex</w:t>
            </w:r>
          </w:p>
        </w:tc>
        <w:tc>
          <w:tcPr>
            <w:tcW w:type="dxa" w:w="2520"/>
            <w:shd w:val="clear" w:color="auto" w:fill="F8FAFC"/>
          </w:tcPr>
          <w:p>
            <w:r>
              <w:rPr>
                <w:sz w:val="16"/>
              </w:rPr>
              <w:t>Resolved</w:t>
            </w:r>
          </w:p>
        </w:tc>
      </w:tr>
      <w:tr>
        <w:tc>
          <w:tcPr>
            <w:tcW w:type="dxa" w:w="2520"/>
            <w:shd w:val="clear" w:color="auto" w:fill="FFFFFF"/>
          </w:tcPr>
          <w:p>
            <w:r>
              <w:rPr>
                <w:sz w:val="16"/>
              </w:rPr>
              <w:t>Nearest neighbour in adjacent cluster</w:t>
            </w:r>
          </w:p>
        </w:tc>
        <w:tc>
          <w:tcPr>
            <w:tcW w:type="dxa" w:w="2520"/>
            <w:shd w:val="clear" w:color="auto" w:fill="FFFFFF"/>
          </w:tcPr>
          <w:p>
            <w:r>
              <w:rPr>
                <w:sz w:val="16"/>
              </w:rPr>
              <w:t>Low</w:t>
            </w:r>
          </w:p>
        </w:tc>
        <w:tc>
          <w:tcPr>
            <w:tcW w:type="dxa" w:w="2520"/>
            <w:shd w:val="clear" w:color="auto" w:fill="FFFFFF"/>
          </w:tcPr>
          <w:p>
            <w:r>
              <w:rPr>
                <w:sz w:val="16"/>
              </w:rPr>
              <w:t>Falls to safe refusal; multi-cluster probe</w:t>
            </w:r>
          </w:p>
        </w:tc>
        <w:tc>
          <w:tcPr>
            <w:tcW w:type="dxa" w:w="2520"/>
            <w:shd w:val="clear" w:color="auto" w:fill="FFFFFF"/>
          </w:tcPr>
          <w:p>
            <w:r>
              <w:rPr>
                <w:sz w:val="16"/>
              </w:rPr>
              <w:t>Design invariant</w:t>
            </w:r>
          </w:p>
        </w:tc>
      </w:tr>
      <w:tr>
        <w:tc>
          <w:tcPr>
            <w:tcW w:type="dxa" w:w="2520"/>
            <w:shd w:val="clear" w:color="auto" w:fill="F8FAFC"/>
          </w:tcPr>
          <w:p>
            <w:r>
              <w:rPr>
                <w:sz w:val="16"/>
              </w:rPr>
              <w:t>Wrong approved answer returned</w:t>
            </w:r>
          </w:p>
        </w:tc>
        <w:tc>
          <w:tcPr>
            <w:tcW w:type="dxa" w:w="2520"/>
            <w:shd w:val="clear" w:color="auto" w:fill="F8FAFC"/>
          </w:tcPr>
          <w:p>
            <w:r>
              <w:rPr>
                <w:sz w:val="16"/>
              </w:rPr>
              <w:t>High</w:t>
            </w:r>
          </w:p>
        </w:tc>
        <w:tc>
          <w:tcPr>
            <w:tcW w:type="dxa" w:w="2520"/>
            <w:shd w:val="clear" w:color="auto" w:fill="F8FAFC"/>
          </w:tcPr>
          <w:p>
            <w:r>
              <w:rPr>
                <w:sz w:val="16"/>
              </w:rPr>
              <w:t>Threshold; human approval; frame verifier</w:t>
            </w:r>
          </w:p>
        </w:tc>
        <w:tc>
          <w:tcPr>
            <w:tcW w:type="dxa" w:w="2520"/>
            <w:shd w:val="clear" w:color="auto" w:fill="F8FAFC"/>
          </w:tcPr>
          <w:p>
            <w:r>
              <w:rPr>
                <w:sz w:val="16"/>
              </w:rPr>
              <w:t>Not observed (0/32)</w:t>
            </w:r>
          </w:p>
        </w:tc>
      </w:tr>
      <w:tr>
        <w:tc>
          <w:tcPr>
            <w:tcW w:type="dxa" w:w="2520"/>
            <w:shd w:val="clear" w:color="auto" w:fill="FFFFFF"/>
          </w:tcPr>
          <w:p>
            <w:r>
              <w:rPr>
                <w:sz w:val="16"/>
              </w:rPr>
              <w:t>Cold start delays reply</w:t>
            </w:r>
          </w:p>
        </w:tc>
        <w:tc>
          <w:tcPr>
            <w:tcW w:type="dxa" w:w="2520"/>
            <w:shd w:val="clear" w:color="auto" w:fill="FFFFFF"/>
          </w:tcPr>
          <w:p>
            <w:r>
              <w:rPr>
                <w:sz w:val="16"/>
              </w:rPr>
              <w:t>Medium</w:t>
            </w:r>
          </w:p>
        </w:tc>
        <w:tc>
          <w:tcPr>
            <w:tcW w:type="dxa" w:w="2520"/>
            <w:shd w:val="clear" w:color="auto" w:fill="FFFFFF"/>
          </w:tcPr>
          <w:p>
            <w:r>
              <w:rPr>
                <w:sz w:val="16"/>
              </w:rPr>
              <w:t>Eager init; SnapStart; warm-up</w:t>
            </w:r>
          </w:p>
        </w:tc>
        <w:tc>
          <w:tcPr>
            <w:tcW w:type="dxa" w:w="2520"/>
            <w:shd w:val="clear" w:color="auto" w:fill="FFFFFF"/>
          </w:tcPr>
          <w:p>
            <w:r>
              <w:rPr>
                <w:sz w:val="16"/>
              </w:rPr>
              <w:t>Observed</w:t>
            </w:r>
          </w:p>
        </w:tc>
      </w:tr>
      <w:tr>
        <w:tc>
          <w:tcPr>
            <w:tcW w:type="dxa" w:w="2520"/>
            <w:shd w:val="clear" w:color="auto" w:fill="F8FAFC"/>
          </w:tcPr>
          <w:p>
            <w:r>
              <w:rPr>
                <w:sz w:val="16"/>
              </w:rPr>
              <w:t>Audit digest reversed by guessing</w:t>
            </w:r>
          </w:p>
        </w:tc>
        <w:tc>
          <w:tcPr>
            <w:tcW w:type="dxa" w:w="2520"/>
            <w:shd w:val="clear" w:color="auto" w:fill="F8FAFC"/>
          </w:tcPr>
          <w:p>
            <w:r>
              <w:rPr>
                <w:sz w:val="16"/>
              </w:rPr>
              <w:t>Medium</w:t>
            </w:r>
          </w:p>
        </w:tc>
        <w:tc>
          <w:tcPr>
            <w:tcW w:type="dxa" w:w="2520"/>
            <w:shd w:val="clear" w:color="auto" w:fill="F8FAFC"/>
          </w:tcPr>
          <w:p>
            <w:r>
              <w:rPr>
                <w:sz w:val="16"/>
              </w:rPr>
              <w:t>Keyed HMAC-SHA256 with KMS secret</w:t>
            </w:r>
          </w:p>
        </w:tc>
        <w:tc>
          <w:tcPr>
            <w:tcW w:type="dxa" w:w="2520"/>
            <w:shd w:val="clear" w:color="auto" w:fill="F8FAFC"/>
          </w:tcPr>
          <w:p>
            <w:r>
              <w:rPr>
                <w:sz w:val="16"/>
              </w:rPr>
              <w:t>Implemented</w:t>
            </w:r>
          </w:p>
        </w:tc>
      </w:tr>
      <w:tr>
        <w:tc>
          <w:tcPr>
            <w:tcW w:type="dxa" w:w="2520"/>
            <w:shd w:val="clear" w:color="auto" w:fill="FFFFFF"/>
          </w:tcPr>
          <w:p>
            <w:r>
              <w:rPr>
                <w:sz w:val="16"/>
              </w:rPr>
              <w:t>SNS alert not delivered</w:t>
            </w:r>
          </w:p>
        </w:tc>
        <w:tc>
          <w:tcPr>
            <w:tcW w:type="dxa" w:w="2520"/>
            <w:shd w:val="clear" w:color="auto" w:fill="FFFFFF"/>
          </w:tcPr>
          <w:p>
            <w:r>
              <w:rPr>
                <w:sz w:val="16"/>
              </w:rPr>
              <w:t>High</w:t>
            </w:r>
          </w:p>
        </w:tc>
        <w:tc>
          <w:tcPr>
            <w:tcW w:type="dxa" w:w="2520"/>
            <w:shd w:val="clear" w:color="auto" w:fill="FFFFFF"/>
          </w:tcPr>
          <w:p>
            <w:r>
              <w:rPr>
                <w:sz w:val="16"/>
              </w:rPr>
              <w:t>Delivery monitoring; retry</w:t>
            </w:r>
          </w:p>
        </w:tc>
        <w:tc>
          <w:tcPr>
            <w:tcW w:type="dxa" w:w="2520"/>
            <w:shd w:val="clear" w:color="auto" w:fill="FFFFFF"/>
          </w:tcPr>
          <w:p>
            <w:r>
              <w:rPr>
                <w:sz w:val="16"/>
              </w:rPr>
              <w:t>Verified in staging</w:t>
            </w:r>
          </w:p>
        </w:tc>
      </w:tr>
      <w:tr>
        <w:tc>
          <w:tcPr>
            <w:tcW w:type="dxa" w:w="2520"/>
            <w:shd w:val="clear" w:color="auto" w:fill="F8FAFC"/>
          </w:tcPr>
          <w:p>
            <w:r>
              <w:rPr>
                <w:sz w:val="16"/>
              </w:rPr>
              <w:t>Stale approved guidance</w:t>
            </w:r>
          </w:p>
        </w:tc>
        <w:tc>
          <w:tcPr>
            <w:tcW w:type="dxa" w:w="2520"/>
            <w:shd w:val="clear" w:color="auto" w:fill="F8FAFC"/>
          </w:tcPr>
          <w:p>
            <w:r>
              <w:rPr>
                <w:sz w:val="16"/>
              </w:rPr>
              <w:t>High</w:t>
            </w:r>
          </w:p>
        </w:tc>
        <w:tc>
          <w:tcPr>
            <w:tcW w:type="dxa" w:w="2520"/>
            <w:shd w:val="clear" w:color="auto" w:fill="F8FAFC"/>
          </w:tcPr>
          <w:p>
            <w:r>
              <w:rPr>
                <w:sz w:val="16"/>
              </w:rPr>
              <w:t>TTL by content volatility; tombstone check</w:t>
            </w:r>
          </w:p>
        </w:tc>
        <w:tc>
          <w:tcPr>
            <w:tcW w:type="dxa" w:w="2520"/>
            <w:shd w:val="clear" w:color="auto" w:fill="F8FAFC"/>
          </w:tcPr>
          <w:p>
            <w:r>
              <w:rPr>
                <w:sz w:val="16"/>
              </w:rPr>
              <w:t>Positioned</w:t>
            </w:r>
          </w:p>
        </w:tc>
      </w:tr>
    </w:tbl>
    <w:p>
      <w:pPr>
        <w:spacing w:after="80"/>
      </w:pPr>
    </w:p>
    <w:p>
      <w:pPr>
        <w:spacing w:before="180" w:after="40"/>
      </w:pPr>
      <w:r>
        <w:rPr>
          <w:b/>
          <w:i/>
          <w:sz w:val="20"/>
        </w:rPr>
        <w:t>C. Relation to Native DynamoDB Vector Search</w:t>
      </w:r>
    </w:p>
    <w:p>
      <w:pPr>
        <w:spacing w:after="120" w:line="252" w:lineRule="auto"/>
      </w:pPr>
      <w:r>
        <w:t>With DynamoDB native vector search available, our two-stage scheme serves as a transparent baseline keeping similarity computation and threshold semantics fully under application control.</w:t>
      </w:r>
    </w:p>
    <w:p>
      <w:pPr>
        <w:spacing w:before="180" w:after="40"/>
      </w:pPr>
      <w:r>
        <w:rPr>
          <w:b/>
          <w:i/>
          <w:sz w:val="20"/>
        </w:rPr>
        <w:t>D. Assurance Argument</w:t>
      </w:r>
    </w:p>
    <w:p>
      <w:pPr>
        <w:spacing w:after="120" w:line="252" w:lineRule="auto"/>
      </w:pPr>
      <w:r>
        <w:t>Table 17 maps claims to arguments and evidence strength.</w:t>
      </w:r>
    </w:p>
    <w:p>
      <w:pPr>
        <w:spacing w:before="160" w:after="60"/>
        <w:jc w:val="center"/>
      </w:pPr>
      <w:r>
        <w:rPr>
          <w:b/>
          <w:sz w:val="17"/>
        </w:rPr>
        <w:t>TABLE 17. CLAIMS, ARGUMENT AND EVIDENCE</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Claim</w:t>
            </w:r>
          </w:p>
        </w:tc>
        <w:tc>
          <w:tcPr>
            <w:tcW w:type="dxa" w:w="3360"/>
            <w:shd w:val="clear" w:color="auto" w:fill="1E293B"/>
          </w:tcPr>
          <w:p>
            <w:r>
              <w:rPr>
                <w:b/>
                <w:color w:val="FFFFFF"/>
                <w:sz w:val="16"/>
              </w:rPr>
              <w:t>Argument</w:t>
            </w:r>
          </w:p>
        </w:tc>
        <w:tc>
          <w:tcPr>
            <w:tcW w:type="dxa" w:w="3360"/>
            <w:shd w:val="clear" w:color="auto" w:fill="1E293B"/>
          </w:tcPr>
          <w:p>
            <w:r>
              <w:rPr>
                <w:b/>
                <w:color w:val="FFFFFF"/>
                <w:sz w:val="16"/>
              </w:rPr>
              <w:t>Evidence strength</w:t>
            </w:r>
          </w:p>
        </w:tc>
      </w:tr>
      <w:tr>
        <w:tc>
          <w:tcPr>
            <w:tcW w:type="dxa" w:w="3360"/>
            <w:shd w:val="clear" w:color="auto" w:fill="FFFFFF"/>
          </w:tcPr>
          <w:p>
            <w:r>
              <w:rPr>
                <w:sz w:val="16"/>
              </w:rPr>
              <w:t>Emergencies bypass cache</w:t>
            </w:r>
          </w:p>
        </w:tc>
        <w:tc>
          <w:tcPr>
            <w:tcW w:type="dxa" w:w="3360"/>
            <w:shd w:val="clear" w:color="auto" w:fill="FFFFFF"/>
          </w:tcPr>
          <w:p>
            <w:r>
              <w:rPr>
                <w:sz w:val="16"/>
              </w:rPr>
              <w:t>Gate precedes embedder in control flow</w:t>
            </w:r>
          </w:p>
        </w:tc>
        <w:tc>
          <w:tcPr>
            <w:tcW w:type="dxa" w:w="3360"/>
            <w:shd w:val="clear" w:color="auto" w:fill="FFFFFF"/>
          </w:tcPr>
          <w:p>
            <w:r>
              <w:rPr>
                <w:sz w:val="16"/>
              </w:rPr>
              <w:t>Strong (design) and 8/8 observed</w:t>
            </w:r>
          </w:p>
        </w:tc>
      </w:tr>
      <w:tr>
        <w:tc>
          <w:tcPr>
            <w:tcW w:type="dxa" w:w="3360"/>
            <w:shd w:val="clear" w:color="auto" w:fill="F8FAFC"/>
          </w:tcPr>
          <w:p>
            <w:r>
              <w:rPr>
                <w:sz w:val="16"/>
              </w:rPr>
              <w:t>No generated clinical text</w:t>
            </w:r>
          </w:p>
        </w:tc>
        <w:tc>
          <w:tcPr>
            <w:tcW w:type="dxa" w:w="3360"/>
            <w:shd w:val="clear" w:color="auto" w:fill="F8FAFC"/>
          </w:tcPr>
          <w:p>
            <w:r>
              <w:rPr>
                <w:sz w:val="16"/>
              </w:rPr>
              <w:t>Architecture has no generator at inference time</w:t>
            </w:r>
          </w:p>
        </w:tc>
        <w:tc>
          <w:tcPr>
            <w:tcW w:type="dxa" w:w="3360"/>
            <w:shd w:val="clear" w:color="auto" w:fill="F8FAFC"/>
          </w:tcPr>
          <w:p>
            <w:r>
              <w:rPr>
                <w:sz w:val="16"/>
              </w:rPr>
              <w:t>Strong (design invariant)</w:t>
            </w:r>
          </w:p>
        </w:tc>
      </w:tr>
      <w:tr>
        <w:tc>
          <w:tcPr>
            <w:tcW w:type="dxa" w:w="3360"/>
            <w:shd w:val="clear" w:color="auto" w:fill="FFFFFF"/>
          </w:tcPr>
          <w:p>
            <w:r>
              <w:rPr>
                <w:sz w:val="16"/>
              </w:rPr>
              <w:t>False hits are unlikely</w:t>
            </w:r>
          </w:p>
        </w:tc>
        <w:tc>
          <w:tcPr>
            <w:tcW w:type="dxa" w:w="3360"/>
            <w:shd w:val="clear" w:color="auto" w:fill="FFFFFF"/>
          </w:tcPr>
          <w:p>
            <w:r>
              <w:rPr>
                <w:sz w:val="16"/>
              </w:rPr>
              <w:t>Threshold 0.92, referral gate, approved-only status</w:t>
            </w:r>
          </w:p>
        </w:tc>
        <w:tc>
          <w:tcPr>
            <w:tcW w:type="dxa" w:w="3360"/>
            <w:shd w:val="clear" w:color="auto" w:fill="FFFFFF"/>
          </w:tcPr>
          <w:p>
            <w:r>
              <w:rPr>
                <w:sz w:val="16"/>
              </w:rPr>
              <w:t>Moderate: 0/32 (Requires N=299 test)</w:t>
            </w:r>
          </w:p>
        </w:tc>
      </w:tr>
      <w:tr>
        <w:tc>
          <w:tcPr>
            <w:tcW w:type="dxa" w:w="3360"/>
            <w:shd w:val="clear" w:color="auto" w:fill="F8FAFC"/>
          </w:tcPr>
          <w:p>
            <w:r>
              <w:rPr>
                <w:sz w:val="16"/>
              </w:rPr>
              <w:t>No PHI at rest in audited stores</w:t>
            </w:r>
          </w:p>
        </w:tc>
        <w:tc>
          <w:tcPr>
            <w:tcW w:type="dxa" w:w="3360"/>
            <w:shd w:val="clear" w:color="auto" w:fill="F8FAFC"/>
          </w:tcPr>
          <w:p>
            <w:r>
              <w:rPr>
                <w:sz w:val="16"/>
              </w:rPr>
              <w:t>Keyed HMAC digest-only writes</w:t>
            </w:r>
          </w:p>
        </w:tc>
        <w:tc>
          <w:tcPr>
            <w:tcW w:type="dxa" w:w="3360"/>
            <w:shd w:val="clear" w:color="auto" w:fill="F8FAFC"/>
          </w:tcPr>
          <w:p>
            <w:r>
              <w:rPr>
                <w:sz w:val="16"/>
              </w:rPr>
              <w:t>Strong: verified by log inspection</w:t>
            </w:r>
          </w:p>
        </w:tc>
      </w:tr>
      <w:tr>
        <w:tc>
          <w:tcPr>
            <w:tcW w:type="dxa" w:w="3360"/>
            <w:shd w:val="clear" w:color="auto" w:fill="FFFFFF"/>
          </w:tcPr>
          <w:p>
            <w:r>
              <w:rPr>
                <w:sz w:val="16"/>
              </w:rPr>
              <w:t>Zero idle cost</w:t>
            </w:r>
          </w:p>
        </w:tc>
        <w:tc>
          <w:tcPr>
            <w:tcW w:type="dxa" w:w="3360"/>
            <w:shd w:val="clear" w:color="auto" w:fill="FFFFFF"/>
          </w:tcPr>
          <w:p>
            <w:r>
              <w:rPr>
                <w:sz w:val="16"/>
              </w:rPr>
              <w:t>Serverless billing; scale-to-zero compute</w:t>
            </w:r>
          </w:p>
        </w:tc>
        <w:tc>
          <w:tcPr>
            <w:tcW w:type="dxa" w:w="3360"/>
            <w:shd w:val="clear" w:color="auto" w:fill="FFFFFF"/>
          </w:tcPr>
          <w:p>
            <w:r>
              <w:rPr>
                <w:sz w:val="16"/>
              </w:rPr>
              <w:t>Strong: verified AWS list prices</w:t>
            </w:r>
          </w:p>
        </w:tc>
      </w:tr>
    </w:tbl>
    <w:p>
      <w:pPr>
        <w:spacing w:after="80"/>
      </w:pPr>
    </w:p>
    <w:p>
      <w:pPr>
        <w:spacing w:before="180" w:after="40"/>
      </w:pPr>
      <w:r>
        <w:rPr>
          <w:b/>
          <w:i/>
          <w:sz w:val="20"/>
        </w:rPr>
        <w:t>E. Deployment Guidance for Low-Resource Settings</w:t>
      </w:r>
    </w:p>
    <w:p>
      <w:pPr>
        <w:spacing w:after="120" w:line="252" w:lineRule="auto"/>
      </w:pPr>
      <w:r>
        <w:t>For community clinics, use as an informational triage layer. Curate high-quality answers with clinician sign-off dates and verify emergency numbers locally.</w:t>
      </w:r>
    </w:p>
    <w:p>
      <w:pPr>
        <w:spacing w:before="180" w:after="40"/>
      </w:pPr>
      <w:r>
        <w:rPr>
          <w:b/>
          <w:i/>
          <w:sz w:val="20"/>
        </w:rPr>
        <w:t>F. Ethical and Regulatory Considerations</w:t>
      </w:r>
    </w:p>
    <w:p>
      <w:pPr>
        <w:spacing w:after="120" w:line="252" w:lineRule="auto"/>
      </w:pPr>
      <w:r>
        <w:t>The system is not a diagnostic device. Output is general health information. HMAC logging supports data minimization under DPDP Act 2023 and HIPAA principles.</w:t>
      </w:r>
    </w:p>
    <w:p>
      <w:pPr>
        <w:spacing w:before="180" w:after="40"/>
      </w:pPr>
      <w:r>
        <w:rPr>
          <w:b/>
          <w:i/>
          <w:sz w:val="20"/>
        </w:rPr>
        <w:t>G. Comparison with Reported Metrics of Related Systems</w:t>
      </w:r>
    </w:p>
    <w:p>
      <w:pPr>
        <w:spacing w:after="120" w:line="252" w:lineRule="auto"/>
      </w:pPr>
      <w:r>
        <w:t>Table 18 places reported metrics beside related literature for context.</w:t>
      </w:r>
    </w:p>
    <w:p>
      <w:pPr>
        <w:spacing w:before="160" w:after="60"/>
        <w:jc w:val="center"/>
      </w:pPr>
      <w:r>
        <w:rPr>
          <w:b/>
          <w:sz w:val="17"/>
        </w:rPr>
        <w:t>TABLE 18. REPORTED METRICS (NOT DIRECTLY COMPARABLE)</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Source</w:t>
            </w:r>
          </w:p>
        </w:tc>
        <w:tc>
          <w:tcPr>
            <w:tcW w:type="dxa" w:w="3360"/>
            <w:shd w:val="clear" w:color="auto" w:fill="1E293B"/>
          </w:tcPr>
          <w:p>
            <w:r>
              <w:rPr>
                <w:b/>
                <w:color w:val="FFFFFF"/>
                <w:sz w:val="16"/>
              </w:rPr>
              <w:t>Reported figure</w:t>
            </w:r>
          </w:p>
        </w:tc>
        <w:tc>
          <w:tcPr>
            <w:tcW w:type="dxa" w:w="3360"/>
            <w:shd w:val="clear" w:color="auto" w:fill="1E293B"/>
          </w:tcPr>
          <w:p>
            <w:r>
              <w:rPr>
                <w:b/>
                <w:color w:val="FFFFFF"/>
                <w:sz w:val="16"/>
              </w:rPr>
              <w:t>This work</w:t>
            </w:r>
          </w:p>
        </w:tc>
      </w:tr>
      <w:tr>
        <w:tc>
          <w:tcPr>
            <w:tcW w:type="dxa" w:w="3360"/>
            <w:shd w:val="clear" w:color="auto" w:fill="FFFFFF"/>
          </w:tcPr>
          <w:p>
            <w:r>
              <w:rPr>
                <w:sz w:val="16"/>
              </w:rPr>
              <w:t>Semantic redundancy [11]</w:t>
            </w:r>
          </w:p>
        </w:tc>
        <w:tc>
          <w:tcPr>
            <w:tcW w:type="dxa" w:w="3360"/>
            <w:shd w:val="clear" w:color="auto" w:fill="FFFFFF"/>
          </w:tcPr>
          <w:p>
            <w:r>
              <w:rPr>
                <w:sz w:val="16"/>
              </w:rPr>
              <w:t>About 31% of queries semantically similar</w:t>
            </w:r>
          </w:p>
        </w:tc>
        <w:tc>
          <w:tcPr>
            <w:tcW w:type="dxa" w:w="3360"/>
            <w:shd w:val="clear" w:color="auto" w:fill="FFFFFF"/>
          </w:tcPr>
          <w:p>
            <w:r>
              <w:rPr>
                <w:sz w:val="16"/>
              </w:rPr>
              <w:t>Workload dependent</w:t>
            </w:r>
          </w:p>
        </w:tc>
      </w:tr>
      <w:tr>
        <w:tc>
          <w:tcPr>
            <w:tcW w:type="dxa" w:w="3360"/>
            <w:shd w:val="clear" w:color="auto" w:fill="F8FAFC"/>
          </w:tcPr>
          <w:p>
            <w:r>
              <w:rPr>
                <w:sz w:val="16"/>
              </w:rPr>
              <w:t>Embedding semantic cache [19]</w:t>
            </w:r>
          </w:p>
        </w:tc>
        <w:tc>
          <w:tcPr>
            <w:tcW w:type="dxa" w:w="3360"/>
            <w:shd w:val="clear" w:color="auto" w:fill="F8FAFC"/>
          </w:tcPr>
          <w:p>
            <w:r>
              <w:rPr>
                <w:sz w:val="16"/>
              </w:rPr>
              <w:t>61.6–68.8% hit rate; 97%+ accuracy</w:t>
            </w:r>
          </w:p>
        </w:tc>
        <w:tc>
          <w:tcPr>
            <w:tcW w:type="dxa" w:w="3360"/>
            <w:shd w:val="clear" w:color="auto" w:fill="F8FAFC"/>
          </w:tcPr>
          <w:p>
            <w:r>
              <w:rPr>
                <w:sz w:val="16"/>
              </w:rPr>
              <w:t>9/10 candidate routing; curated suite</w:t>
            </w:r>
          </w:p>
        </w:tc>
      </w:tr>
      <w:tr>
        <w:tc>
          <w:tcPr>
            <w:tcW w:type="dxa" w:w="3360"/>
            <w:shd w:val="clear" w:color="auto" w:fill="FFFFFF"/>
          </w:tcPr>
          <w:p>
            <w:r>
              <w:rPr>
                <w:sz w:val="16"/>
              </w:rPr>
              <w:t>Multi-turn cache [16]</w:t>
            </w:r>
          </w:p>
        </w:tc>
        <w:tc>
          <w:tcPr>
            <w:tcW w:type="dxa" w:w="3360"/>
            <w:shd w:val="clear" w:color="auto" w:fill="FFFFFF"/>
          </w:tcPr>
          <w:p>
            <w:r>
              <w:rPr>
                <w:sz w:val="16"/>
              </w:rPr>
              <w:t>+10.9% precision, +14.8% recall vs GPTCache</w:t>
            </w:r>
          </w:p>
        </w:tc>
        <w:tc>
          <w:tcPr>
            <w:tcW w:type="dxa" w:w="3360"/>
            <w:shd w:val="clear" w:color="auto" w:fill="FFFFFF"/>
          </w:tcPr>
          <w:p>
            <w:r>
              <w:rPr>
                <w:sz w:val="16"/>
              </w:rPr>
              <w:t>Single-turn focus</w:t>
            </w:r>
          </w:p>
        </w:tc>
      </w:tr>
      <w:tr>
        <w:tc>
          <w:tcPr>
            <w:tcW w:type="dxa" w:w="3360"/>
            <w:shd w:val="clear" w:color="auto" w:fill="F8FAFC"/>
          </w:tcPr>
          <w:p>
            <w:r>
              <w:rPr>
                <w:sz w:val="16"/>
              </w:rPr>
              <w:t>Medical embeddings [23]</w:t>
            </w:r>
          </w:p>
        </w:tc>
        <w:tc>
          <w:tcPr>
            <w:tcW w:type="dxa" w:w="3360"/>
            <w:shd w:val="clear" w:color="auto" w:fill="F8FAFC"/>
          </w:tcPr>
          <w:p>
            <w:r>
              <w:rPr>
                <w:sz w:val="16"/>
              </w:rPr>
              <w:t>About 2% precision gain on medical queries</w:t>
            </w:r>
          </w:p>
        </w:tc>
        <w:tc>
          <w:tcPr>
            <w:tcW w:type="dxa" w:w="3360"/>
            <w:shd w:val="clear" w:color="auto" w:fill="F8FAFC"/>
          </w:tcPr>
          <w:p>
            <w:r>
              <w:rPr>
                <w:sz w:val="16"/>
              </w:rPr>
              <w:t>Quantized INT8 MiniLM baseline</w:t>
            </w:r>
          </w:p>
        </w:tc>
      </w:tr>
      <w:tr>
        <w:tc>
          <w:tcPr>
            <w:tcW w:type="dxa" w:w="3360"/>
            <w:shd w:val="clear" w:color="auto" w:fill="FFFFFF"/>
          </w:tcPr>
          <w:p>
            <w:r>
              <w:rPr>
                <w:sz w:val="16"/>
              </w:rPr>
              <w:t>Clinical false-hit rate</w:t>
            </w:r>
          </w:p>
        </w:tc>
        <w:tc>
          <w:tcPr>
            <w:tcW w:type="dxa" w:w="3360"/>
            <w:shd w:val="clear" w:color="auto" w:fill="FFFFFF"/>
          </w:tcPr>
          <w:p>
            <w:r>
              <w:rPr>
                <w:sz w:val="16"/>
              </w:rPr>
              <w:t>Not found in scoping survey</w:t>
            </w:r>
          </w:p>
        </w:tc>
        <w:tc>
          <w:tcPr>
            <w:tcW w:type="dxa" w:w="3360"/>
            <w:shd w:val="clear" w:color="auto" w:fill="FFFFFF"/>
          </w:tcPr>
          <w:p>
            <w:r>
              <w:rPr>
                <w:sz w:val="16"/>
              </w:rPr>
              <w:t>0/32; upper bound 10.9%</w:t>
            </w:r>
          </w:p>
        </w:tc>
      </w:tr>
      <w:tr>
        <w:tc>
          <w:tcPr>
            <w:tcW w:type="dxa" w:w="3360"/>
            <w:shd w:val="clear" w:color="auto" w:fill="F8FAFC"/>
          </w:tcPr>
          <w:p>
            <w:r>
              <w:rPr>
                <w:sz w:val="16"/>
              </w:rPr>
              <w:t>Cold-start and latency on Lambda</w:t>
            </w:r>
          </w:p>
        </w:tc>
        <w:tc>
          <w:tcPr>
            <w:tcW w:type="dxa" w:w="3360"/>
            <w:shd w:val="clear" w:color="auto" w:fill="F8FAFC"/>
          </w:tcPr>
          <w:p>
            <w:r>
              <w:rPr>
                <w:sz w:val="16"/>
              </w:rPr>
              <w:t>Not found for clinical cache</w:t>
            </w:r>
          </w:p>
        </w:tc>
        <w:tc>
          <w:tcPr>
            <w:tcW w:type="dxa" w:w="3360"/>
            <w:shd w:val="clear" w:color="auto" w:fill="F8FAFC"/>
          </w:tcPr>
          <w:p>
            <w:r>
              <w:rPr>
                <w:sz w:val="16"/>
              </w:rPr>
              <w:t>211.4 ms median server latency</w:t>
            </w:r>
          </w:p>
        </w:tc>
      </w:tr>
    </w:tbl>
    <w:p>
      <w:pPr>
        <w:spacing w:after="80"/>
      </w:pPr>
    </w:p>
    <w:p>
      <w:pPr>
        <w:spacing w:before="180" w:after="40"/>
      </w:pPr>
      <w:r>
        <w:rPr>
          <w:b/>
          <w:i/>
          <w:sz w:val="20"/>
        </w:rPr>
        <w:t>H. Illustrative Walkthroughs of Response States</w:t>
      </w:r>
    </w:p>
    <w:p>
      <w:pPr>
        <w:spacing w:after="120" w:line="252" w:lineRule="auto"/>
      </w:pPr>
      <w:r>
        <w:t>The system executes five explicit states: emergency advisory with tel:112 action, professional referral, cache hit with provenance, controlled miss with refusal, and error state.</w:t>
      </w:r>
    </w:p>
    <w:p>
      <w:pPr>
        <w:spacing w:before="180" w:after="40"/>
      </w:pPr>
      <w:r>
        <w:rPr>
          <w:b/>
          <w:i/>
          <w:sz w:val="20"/>
        </w:rPr>
        <w:t>I. Operational Recommendations</w:t>
      </w:r>
    </w:p>
    <w:p>
      <w:pPr>
        <w:spacing w:after="120" w:line="252" w:lineRule="auto"/>
      </w:pPr>
      <w:r>
        <w:t>Table 19 summarizes operational alarms and controls.</w:t>
      </w:r>
    </w:p>
    <w:p>
      <w:pPr>
        <w:spacing w:before="160" w:after="60"/>
        <w:jc w:val="center"/>
      </w:pPr>
      <w:r>
        <w:rPr>
          <w:b/>
          <w:sz w:val="17"/>
        </w:rPr>
        <w:t>TABLE 19. RECOMMENDED OPERATIONAL CONTROLS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Signal</w:t>
            </w:r>
          </w:p>
        </w:tc>
        <w:tc>
          <w:tcPr>
            <w:tcW w:type="dxa" w:w="3360"/>
            <w:shd w:val="clear" w:color="auto" w:fill="1E293B"/>
          </w:tcPr>
          <w:p>
            <w:r>
              <w:rPr>
                <w:b/>
                <w:color w:val="FFFFFF"/>
                <w:sz w:val="16"/>
              </w:rPr>
              <w:t>Suggested alarm</w:t>
            </w:r>
          </w:p>
        </w:tc>
        <w:tc>
          <w:tcPr>
            <w:tcW w:type="dxa" w:w="3360"/>
            <w:shd w:val="clear" w:color="auto" w:fill="1E293B"/>
          </w:tcPr>
          <w:p>
            <w:r>
              <w:rPr>
                <w:b/>
                <w:color w:val="FFFFFF"/>
                <w:sz w:val="16"/>
              </w:rPr>
              <w:t>Action</w:t>
            </w:r>
          </w:p>
        </w:tc>
      </w:tr>
      <w:tr>
        <w:tc>
          <w:tcPr>
            <w:tcW w:type="dxa" w:w="3360"/>
            <w:shd w:val="clear" w:color="auto" w:fill="FFFFFF"/>
          </w:tcPr>
          <w:p>
            <w:r>
              <w:rPr>
                <w:sz w:val="16"/>
              </w:rPr>
              <w:t>Lambda error rate</w:t>
            </w:r>
          </w:p>
        </w:tc>
        <w:tc>
          <w:tcPr>
            <w:tcW w:type="dxa" w:w="3360"/>
            <w:shd w:val="clear" w:color="auto" w:fill="FFFFFF"/>
          </w:tcPr>
          <w:p>
            <w:r>
              <w:rPr>
                <w:sz w:val="16"/>
              </w:rPr>
              <w:t>Alarm above small baseline</w:t>
            </w:r>
          </w:p>
        </w:tc>
        <w:tc>
          <w:tcPr>
            <w:tcW w:type="dxa" w:w="3360"/>
            <w:shd w:val="clear" w:color="auto" w:fill="FFFFFF"/>
          </w:tcPr>
          <w:p>
            <w:r>
              <w:rPr>
                <w:sz w:val="16"/>
              </w:rPr>
              <w:t>Investigate; confirm error state shown</w:t>
            </w:r>
          </w:p>
        </w:tc>
      </w:tr>
      <w:tr>
        <w:tc>
          <w:tcPr>
            <w:tcW w:type="dxa" w:w="3360"/>
            <w:shd w:val="clear" w:color="auto" w:fill="F8FAFC"/>
          </w:tcPr>
          <w:p>
            <w:r>
              <w:rPr>
                <w:sz w:val="16"/>
              </w:rPr>
              <w:t>p95 server latency</w:t>
            </w:r>
          </w:p>
        </w:tc>
        <w:tc>
          <w:tcPr>
            <w:tcW w:type="dxa" w:w="3360"/>
            <w:shd w:val="clear" w:color="auto" w:fill="F8FAFC"/>
          </w:tcPr>
          <w:p>
            <w:r>
              <w:rPr>
                <w:sz w:val="16"/>
              </w:rPr>
              <w:t>Alarm above agreed bound</w:t>
            </w:r>
          </w:p>
        </w:tc>
        <w:tc>
          <w:tcPr>
            <w:tcW w:type="dxa" w:w="3360"/>
            <w:shd w:val="clear" w:color="auto" w:fill="F8FAFC"/>
          </w:tcPr>
          <w:p>
            <w:r>
              <w:rPr>
                <w:sz w:val="16"/>
              </w:rPr>
              <w:t>Check cold starts and DynamoDB throttling</w:t>
            </w:r>
          </w:p>
        </w:tc>
      </w:tr>
      <w:tr>
        <w:tc>
          <w:tcPr>
            <w:tcW w:type="dxa" w:w="3360"/>
            <w:shd w:val="clear" w:color="auto" w:fill="FFFFFF"/>
          </w:tcPr>
          <w:p>
            <w:r>
              <w:rPr>
                <w:sz w:val="16"/>
              </w:rPr>
              <w:t>SNS delivery failures</w:t>
            </w:r>
          </w:p>
        </w:tc>
        <w:tc>
          <w:tcPr>
            <w:tcW w:type="dxa" w:w="3360"/>
            <w:shd w:val="clear" w:color="auto" w:fill="FFFFFF"/>
          </w:tcPr>
          <w:p>
            <w:r>
              <w:rPr>
                <w:sz w:val="16"/>
              </w:rPr>
              <w:t>Any failed delivery</w:t>
            </w:r>
          </w:p>
        </w:tc>
        <w:tc>
          <w:tcPr>
            <w:tcW w:type="dxa" w:w="3360"/>
            <w:shd w:val="clear" w:color="auto" w:fill="FFFFFF"/>
          </w:tcPr>
          <w:p>
            <w:r>
              <w:rPr>
                <w:sz w:val="16"/>
              </w:rPr>
              <w:t>Escalate to on-call clinician contact</w:t>
            </w:r>
          </w:p>
        </w:tc>
      </w:tr>
      <w:tr>
        <w:tc>
          <w:tcPr>
            <w:tcW w:type="dxa" w:w="3360"/>
            <w:shd w:val="clear" w:color="auto" w:fill="F8FAFC"/>
          </w:tcPr>
          <w:p>
            <w:r>
              <w:rPr>
                <w:sz w:val="16"/>
              </w:rPr>
              <w:t>Review-queue age</w:t>
            </w:r>
          </w:p>
        </w:tc>
        <w:tc>
          <w:tcPr>
            <w:tcW w:type="dxa" w:w="3360"/>
            <w:shd w:val="clear" w:color="auto" w:fill="F8FAFC"/>
          </w:tcPr>
          <w:p>
            <w:r>
              <w:rPr>
                <w:sz w:val="16"/>
              </w:rPr>
              <w:t>Items older than review SLA</w:t>
            </w:r>
          </w:p>
        </w:tc>
        <w:tc>
          <w:tcPr>
            <w:tcW w:type="dxa" w:w="3360"/>
            <w:shd w:val="clear" w:color="auto" w:fill="F8FAFC"/>
          </w:tcPr>
          <w:p>
            <w:r>
              <w:rPr>
                <w:sz w:val="16"/>
              </w:rPr>
              <w:t>Assign reviewer; approve or reject</w:t>
            </w:r>
          </w:p>
        </w:tc>
      </w:tr>
      <w:tr>
        <w:tc>
          <w:tcPr>
            <w:tcW w:type="dxa" w:w="3360"/>
            <w:shd w:val="clear" w:color="auto" w:fill="FFFFFF"/>
          </w:tcPr>
          <w:p>
            <w:r>
              <w:rPr>
                <w:sz w:val="16"/>
              </w:rPr>
              <w:t>Rule or threshold change</w:t>
            </w:r>
          </w:p>
        </w:tc>
        <w:tc>
          <w:tcPr>
            <w:tcW w:type="dxa" w:w="3360"/>
            <w:shd w:val="clear" w:color="auto" w:fill="FFFFFF"/>
          </w:tcPr>
          <w:p>
            <w:r>
              <w:rPr>
                <w:sz w:val="16"/>
              </w:rPr>
              <w:t>Release gate</w:t>
            </w:r>
          </w:p>
        </w:tc>
        <w:tc>
          <w:tcPr>
            <w:tcW w:type="dxa" w:w="3360"/>
            <w:shd w:val="clear" w:color="auto" w:fill="FFFFFF"/>
          </w:tcPr>
          <w:p>
            <w:r>
              <w:rPr>
                <w:sz w:val="16"/>
              </w:rPr>
              <w:t>Require 8/8 and 6/6 plus negative regression set</w:t>
            </w:r>
          </w:p>
        </w:tc>
      </w:tr>
      <w:tr>
        <w:tc>
          <w:tcPr>
            <w:tcW w:type="dxa" w:w="3360"/>
            <w:shd w:val="clear" w:color="auto" w:fill="F8FAFC"/>
          </w:tcPr>
          <w:p>
            <w:r>
              <w:rPr>
                <w:sz w:val="16"/>
              </w:rPr>
              <w:t>Entry withdrawal</w:t>
            </w:r>
          </w:p>
        </w:tc>
        <w:tc>
          <w:tcPr>
            <w:tcW w:type="dxa" w:w="3360"/>
            <w:shd w:val="clear" w:color="auto" w:fill="F8FAFC"/>
          </w:tcPr>
          <w:p>
            <w:r>
              <w:rPr>
                <w:sz w:val="16"/>
              </w:rPr>
              <w:t>Post-change check</w:t>
            </w:r>
          </w:p>
        </w:tc>
        <w:tc>
          <w:tcPr>
            <w:tcW w:type="dxa" w:w="3360"/>
            <w:shd w:val="clear" w:color="auto" w:fill="F8FAFC"/>
          </w:tcPr>
          <w:p>
            <w:r>
              <w:rPr>
                <w:sz w:val="16"/>
              </w:rPr>
              <w:t>Confirm GSI propagation before closing</w:t>
            </w:r>
          </w:p>
        </w:tc>
      </w:tr>
      <w:tr>
        <w:tc>
          <w:tcPr>
            <w:tcW w:type="dxa" w:w="3360"/>
            <w:shd w:val="clear" w:color="auto" w:fill="FFFFFF"/>
          </w:tcPr>
          <w:p>
            <w:r>
              <w:rPr>
                <w:sz w:val="16"/>
              </w:rPr>
              <w:t>Budget forecast</w:t>
            </w:r>
          </w:p>
        </w:tc>
        <w:tc>
          <w:tcPr>
            <w:tcW w:type="dxa" w:w="3360"/>
            <w:shd w:val="clear" w:color="auto" w:fill="FFFFFF"/>
          </w:tcPr>
          <w:p>
            <w:r>
              <w:rPr>
                <w:sz w:val="16"/>
              </w:rPr>
              <w:t>USD 0.01 alarm (implemented)</w:t>
            </w:r>
          </w:p>
        </w:tc>
        <w:tc>
          <w:tcPr>
            <w:tcW w:type="dxa" w:w="3360"/>
            <w:shd w:val="clear" w:color="auto" w:fill="FFFFFF"/>
          </w:tcPr>
          <w:p>
            <w:r>
              <w:rPr>
                <w:sz w:val="16"/>
              </w:rPr>
              <w:t>Review usage and free-tier quotas</w:t>
            </w:r>
          </w:p>
        </w:tc>
      </w:tr>
    </w:tbl>
    <w:p>
      <w:pPr>
        <w:spacing w:after="80"/>
      </w:pPr>
    </w:p>
    <w:p>
      <w:pPr>
        <w:spacing w:before="180" w:after="40"/>
      </w:pPr>
      <w:r>
        <w:rPr>
          <w:b/>
          <w:i/>
          <w:sz w:val="20"/>
        </w:rPr>
        <w:t>J. Lessons Learned</w:t>
      </w:r>
    </w:p>
    <w:p>
      <w:pPr>
        <w:spacing w:after="120" w:line="252" w:lineRule="auto"/>
      </w:pPr>
      <w:r>
        <w:t>1. Put the irreversible decision first. 2. Prefer a refusal to a guess. 3. Conservative gates produce false positives. 4. Measure stages with disjoint timers. 5. Report confidence intervals, not only percentages.</w:t>
      </w:r>
    </w:p>
    <w:p>
      <w:pPr>
        <w:spacing w:before="180" w:after="40"/>
      </w:pPr>
      <w:r>
        <w:rPr>
          <w:b/>
          <w:i/>
          <w:sz w:val="20"/>
        </w:rPr>
        <w:t>K. Guidelines for Extending the Safety Gate</w:t>
      </w:r>
    </w:p>
    <w:p>
      <w:pPr>
        <w:spacing w:after="120" w:line="252" w:lineRule="auto"/>
      </w:pPr>
      <w:r>
        <w:t>Extend with normalization, symptom family coverage, code-mixed Indic lexicons, and two-sided positive/negative test sets.</w:t>
      </w:r>
    </w:p>
    <w:p>
      <w:pPr>
        <w:spacing w:before="180" w:after="40"/>
      </w:pPr>
      <w:r>
        <w:rPr>
          <w:b/>
          <w:i/>
          <w:sz w:val="20"/>
        </w:rPr>
        <w:t>L. Toward a Prospective Clinical Evaluation</w:t>
      </w:r>
    </w:p>
    <w:p>
      <w:pPr>
        <w:spacing w:after="120" w:line="252" w:lineRule="auto"/>
      </w:pPr>
      <w:r>
        <w:t>Requires a staged protocol: retrospective vignette evaluation with Cohen's kappa, shadow mode deployment, and supervised pilot with clinician oversight.</w:t>
      </w:r>
    </w:p>
    <w:p>
      <w:pPr>
        <w:spacing w:before="180" w:after="40"/>
      </w:pPr>
      <w:r>
        <w:rPr>
          <w:b/>
          <w:i/>
          <w:sz w:val="20"/>
        </w:rPr>
        <w:t>M. Positioning Against the Survey's Candidate Directions</w:t>
      </w:r>
    </w:p>
    <w:p>
      <w:pPr>
        <w:spacing w:after="120" w:line="252" w:lineRule="auto"/>
      </w:pPr>
      <w:r>
        <w:t>Table 20 details positioning against candidate survey directions.</w:t>
      </w:r>
    </w:p>
    <w:p>
      <w:pPr>
        <w:spacing w:before="160" w:after="60"/>
        <w:jc w:val="center"/>
      </w:pPr>
      <w:r>
        <w:rPr>
          <w:b/>
          <w:sz w:val="17"/>
        </w:rPr>
        <w:t>TABLE 20. RELATION TO THE SURVEY'S CANDIDATE DIRECTIONS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ID</w:t>
            </w:r>
          </w:p>
        </w:tc>
        <w:tc>
          <w:tcPr>
            <w:tcW w:type="dxa" w:w="3360"/>
            <w:shd w:val="clear" w:color="auto" w:fill="1E293B"/>
          </w:tcPr>
          <w:p>
            <w:r>
              <w:rPr>
                <w:b/>
                <w:color w:val="FFFFFF"/>
                <w:sz w:val="16"/>
              </w:rPr>
              <w:t>Question</w:t>
            </w:r>
          </w:p>
        </w:tc>
        <w:tc>
          <w:tcPr>
            <w:tcW w:type="dxa" w:w="3360"/>
            <w:shd w:val="clear" w:color="auto" w:fill="1E293B"/>
          </w:tcPr>
          <w:p>
            <w:r>
              <w:rPr>
                <w:b/>
                <w:color w:val="FFFFFF"/>
                <w:sz w:val="16"/>
              </w:rPr>
              <w:t>Status in this paper</w:t>
            </w:r>
          </w:p>
        </w:tc>
      </w:tr>
      <w:tr>
        <w:tc>
          <w:tcPr>
            <w:tcW w:type="dxa" w:w="3360"/>
            <w:shd w:val="clear" w:color="auto" w:fill="FFFFFF"/>
          </w:tcPr>
          <w:p>
            <w:r>
              <w:rPr>
                <w:sz w:val="16"/>
              </w:rPr>
              <w:t>A</w:t>
            </w:r>
          </w:p>
        </w:tc>
        <w:tc>
          <w:tcPr>
            <w:tcW w:type="dxa" w:w="3360"/>
            <w:shd w:val="clear" w:color="auto" w:fill="FFFFFF"/>
          </w:tcPr>
          <w:p>
            <w:r>
              <w:rPr>
                <w:sz w:val="16"/>
              </w:rPr>
              <w:t>Can a serverless semantic cache cut cost within free-tier limits?</w:t>
            </w:r>
          </w:p>
        </w:tc>
        <w:tc>
          <w:tcPr>
            <w:tcW w:type="dxa" w:w="3360"/>
            <w:shd w:val="clear" w:color="auto" w:fill="FFFFFF"/>
          </w:tcPr>
          <w:p>
            <w:r>
              <w:rPr>
                <w:sz w:val="16"/>
              </w:rPr>
              <w:t>Verified: USD 0.00 idle cost, linear compute scaling</w:t>
            </w:r>
          </w:p>
        </w:tc>
      </w:tr>
      <w:tr>
        <w:tc>
          <w:tcPr>
            <w:tcW w:type="dxa" w:w="3360"/>
            <w:shd w:val="clear" w:color="auto" w:fill="F8FAFC"/>
          </w:tcPr>
          <w:p>
            <w:r>
              <w:rPr>
                <w:sz w:val="16"/>
              </w:rPr>
              <w:t>B</w:t>
            </w:r>
          </w:p>
        </w:tc>
        <w:tc>
          <w:tcPr>
            <w:tcW w:type="dxa" w:w="3360"/>
            <w:shd w:val="clear" w:color="auto" w:fill="F8FAFC"/>
          </w:tcPr>
          <w:p>
            <w:r>
              <w:rPr>
                <w:sz w:val="16"/>
              </w:rPr>
              <w:t>After native DynamoDB vector search, what remains novel?</w:t>
            </w:r>
          </w:p>
        </w:tc>
        <w:tc>
          <w:tcPr>
            <w:tcW w:type="dxa" w:w="3360"/>
            <w:shd w:val="clear" w:color="auto" w:fill="F8FAFC"/>
          </w:tcPr>
          <w:p>
            <w:r>
              <w:rPr>
                <w:sz w:val="16"/>
              </w:rPr>
              <w:t>Positioned: safety gate, code-mixed triage, provenance, risk bounds</w:t>
            </w:r>
          </w:p>
        </w:tc>
      </w:tr>
      <w:tr>
        <w:tc>
          <w:tcPr>
            <w:tcW w:type="dxa" w:w="3360"/>
            <w:shd w:val="clear" w:color="auto" w:fill="FFFFFF"/>
          </w:tcPr>
          <w:p>
            <w:r>
              <w:rPr>
                <w:sz w:val="16"/>
              </w:rPr>
              <w:t>C</w:t>
            </w:r>
          </w:p>
        </w:tc>
        <w:tc>
          <w:tcPr>
            <w:tcW w:type="dxa" w:w="3360"/>
            <w:shd w:val="clear" w:color="auto" w:fill="FFFFFF"/>
          </w:tcPr>
          <w:p>
            <w:r>
              <w:rPr>
                <w:sz w:val="16"/>
              </w:rPr>
              <w:t>Is a quantized SLM an acceptable CPU-only Lambda fallback?</w:t>
            </w:r>
          </w:p>
        </w:tc>
        <w:tc>
          <w:tcPr>
            <w:tcW w:type="dxa" w:w="3360"/>
            <w:shd w:val="clear" w:color="auto" w:fill="FFFFFF"/>
          </w:tcPr>
          <w:p>
            <w:r>
              <w:rPr>
                <w:sz w:val="16"/>
              </w:rPr>
              <w:t>Deliberately rejected; safe refusal eliminates hallucination hazard</w:t>
            </w:r>
          </w:p>
        </w:tc>
      </w:tr>
      <w:tr>
        <w:tc>
          <w:tcPr>
            <w:tcW w:type="dxa" w:w="3360"/>
            <w:shd w:val="clear" w:color="auto" w:fill="F8FAFC"/>
          </w:tcPr>
          <w:p>
            <w:r>
              <w:rPr>
                <w:sz w:val="16"/>
              </w:rPr>
              <w:t>D</w:t>
            </w:r>
          </w:p>
        </w:tc>
        <w:tc>
          <w:tcPr>
            <w:tcW w:type="dxa" w:w="3360"/>
            <w:shd w:val="clear" w:color="auto" w:fill="F8FAFC"/>
          </w:tcPr>
          <w:p>
            <w:r>
              <w:rPr>
                <w:sz w:val="16"/>
              </w:rPr>
              <w:t>What is privacy and timing-leak profile of clinical cache?</w:t>
            </w:r>
          </w:p>
        </w:tc>
        <w:tc>
          <w:tcPr>
            <w:tcW w:type="dxa" w:w="3360"/>
            <w:shd w:val="clear" w:color="auto" w:fill="F8FAFC"/>
          </w:tcPr>
          <w:p>
            <w:r>
              <w:rPr>
                <w:sz w:val="16"/>
              </w:rPr>
              <w:t>HMAC audit measured; serverless timing leak characterized</w:t>
            </w:r>
          </w:p>
        </w:tc>
      </w:tr>
    </w:tbl>
    <w:p>
      <w:pPr>
        <w:spacing w:after="80"/>
      </w:pPr>
    </w:p>
    <w:p>
      <w:pPr>
        <w:spacing w:before="280" w:after="80"/>
      </w:pPr>
      <w:r>
        <w:rPr>
          <w:b/>
          <w:sz w:val="22"/>
        </w:rPr>
        <w:t>VIII. CLOUD COST AND GREEN-COMPUTING ANALYSIS</w:t>
      </w:r>
    </w:p>
    <w:p>
      <w:pPr>
        <w:spacing w:before="180" w:after="40"/>
      </w:pPr>
      <w:r>
        <w:rPr>
          <w:b/>
          <w:i/>
          <w:sz w:val="20"/>
        </w:rPr>
        <w:t>A. Cost</w:t>
      </w:r>
    </w:p>
    <w:p>
      <w:pPr>
        <w:spacing w:after="120" w:line="252" w:lineRule="auto"/>
      </w:pPr>
      <w:r>
        <w:t>Against dedicated vector clusters costing USD 30–100+/month, serverless scales to zero with USD 0.00 idle cost.</w:t>
      </w:r>
    </w:p>
    <w:p>
      <w:pPr>
        <w:spacing w:before="180" w:after="40"/>
      </w:pPr>
      <w:r>
        <w:rPr>
          <w:b/>
          <w:i/>
          <w:sz w:val="20"/>
        </w:rPr>
        <w:t>B. Illustrative Capacity Under Free-Tier Compute</w:t>
      </w:r>
    </w:p>
    <w:p>
      <w:pPr>
        <w:spacing w:after="120" w:line="252" w:lineRule="auto"/>
      </w:pPr>
      <w:r>
        <w:t>Table 21 provides exact capacity arithmetic under published AWS Lambda free-tier limits.</w:t>
      </w:r>
    </w:p>
    <w:p>
      <w:pPr>
        <w:spacing w:before="160" w:after="60"/>
        <w:jc w:val="center"/>
      </w:pPr>
      <w:r>
        <w:rPr>
          <w:b/>
          <w:sz w:val="17"/>
        </w:rPr>
        <w:t>TABLE 21. ILLUSTRATIVE LAMBDA FREE-TIER ARITHMETIC</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Quantity</w:t>
            </w:r>
          </w:p>
        </w:tc>
        <w:tc>
          <w:tcPr>
            <w:tcW w:type="dxa" w:w="3360"/>
            <w:shd w:val="clear" w:color="auto" w:fill="1E293B"/>
          </w:tcPr>
          <w:p>
            <w:r>
              <w:rPr>
                <w:b/>
                <w:color w:val="FFFFFF"/>
                <w:sz w:val="16"/>
              </w:rPr>
              <w:t>Value</w:t>
            </w:r>
          </w:p>
        </w:tc>
        <w:tc>
          <w:tcPr>
            <w:tcW w:type="dxa" w:w="3360"/>
            <w:shd w:val="clear" w:color="auto" w:fill="1E293B"/>
          </w:tcPr>
          <w:p>
            <w:r>
              <w:rPr>
                <w:b/>
                <w:color w:val="FFFFFF"/>
                <w:sz w:val="16"/>
              </w:rPr>
              <w:t>Note</w:t>
            </w:r>
          </w:p>
        </w:tc>
      </w:tr>
      <w:tr>
        <w:tc>
          <w:tcPr>
            <w:tcW w:type="dxa" w:w="3360"/>
            <w:shd w:val="clear" w:color="auto" w:fill="FFFFFF"/>
          </w:tcPr>
          <w:p>
            <w:r>
              <w:rPr>
                <w:sz w:val="16"/>
              </w:rPr>
              <w:t>Memory</w:t>
            </w:r>
          </w:p>
        </w:tc>
        <w:tc>
          <w:tcPr>
            <w:tcW w:type="dxa" w:w="3360"/>
            <w:shd w:val="clear" w:color="auto" w:fill="FFFFFF"/>
          </w:tcPr>
          <w:p>
            <w:r>
              <w:rPr>
                <w:sz w:val="16"/>
              </w:rPr>
              <w:t>0.5 GB</w:t>
            </w:r>
          </w:p>
        </w:tc>
        <w:tc>
          <w:tcPr>
            <w:tcW w:type="dxa" w:w="3360"/>
            <w:shd w:val="clear" w:color="auto" w:fill="FFFFFF"/>
          </w:tcPr>
          <w:p>
            <w:r>
              <w:rPr>
                <w:sz w:val="16"/>
              </w:rPr>
              <w:t>Configured (512 MB)</w:t>
            </w:r>
          </w:p>
        </w:tc>
      </w:tr>
      <w:tr>
        <w:tc>
          <w:tcPr>
            <w:tcW w:type="dxa" w:w="3360"/>
            <w:shd w:val="clear" w:color="auto" w:fill="F8FAFC"/>
          </w:tcPr>
          <w:p>
            <w:r>
              <w:rPr>
                <w:sz w:val="16"/>
              </w:rPr>
              <w:t>Median server time</w:t>
            </w:r>
          </w:p>
        </w:tc>
        <w:tc>
          <w:tcPr>
            <w:tcW w:type="dxa" w:w="3360"/>
            <w:shd w:val="clear" w:color="auto" w:fill="F8FAFC"/>
          </w:tcPr>
          <w:p>
            <w:r>
              <w:rPr>
                <w:sz w:val="16"/>
              </w:rPr>
              <w:t>0.2114 s</w:t>
            </w:r>
          </w:p>
        </w:tc>
        <w:tc>
          <w:tcPr>
            <w:tcW w:type="dxa" w:w="3360"/>
            <w:shd w:val="clear" w:color="auto" w:fill="F8FAFC"/>
          </w:tcPr>
          <w:p>
            <w:r>
              <w:rPr>
                <w:sz w:val="16"/>
              </w:rPr>
              <w:t>Measured (211.4 ms)</w:t>
            </w:r>
          </w:p>
        </w:tc>
      </w:tr>
      <w:tr>
        <w:tc>
          <w:tcPr>
            <w:tcW w:type="dxa" w:w="3360"/>
            <w:shd w:val="clear" w:color="auto" w:fill="FFFFFF"/>
          </w:tcPr>
          <w:p>
            <w:r>
              <w:rPr>
                <w:sz w:val="16"/>
              </w:rPr>
              <w:t>GB-s per median request</w:t>
            </w:r>
          </w:p>
        </w:tc>
        <w:tc>
          <w:tcPr>
            <w:tcW w:type="dxa" w:w="3360"/>
            <w:shd w:val="clear" w:color="auto" w:fill="FFFFFF"/>
          </w:tcPr>
          <w:p>
            <w:r>
              <w:rPr>
                <w:sz w:val="16"/>
              </w:rPr>
              <w:t>0.106</w:t>
            </w:r>
          </w:p>
        </w:tc>
        <w:tc>
          <w:tcPr>
            <w:tcW w:type="dxa" w:w="3360"/>
            <w:shd w:val="clear" w:color="auto" w:fill="FFFFFF"/>
          </w:tcPr>
          <w:p>
            <w:r>
              <w:rPr>
                <w:sz w:val="16"/>
              </w:rPr>
              <w:t>0.5 × 0.2114</w:t>
            </w:r>
          </w:p>
        </w:tc>
      </w:tr>
      <w:tr>
        <w:tc>
          <w:tcPr>
            <w:tcW w:type="dxa" w:w="3360"/>
            <w:shd w:val="clear" w:color="auto" w:fill="F8FAFC"/>
          </w:tcPr>
          <w:p>
            <w:r>
              <w:rPr>
                <w:sz w:val="16"/>
              </w:rPr>
              <w:t>GB-s per cold start</w:t>
            </w:r>
          </w:p>
        </w:tc>
        <w:tc>
          <w:tcPr>
            <w:tcW w:type="dxa" w:w="3360"/>
            <w:shd w:val="clear" w:color="auto" w:fill="F8FAFC"/>
          </w:tcPr>
          <w:p>
            <w:r>
              <w:rPr>
                <w:sz w:val="16"/>
              </w:rPr>
              <w:t>1.13</w:t>
            </w:r>
          </w:p>
        </w:tc>
        <w:tc>
          <w:tcPr>
            <w:tcW w:type="dxa" w:w="3360"/>
            <w:shd w:val="clear" w:color="auto" w:fill="F8FAFC"/>
          </w:tcPr>
          <w:p>
            <w:r>
              <w:rPr>
                <w:sz w:val="16"/>
              </w:rPr>
              <w:t>0.5 × 2.2657</w:t>
            </w:r>
          </w:p>
        </w:tc>
      </w:tr>
      <w:tr>
        <w:tc>
          <w:tcPr>
            <w:tcW w:type="dxa" w:w="3360"/>
            <w:shd w:val="clear" w:color="auto" w:fill="FFFFFF"/>
          </w:tcPr>
          <w:p>
            <w:r>
              <w:rPr>
                <w:sz w:val="16"/>
              </w:rPr>
              <w:t>Compute-bound requests / month</w:t>
            </w:r>
          </w:p>
        </w:tc>
        <w:tc>
          <w:tcPr>
            <w:tcW w:type="dxa" w:w="3360"/>
            <w:shd w:val="clear" w:color="auto" w:fill="FFFFFF"/>
          </w:tcPr>
          <w:p>
            <w:r>
              <w:rPr>
                <w:sz w:val="16"/>
              </w:rPr>
              <w:t>≈ 3.8 million</w:t>
            </w:r>
          </w:p>
        </w:tc>
        <w:tc>
          <w:tcPr>
            <w:tcW w:type="dxa" w:w="3360"/>
            <w:shd w:val="clear" w:color="auto" w:fill="FFFFFF"/>
          </w:tcPr>
          <w:p>
            <w:r>
              <w:rPr>
                <w:sz w:val="16"/>
              </w:rPr>
              <w:t>400,000 / 0.106</w:t>
            </w:r>
          </w:p>
        </w:tc>
      </w:tr>
      <w:tr>
        <w:tc>
          <w:tcPr>
            <w:tcW w:type="dxa" w:w="3360"/>
            <w:shd w:val="clear" w:color="auto" w:fill="F8FAFC"/>
          </w:tcPr>
          <w:p>
            <w:r>
              <w:rPr>
                <w:sz w:val="16"/>
              </w:rPr>
              <w:t>Request-bound requests / month</w:t>
            </w:r>
          </w:p>
        </w:tc>
        <w:tc>
          <w:tcPr>
            <w:tcW w:type="dxa" w:w="3360"/>
            <w:shd w:val="clear" w:color="auto" w:fill="F8FAFC"/>
          </w:tcPr>
          <w:p>
            <w:r>
              <w:rPr>
                <w:sz w:val="16"/>
              </w:rPr>
              <w:t>1,000,000</w:t>
            </w:r>
          </w:p>
        </w:tc>
        <w:tc>
          <w:tcPr>
            <w:tcW w:type="dxa" w:w="3360"/>
            <w:shd w:val="clear" w:color="auto" w:fill="F8FAFC"/>
          </w:tcPr>
          <w:p>
            <w:r>
              <w:rPr>
                <w:sz w:val="16"/>
              </w:rPr>
              <w:t>Free quota; binding constraint</w:t>
            </w:r>
          </w:p>
        </w:tc>
      </w:tr>
    </w:tbl>
    <w:p>
      <w:pPr>
        <w:spacing w:after="80"/>
      </w:pPr>
    </w:p>
    <w:p>
      <w:pPr>
        <w:spacing w:before="180" w:after="40"/>
      </w:pPr>
      <w:r>
        <w:rPr>
          <w:b/>
          <w:i/>
          <w:sz w:val="20"/>
        </w:rPr>
        <w:t>C. Sustainability</w:t>
      </w:r>
    </w:p>
    <w:p>
      <w:pPr>
        <w:spacing w:after="120" w:line="252" w:lineRule="auto"/>
      </w:pPr>
      <w:r>
        <w:t>Scale-to-zero compute aligns with UN Sustainable Development Goals: SDG 3 (good health), SDG 9 (innovation), and SDG 12 (responsible consumption).</w:t>
      </w:r>
    </w:p>
    <w:p>
      <w:pPr>
        <w:spacing w:before="280" w:after="80"/>
      </w:pPr>
      <w:r>
        <w:rPr>
          <w:b/>
          <w:sz w:val="22"/>
        </w:rPr>
        <w:t>IX. LIMITATIONS AND THREATS TO VALIDITY</w:t>
      </w:r>
    </w:p>
    <w:p>
      <w:pPr>
        <w:spacing w:after="120" w:line="252" w:lineRule="auto"/>
      </w:pPr>
      <w:r>
        <w:t>1. Benchmark scale: 32 cases provide feasibility evidence rather than population assurance; N=299 cases required for 1% risk bound.</w:t>
      </w:r>
    </w:p>
    <w:p>
      <w:pPr>
        <w:spacing w:after="120" w:line="252" w:lineRule="auto"/>
      </w:pPr>
      <w:r>
        <w:t>2. Rule coverage: Keyword rules miss uncataloged paraphrases. Multilingual expansion requires native speaker continuous red-teaming.</w:t>
      </w:r>
    </w:p>
    <w:p>
      <w:pPr>
        <w:spacing w:after="120" w:line="252" w:lineRule="auto"/>
      </w:pPr>
      <w:r>
        <w:t>3. Timing side-channel: A 50 ms delay floor fails to mask 156 ms misses or 2s cold starts. Timing equalization remains an open serverless trade-off.</w:t>
      </w:r>
    </w:p>
    <w:p>
      <w:pPr>
        <w:spacing w:after="120" w:line="252" w:lineRule="auto"/>
      </w:pPr>
      <w:r>
        <w:t>4. Cache freshness: Approved answers require versioned manifests and strongly consistent tombstones for immediate withdrawal.</w:t>
      </w:r>
    </w:p>
    <w:p>
      <w:pPr>
        <w:spacing w:after="120" w:line="252" w:lineRule="auto"/>
      </w:pPr>
      <w:r>
        <w:t>5. Scaling cost: At 100k users (1M queries/day), operating cost is USD 51.75/month, scaling linearly rather than remaining at $0.00.</w:t>
      </w:r>
    </w:p>
    <w:p>
      <w:pPr>
        <w:spacing w:before="280" w:after="80"/>
      </w:pPr>
      <w:r>
        <w:rPr>
          <w:b/>
          <w:sz w:val="22"/>
        </w:rPr>
        <w:t>X. CONCLUSION AND FUTURE WORK</w:t>
      </w:r>
    </w:p>
    <w:p>
      <w:pPr>
        <w:spacing w:after="120" w:line="252" w:lineRule="auto"/>
      </w:pPr>
      <w:r>
        <w:t>GenSync-MedAI demonstrates that a clinically cautious semantic cache can be operated entirely on AWS serverless primitives without dedicated vector databases. Table 22 outlines future directions.</w:t>
      </w:r>
    </w:p>
    <w:p>
      <w:pPr>
        <w:spacing w:before="160" w:after="60"/>
        <w:jc w:val="center"/>
      </w:pPr>
      <w:r>
        <w:rPr>
          <w:b/>
          <w:sz w:val="17"/>
        </w:rPr>
        <w:t>TABLE 22. FUTURE WORK</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w:t>
            </w:r>
          </w:p>
        </w:tc>
        <w:tc>
          <w:tcPr>
            <w:tcW w:type="dxa" w:w="3360"/>
            <w:shd w:val="clear" w:color="auto" w:fill="1E293B"/>
          </w:tcPr>
          <w:p>
            <w:r>
              <w:rPr>
                <w:b/>
                <w:color w:val="FFFFFF"/>
                <w:sz w:val="16"/>
              </w:rPr>
              <w:t>Direction</w:t>
            </w:r>
          </w:p>
        </w:tc>
        <w:tc>
          <w:tcPr>
            <w:tcW w:type="dxa" w:w="3360"/>
            <w:shd w:val="clear" w:color="auto" w:fill="1E293B"/>
          </w:tcPr>
          <w:p>
            <w:r>
              <w:rPr>
                <w:b/>
                <w:color w:val="FFFFFF"/>
                <w:sz w:val="16"/>
              </w:rPr>
              <w:t>Purpose</w:t>
            </w:r>
          </w:p>
        </w:tc>
      </w:tr>
      <w:tr>
        <w:tc>
          <w:tcPr>
            <w:tcW w:type="dxa" w:w="3360"/>
            <w:shd w:val="clear" w:color="auto" w:fill="FFFFFF"/>
          </w:tcPr>
          <w:p>
            <w:r>
              <w:rPr>
                <w:sz w:val="16"/>
              </w:rPr>
              <w:t>1</w:t>
            </w:r>
          </w:p>
        </w:tc>
        <w:tc>
          <w:tcPr>
            <w:tcW w:type="dxa" w:w="3360"/>
            <w:shd w:val="clear" w:color="auto" w:fill="FFFFFF"/>
          </w:tcPr>
          <w:p>
            <w:r>
              <w:rPr>
                <w:sz w:val="16"/>
              </w:rPr>
              <w:t>Safety layer and 300+ vignette triage test set with independent clinician labels</w:t>
            </w:r>
          </w:p>
        </w:tc>
        <w:tc>
          <w:tcPr>
            <w:tcW w:type="dxa" w:w="3360"/>
            <w:shd w:val="clear" w:color="auto" w:fill="FFFFFF"/>
          </w:tcPr>
          <w:p>
            <w:r>
              <w:rPr>
                <w:sz w:val="16"/>
              </w:rPr>
              <w:t>Tighten confidence intervals; achieve N=299 exact binomial bound</w:t>
            </w:r>
          </w:p>
        </w:tc>
      </w:tr>
      <w:tr>
        <w:tc>
          <w:tcPr>
            <w:tcW w:type="dxa" w:w="3360"/>
            <w:shd w:val="clear" w:color="auto" w:fill="F8FAFC"/>
          </w:tcPr>
          <w:p>
            <w:r>
              <w:rPr>
                <w:sz w:val="16"/>
              </w:rPr>
              <w:t>2</w:t>
            </w:r>
          </w:p>
        </w:tc>
        <w:tc>
          <w:tcPr>
            <w:tcW w:type="dxa" w:w="3360"/>
            <w:shd w:val="clear" w:color="auto" w:fill="F8FAFC"/>
          </w:tcPr>
          <w:p>
            <w:r>
              <w:rPr>
                <w:sz w:val="16"/>
              </w:rPr>
              <w:t>Threshold sweep and precision-recall curve on adversarial pairs</w:t>
            </w:r>
          </w:p>
        </w:tc>
        <w:tc>
          <w:tcPr>
            <w:tcW w:type="dxa" w:w="3360"/>
            <w:shd w:val="clear" w:color="auto" w:fill="F8FAFC"/>
          </w:tcPr>
          <w:p>
            <w:r>
              <w:rPr>
                <w:sz w:val="16"/>
              </w:rPr>
              <w:t>Quantify false-hit risk vs coverage tradeoff</w:t>
            </w:r>
          </w:p>
        </w:tc>
      </w:tr>
      <w:tr>
        <w:tc>
          <w:tcPr>
            <w:tcW w:type="dxa" w:w="3360"/>
            <w:shd w:val="clear" w:color="auto" w:fill="FFFFFF"/>
          </w:tcPr>
          <w:p>
            <w:r>
              <w:rPr>
                <w:sz w:val="16"/>
              </w:rPr>
              <w:t>3</w:t>
            </w:r>
          </w:p>
        </w:tc>
        <w:tc>
          <w:tcPr>
            <w:tcW w:type="dxa" w:w="3360"/>
            <w:shd w:val="clear" w:color="auto" w:fill="FFFFFF"/>
          </w:tcPr>
          <w:p>
            <w:r>
              <w:rPr>
                <w:sz w:val="16"/>
              </w:rPr>
              <w:t>Review-queue dashboard with client-side envelope encryption</w:t>
            </w:r>
          </w:p>
        </w:tc>
        <w:tc>
          <w:tcPr>
            <w:tcW w:type="dxa" w:w="3360"/>
            <w:shd w:val="clear" w:color="auto" w:fill="FFFFFF"/>
          </w:tcPr>
          <w:p>
            <w:r>
              <w:rPr>
                <w:sz w:val="16"/>
              </w:rPr>
              <w:t>Convert refusals into approved Q&amp;As without exposing raw query text</w:t>
            </w:r>
          </w:p>
        </w:tc>
      </w:tr>
      <w:tr>
        <w:tc>
          <w:tcPr>
            <w:tcW w:type="dxa" w:w="3360"/>
            <w:shd w:val="clear" w:color="auto" w:fill="F8FAFC"/>
          </w:tcPr>
          <w:p>
            <w:r>
              <w:rPr>
                <w:sz w:val="16"/>
              </w:rPr>
              <w:t>4</w:t>
            </w:r>
          </w:p>
        </w:tc>
        <w:tc>
          <w:tcPr>
            <w:tcW w:type="dxa" w:w="3360"/>
            <w:shd w:val="clear" w:color="auto" w:fill="F8FAFC"/>
          </w:tcPr>
          <w:p>
            <w:r>
              <w:rPr>
                <w:sz w:val="16"/>
              </w:rPr>
              <w:t>Expanded Hindi, Tamil, and regional dialects via Bhashini platform</w:t>
            </w:r>
          </w:p>
        </w:tc>
        <w:tc>
          <w:tcPr>
            <w:tcW w:type="dxa" w:w="3360"/>
            <w:shd w:val="clear" w:color="auto" w:fill="F8FAFC"/>
          </w:tcPr>
          <w:p>
            <w:r>
              <w:rPr>
                <w:sz w:val="16"/>
              </w:rPr>
              <w:t>Equity and reach across South Asia</w:t>
            </w:r>
          </w:p>
        </w:tc>
      </w:tr>
      <w:tr>
        <w:tc>
          <w:tcPr>
            <w:tcW w:type="dxa" w:w="3360"/>
            <w:shd w:val="clear" w:color="auto" w:fill="FFFFFF"/>
          </w:tcPr>
          <w:p>
            <w:r>
              <w:rPr>
                <w:sz w:val="16"/>
              </w:rPr>
              <w:t>5</w:t>
            </w:r>
          </w:p>
        </w:tc>
        <w:tc>
          <w:tcPr>
            <w:tcW w:type="dxa" w:w="3360"/>
            <w:shd w:val="clear" w:color="auto" w:fill="FFFFFF"/>
          </w:tcPr>
          <w:p>
            <w:r>
              <w:rPr>
                <w:sz w:val="16"/>
              </w:rPr>
              <w:t>Visit-preparation and care-level navigator</w:t>
            </w:r>
          </w:p>
        </w:tc>
        <w:tc>
          <w:tcPr>
            <w:tcW w:type="dxa" w:w="3360"/>
            <w:shd w:val="clear" w:color="auto" w:fill="FFFFFF"/>
          </w:tcPr>
          <w:p>
            <w:r>
              <w:rPr>
                <w:sz w:val="16"/>
              </w:rPr>
              <w:t>Guide users to appropriate physical care facilities</w:t>
            </w:r>
          </w:p>
        </w:tc>
      </w:tr>
      <w:tr>
        <w:tc>
          <w:tcPr>
            <w:tcW w:type="dxa" w:w="3360"/>
            <w:shd w:val="clear" w:color="auto" w:fill="F8FAFC"/>
          </w:tcPr>
          <w:p>
            <w:r>
              <w:rPr>
                <w:sz w:val="16"/>
              </w:rPr>
              <w:t>6</w:t>
            </w:r>
          </w:p>
        </w:tc>
        <w:tc>
          <w:tcPr>
            <w:tcW w:type="dxa" w:w="3360"/>
            <w:shd w:val="clear" w:color="auto" w:fill="F8FAFC"/>
          </w:tcPr>
          <w:p>
            <w:r>
              <w:rPr>
                <w:sz w:val="16"/>
              </w:rPr>
              <w:t>Native DynamoDB vector search empirical benchmark</w:t>
            </w:r>
          </w:p>
        </w:tc>
        <w:tc>
          <w:tcPr>
            <w:tcW w:type="dxa" w:w="3360"/>
            <w:shd w:val="clear" w:color="auto" w:fill="F8FAFC"/>
          </w:tcPr>
          <w:p>
            <w:r>
              <w:rPr>
                <w:sz w:val="16"/>
              </w:rPr>
              <w:t>Head-to-head cost, latency, recall against two-stage scheme</w:t>
            </w:r>
          </w:p>
        </w:tc>
      </w:tr>
      <w:tr>
        <w:tc>
          <w:tcPr>
            <w:tcW w:type="dxa" w:w="3360"/>
            <w:shd w:val="clear" w:color="auto" w:fill="FFFFFF"/>
          </w:tcPr>
          <w:p>
            <w:r>
              <w:rPr>
                <w:sz w:val="16"/>
              </w:rPr>
              <w:t>7</w:t>
            </w:r>
          </w:p>
        </w:tc>
        <w:tc>
          <w:tcPr>
            <w:tcW w:type="dxa" w:w="3360"/>
            <w:shd w:val="clear" w:color="auto" w:fill="FFFFFF"/>
          </w:tcPr>
          <w:p>
            <w:r>
              <w:rPr>
                <w:sz w:val="16"/>
              </w:rPr>
              <w:t>Keyed HMAC, eager model initialization, SnapStart</w:t>
            </w:r>
          </w:p>
        </w:tc>
        <w:tc>
          <w:tcPr>
            <w:tcW w:type="dxa" w:w="3360"/>
            <w:shd w:val="clear" w:color="auto" w:fill="FFFFFF"/>
          </w:tcPr>
          <w:p>
            <w:r>
              <w:rPr>
                <w:sz w:val="16"/>
              </w:rPr>
              <w:t>Privacy hardening; sub-second cold starts</w:t>
            </w:r>
          </w:p>
        </w:tc>
      </w:tr>
      <w:tr>
        <w:tc>
          <w:tcPr>
            <w:tcW w:type="dxa" w:w="3360"/>
            <w:shd w:val="clear" w:color="auto" w:fill="F8FAFC"/>
          </w:tcPr>
          <w:p>
            <w:r>
              <w:rPr>
                <w:sz w:val="16"/>
              </w:rPr>
              <w:t>8</w:t>
            </w:r>
          </w:p>
        </w:tc>
        <w:tc>
          <w:tcPr>
            <w:tcW w:type="dxa" w:w="3360"/>
            <w:shd w:val="clear" w:color="auto" w:fill="F8FAFC"/>
          </w:tcPr>
          <w:p>
            <w:r>
              <w:rPr>
                <w:sz w:val="16"/>
              </w:rPr>
              <w:t>Timing side-channel attacker quantification</w:t>
            </w:r>
          </w:p>
        </w:tc>
        <w:tc>
          <w:tcPr>
            <w:tcW w:type="dxa" w:w="3360"/>
            <w:shd w:val="clear" w:color="auto" w:fill="F8FAFC"/>
          </w:tcPr>
          <w:p>
            <w:r>
              <w:rPr>
                <w:sz w:val="16"/>
              </w:rPr>
              <w:t>Measure distinguishability ROC-AUC across cache states</w:t>
            </w:r>
          </w:p>
        </w:tc>
      </w:tr>
      <w:tr>
        <w:tc>
          <w:tcPr>
            <w:tcW w:type="dxa" w:w="3360"/>
            <w:shd w:val="clear" w:color="auto" w:fill="FFFFFF"/>
          </w:tcPr>
          <w:p>
            <w:r>
              <w:rPr>
                <w:sz w:val="16"/>
              </w:rPr>
              <w:t>9</w:t>
            </w:r>
          </w:p>
        </w:tc>
        <w:tc>
          <w:tcPr>
            <w:tcW w:type="dxa" w:w="3360"/>
            <w:shd w:val="clear" w:color="auto" w:fill="FFFFFF"/>
          </w:tcPr>
          <w:p>
            <w:r>
              <w:rPr>
                <w:sz w:val="16"/>
              </w:rPr>
              <w:t>Volatility-based TTL and re-verification of expiring entries</w:t>
            </w:r>
          </w:p>
        </w:tc>
        <w:tc>
          <w:tcPr>
            <w:tcW w:type="dxa" w:w="3360"/>
            <w:shd w:val="clear" w:color="auto" w:fill="FFFFFF"/>
          </w:tcPr>
          <w:p>
            <w:r>
              <w:rPr>
                <w:sz w:val="16"/>
              </w:rPr>
              <w:t>Guard against stale medical guidance</w:t>
            </w:r>
          </w:p>
        </w:tc>
      </w:tr>
      <w:tr>
        <w:tc>
          <w:tcPr>
            <w:tcW w:type="dxa" w:w="3360"/>
            <w:shd w:val="clear" w:color="auto" w:fill="F8FAFC"/>
          </w:tcPr>
          <w:p>
            <w:r>
              <w:rPr>
                <w:sz w:val="16"/>
              </w:rPr>
              <w:t>10</w:t>
            </w:r>
          </w:p>
        </w:tc>
        <w:tc>
          <w:tcPr>
            <w:tcW w:type="dxa" w:w="3360"/>
            <w:shd w:val="clear" w:color="auto" w:fill="F8FAFC"/>
          </w:tcPr>
          <w:p>
            <w:r>
              <w:rPr>
                <w:sz w:val="16"/>
              </w:rPr>
              <w:t>Concurrency load testing at 100+ users</w:t>
            </w:r>
          </w:p>
        </w:tc>
        <w:tc>
          <w:tcPr>
            <w:tcW w:type="dxa" w:w="3360"/>
            <w:shd w:val="clear" w:color="auto" w:fill="F8FAFC"/>
          </w:tcPr>
          <w:p>
            <w:r>
              <w:rPr>
                <w:sz w:val="16"/>
              </w:rPr>
              <w:t>Validate tail latency under burst traffic</w:t>
            </w:r>
          </w:p>
        </w:tc>
      </w:tr>
    </w:tbl>
    <w:p>
      <w:pPr>
        <w:spacing w:after="80"/>
      </w:pPr>
    </w:p>
    <w:p>
      <w:pPr>
        <w:spacing w:before="280" w:after="80"/>
      </w:pPr>
      <w:r>
        <w:rPr>
          <w:b/>
          <w:sz w:val="22"/>
        </w:rPr>
        <w:t>ACKNOWLEDGMENT</w:t>
      </w:r>
    </w:p>
    <w:p>
      <w:pPr>
        <w:spacing w:after="120" w:line="252" w:lineRule="auto"/>
      </w:pPr>
      <w:r>
        <w:t>The authors thank Dr. Vigneshwari S, Faculty Advisor, for guidance during the Cloud Architecture Design course at Vellore Institute of Technology, Chennai.</w:t>
      </w:r>
    </w:p>
    <w:p>
      <w:pPr>
        <w:spacing w:before="280" w:after="80"/>
      </w:pPr>
      <w:r>
        <w:rPr>
          <w:b/>
          <w:sz w:val="22"/>
        </w:rPr>
        <w:t>DATA AND CODE AVAILABILITY</w:t>
      </w:r>
    </w:p>
    <w:p>
      <w:pPr>
        <w:spacing w:after="120" w:line="252" w:lineRule="auto"/>
      </w:pPr>
      <w:r>
        <w:t>Code: https://github.com/Disgusting-Orange/Gensync-MedAI (commit e6743da). Live console: https://gensync-med-ai.vercel.app/. API route: POST https://cd4xfmh22k.execute-api.ap-south-1.amazonaws.com/query. Dataset: Zenodo, DOI 10.5281/zenodo.10892026.</w:t>
      </w:r>
    </w:p>
    <w:p>
      <w:pPr>
        <w:spacing w:before="280" w:after="80"/>
      </w:pPr>
      <w:r>
        <w:rPr>
          <w:b/>
          <w:sz w:val="22"/>
        </w:rPr>
        <w:t>AUTHOR CONTRIBUTIONS &amp; AI-ASSISTANCE DISCLOSURES</w:t>
      </w:r>
    </w:p>
    <w:p>
      <w:pPr>
        <w:spacing w:after="120" w:line="252" w:lineRule="auto"/>
      </w:pPr>
      <w:r>
        <w:t>Author Contributions: Priyankaa S. and Kamalesh N. conceived the core architecture, implemented the Lambda handlers and DynamoDB schemas, and executed the benchmark. Dr. Vigneshwari S. supervised the research, reviewed the clinical triage rules, and revised the manuscript.</w:t>
      </w:r>
    </w:p>
    <w:p>
      <w:pPr>
        <w:spacing w:after="120" w:line="252" w:lineRule="auto"/>
      </w:pPr>
      <w:r>
        <w:t>AI-Assistance Disclosure: Generative AI tools (Claude Opus, Gemini 3.8 Flash) were utilized for text formatting, grammar polishing, and regex ideation. All derivations, implementations, and empirical results were independently verified by the authors.</w:t>
      </w:r>
    </w:p>
    <w:p>
      <w:pPr>
        <w:spacing w:before="280" w:after="80"/>
      </w:pPr>
      <w:r>
        <w:rPr>
          <w:b/>
          <w:sz w:val="22"/>
        </w:rPr>
        <w:t>REFERENCES</w:t>
      </w:r>
    </w:p>
    <w:p>
      <w:pPr>
        <w:spacing w:after="40"/>
        <w:ind w:left="360" w:hanging="360"/>
      </w:pPr>
      <w:r>
        <w:rPr>
          <w:sz w:val="16"/>
        </w:rPr>
        <w:t>[1] K. Singhal, S. Azizi, T. Tu, et al., 'Large language models encode clinical knowledge,' Nature, vol. 620, no. 7972, pp. 172–180, 2023.</w:t>
      </w:r>
    </w:p>
    <w:p>
      <w:pPr>
        <w:spacing w:after="40"/>
        <w:ind w:left="360" w:hanging="360"/>
      </w:pPr>
      <w:r>
        <w:rPr>
          <w:sz w:val="16"/>
        </w:rPr>
        <w:t>[2] A. J. Thirunavukarasu, D. S. J. Ting, K. Elangovan, et al., 'Large language models in medicine,' Nature Med., vol. 29, no. 8, pp. 1930–1940, 2023.</w:t>
      </w:r>
    </w:p>
    <w:p>
      <w:pPr>
        <w:spacing w:after="40"/>
        <w:ind w:left="360" w:hanging="360"/>
      </w:pPr>
      <w:r>
        <w:rPr>
          <w:sz w:val="16"/>
        </w:rPr>
        <w:t>[3] P. Rajpurkar, E. Chen, O. Banerjee, and E. J. Topol, 'AI in health and medicine,' Nature Med., vol. 28, no. 1, pp. 31–38, 2022.</w:t>
      </w:r>
    </w:p>
    <w:p>
      <w:pPr>
        <w:spacing w:after="40"/>
        <w:ind w:left="360" w:hanging="360"/>
      </w:pPr>
      <w:r>
        <w:rPr>
          <w:sz w:val="16"/>
        </w:rPr>
        <w:t>[4] Z. Ji, N. Lee, R. Frieske, et al., 'Survey of hallucination in natural language generation,' ACM Comput. Surv., vol. 55, no. 12, pp. 1–38, 2023.</w:t>
      </w:r>
    </w:p>
    <w:p>
      <w:pPr>
        <w:spacing w:after="40"/>
        <w:ind w:left="360" w:hanging="360"/>
      </w:pPr>
      <w:r>
        <w:rPr>
          <w:sz w:val="16"/>
        </w:rPr>
        <w:t>[5] Y. Bang, S. Cahyawijaya, N. Lee, et al., 'A multitask, multilingual, multimodal evaluation of ChatGPT on reasoning, hallucination, and interactivity,' arXiv:2302.04023, 2023.</w:t>
      </w:r>
    </w:p>
    <w:p>
      <w:pPr>
        <w:spacing w:after="40"/>
        <w:ind w:left="360" w:hanging="360"/>
      </w:pPr>
      <w:r>
        <w:rPr>
          <w:sz w:val="16"/>
        </w:rPr>
        <w:t>[6] C. E. Haupt and M. Marks, 'AI-generated medical advice—GPT and the future of healthcare communication,' JAMA, vol. 329, no. 16, pp. 1349–1350, 2023.</w:t>
      </w:r>
    </w:p>
    <w:p>
      <w:pPr>
        <w:spacing w:after="40"/>
        <w:ind w:left="360" w:hanging="360"/>
      </w:pPr>
      <w:r>
        <w:rPr>
          <w:sz w:val="16"/>
        </w:rPr>
        <w:t>[7] C. J. Haug and J. M. Drazen, 'Artificial intelligence and machine learning in clinical medicine, 2023,' N. Engl. J. Med., vol. 388, no. 13, pp. 1201–1208, 2023.</w:t>
      </w:r>
    </w:p>
    <w:p>
      <w:pPr>
        <w:spacing w:after="40"/>
        <w:ind w:left="360" w:hanging="360"/>
      </w:pPr>
      <w:r>
        <w:rPr>
          <w:sz w:val="16"/>
        </w:rPr>
        <w:t>[8] F. Dennstädt, J. Hastings, P. M. Putora, et al., 'Implementing large language models in healthcare while balancing control, collaboration, costs and security,' npj Digit. Med., vol. 8, no. 1, p. 143, 2025.</w:t>
      </w:r>
    </w:p>
    <w:p>
      <w:pPr>
        <w:spacing w:after="40"/>
        <w:ind w:left="360" w:hanging="360"/>
      </w:pPr>
      <w:r>
        <w:rPr>
          <w:sz w:val="16"/>
        </w:rPr>
        <w:t>[9] F. Bang, 'GPTCache: An open-source semantic cache for LLM applications enabling faster answers and cost savings,' in Proc. 3rd Workshop NLP Open Source Software (NLP-OSS), 2023, pp. 212–218.</w:t>
      </w:r>
    </w:p>
    <w:p>
      <w:pPr>
        <w:spacing w:after="40"/>
        <w:ind w:left="360" w:hanging="360"/>
      </w:pPr>
      <w:r>
        <w:rPr>
          <w:sz w:val="16"/>
        </w:rPr>
        <w:t>[10] 'Asynchronous verified semantic caching for tiered LLM architectures,' arXiv:2602.13165, 2026.</w:t>
      </w:r>
    </w:p>
    <w:p>
      <w:pPr>
        <w:spacing w:after="40"/>
        <w:ind w:left="360" w:hanging="360"/>
      </w:pPr>
      <w:r>
        <w:rPr>
          <w:sz w:val="16"/>
        </w:rPr>
        <w:t>[11] W. Gill, M. Elidrisi, P. Kalapatapu, et al., 'MeanCache: User-centric semantic caching for LLM web services,' arXiv:2403.02694, 2024.</w:t>
      </w:r>
    </w:p>
    <w:p>
      <w:pPr>
        <w:spacing w:after="40"/>
        <w:ind w:left="360" w:hanging="360"/>
      </w:pPr>
      <w:r>
        <w:rPr>
          <w:sz w:val="16"/>
        </w:rPr>
        <w:t>[12] U.S. Dept. of Health and Human Services, 'Standards for Privacy of Individually Identifiable Health Information (HIPAA Privacy Rule),' 45 CFR Parts 160 and 164, 2003.</w:t>
      </w:r>
    </w:p>
    <w:p>
      <w:pPr>
        <w:spacing w:after="40"/>
        <w:ind w:left="360" w:hanging="360"/>
      </w:pPr>
      <w:r>
        <w:rPr>
          <w:sz w:val="16"/>
        </w:rPr>
        <w:t>[13] Ministry of Law and Justice, Government of India, 'The Digital Personal Data Protection Act, 2023 (Act No. 22 of 2023),' The Gazette of India, 2023.</w:t>
      </w:r>
    </w:p>
    <w:p>
      <w:pPr>
        <w:spacing w:after="40"/>
        <w:ind w:left="360" w:hanging="360"/>
      </w:pPr>
      <w:r>
        <w:rPr>
          <w:sz w:val="16"/>
        </w:rPr>
        <w:t>[14] 'MedHELM: Holistic evaluation of large language models for medical tasks,' arXiv:2505.23802, 2025.</w:t>
      </w:r>
    </w:p>
    <w:p>
      <w:pPr>
        <w:spacing w:after="40"/>
        <w:ind w:left="360" w:hanging="360"/>
      </w:pPr>
      <w:r>
        <w:rPr>
          <w:sz w:val="16"/>
        </w:rPr>
        <w:t>[15] J. Li, C. Xu, F. Wang, et al., 'SCALM: Towards semantic caching for automated chat services with large language models,' arXiv:2406.00025, 2024.</w:t>
      </w:r>
    </w:p>
    <w:p>
      <w:pPr>
        <w:spacing w:after="40"/>
        <w:ind w:left="360" w:hanging="360"/>
      </w:pPr>
      <w:r>
        <w:rPr>
          <w:sz w:val="16"/>
        </w:rPr>
        <w:t>[16] H. Kim, J. Lee, H. Bahn, et al., 'ContextCache: Context-aware semantic cache for multi-turn queries in large language models,' Proc. VLDB Endow., 2025.</w:t>
      </w:r>
    </w:p>
    <w:p>
      <w:pPr>
        <w:spacing w:after="40"/>
        <w:ind w:left="360" w:hanging="360"/>
      </w:pPr>
      <w:r>
        <w:rPr>
          <w:sz w:val="16"/>
        </w:rPr>
        <w:t>[17] 'Verified semantic prompt caching (vCache),' arXiv:2502.03771, 2025.</w:t>
      </w:r>
    </w:p>
    <w:p>
      <w:pPr>
        <w:spacing w:after="40"/>
        <w:ind w:left="360" w:hanging="360"/>
      </w:pPr>
      <w:r>
        <w:rPr>
          <w:sz w:val="16"/>
        </w:rPr>
        <w:t>[18] A. Iyengar, A. Kundu, R. Kompella, and S. Krishnamurthy, 'A generative caching system for large language models,' arXiv:2503.17603, 2025.</w:t>
      </w:r>
    </w:p>
    <w:p>
      <w:pPr>
        <w:spacing w:after="40"/>
        <w:ind w:left="360" w:hanging="360"/>
      </w:pPr>
      <w:r>
        <w:rPr>
          <w:sz w:val="16"/>
        </w:rPr>
        <w:t>[19] 'GPT Semantic Cache: Reducing LLM costs and latency via semantic embedding caching,' arXiv:2411.05276, 2024.</w:t>
      </w:r>
    </w:p>
    <w:p>
      <w:pPr>
        <w:spacing w:after="40"/>
        <w:ind w:left="360" w:hanging="360"/>
      </w:pPr>
      <w:r>
        <w:rPr>
          <w:sz w:val="16"/>
        </w:rPr>
        <w:t>[20] W. Wang, F. Wei, L. Dong, et al., 'MiniLM: Deep self-attention distillation for task-agnostic compression of pre-trained transformers,' in Proc. NeurIPS, vol. 33, 2020, pp. 5776–5788.</w:t>
      </w:r>
    </w:p>
    <w:p>
      <w:pPr>
        <w:spacing w:after="40"/>
        <w:ind w:left="360" w:hanging="360"/>
      </w:pPr>
      <w:r>
        <w:rPr>
          <w:sz w:val="16"/>
        </w:rPr>
        <w:t>[21] V. Sanh, L. Debut, J. Chaumond, and T. Wolf, 'DistilBERT, a distilled version of BERT: smaller, faster, cheaper and lighter,' arXiv:1910.01108, 2019.</w:t>
      </w:r>
    </w:p>
    <w:p>
      <w:pPr>
        <w:spacing w:after="40"/>
        <w:ind w:left="360" w:hanging="360"/>
      </w:pPr>
      <w:r>
        <w:rPr>
          <w:sz w:val="16"/>
        </w:rPr>
        <w:t>[22] N. Reimers and I. Gurevych, 'Sentence-BERT: Sentence embeddings using Siamese BERT-networks,' in Proc. EMNLP-IJCNLP, 2019, pp. 3982–3992.</w:t>
      </w:r>
    </w:p>
    <w:p>
      <w:pPr>
        <w:spacing w:after="40"/>
        <w:ind w:left="360" w:hanging="360"/>
      </w:pPr>
      <w:r>
        <w:rPr>
          <w:sz w:val="16"/>
        </w:rPr>
        <w:t>[23] 'Advancing semantic caching for LLMs with domain-specific embeddings and synthetic data,' arXiv:2504.02268, 2025.</w:t>
      </w:r>
    </w:p>
    <w:p>
      <w:pPr>
        <w:spacing w:after="40"/>
        <w:ind w:left="360" w:hanging="360"/>
      </w:pPr>
      <w:r>
        <w:rPr>
          <w:sz w:val="16"/>
        </w:rPr>
        <w:t>[24] J. Johnson, M. Douze, and H. Jégou, 'Billion-scale similarity search with GPUs,' IEEE Trans. Big Data, vol. 7, no. 3, pp. 535–547, 2019.</w:t>
      </w:r>
    </w:p>
    <w:p>
      <w:pPr>
        <w:spacing w:after="40"/>
        <w:ind w:left="360" w:hanging="360"/>
      </w:pPr>
      <w:r>
        <w:rPr>
          <w:sz w:val="16"/>
        </w:rPr>
        <w:t>[25] Y. A. Malkov and D. A. Yashunin, 'Efficient and robust approximate nearest neighbor search using hierarchical navigable small world graphs,' IEEE Trans. Pattern Anal. Mach. Intell., vol. 42, no. 4, pp. 824–836, 2020.</w:t>
      </w:r>
    </w:p>
    <w:p>
      <w:pPr>
        <w:spacing w:after="40"/>
        <w:ind w:left="360" w:hanging="360"/>
      </w:pPr>
      <w:r>
        <w:rPr>
          <w:sz w:val="16"/>
        </w:rPr>
        <w:t>[26] 'When large language models meet vector databases: A survey,' arXiv:2402.01763, 2024.</w:t>
      </w:r>
    </w:p>
    <w:p>
      <w:pPr>
        <w:spacing w:after="40"/>
        <w:ind w:left="360" w:hanging="360"/>
      </w:pPr>
      <w:r>
        <w:rPr>
          <w:sz w:val="16"/>
        </w:rPr>
        <w:t>[27] Redis, 'Top Pinecone alternatives for vector search (including LangCache),' 2026. [Online]. Available: https://redis.io/blog/top-pinecone-alternatives-for-vector-search</w:t>
      </w:r>
    </w:p>
    <w:p>
      <w:pPr>
        <w:spacing w:after="40"/>
        <w:ind w:left="360" w:hanging="360"/>
      </w:pPr>
      <w:r>
        <w:rPr>
          <w:sz w:val="16"/>
        </w:rPr>
        <w:t>[28] tecRacer, 'Building a low cost serverless Retrieval-Augmented Generation (RAG) solution,' Aug. 2024. [Online]. Available: https://tecracer.com/blog/2024/08</w:t>
      </w:r>
    </w:p>
    <w:p>
      <w:pPr>
        <w:spacing w:after="40"/>
        <w:ind w:left="360" w:hanging="360"/>
      </w:pPr>
      <w:r>
        <w:rPr>
          <w:sz w:val="16"/>
        </w:rPr>
        <w:t>[29] AWS News Blog, 'Amazon DynamoDB now supports real-time vector search at any scale,' 2026. [Online]. Available: https://aws.amazon.com/blogs/aws</w:t>
      </w:r>
    </w:p>
    <w:p>
      <w:pPr>
        <w:spacing w:after="40"/>
        <w:ind w:left="360" w:hanging="360"/>
      </w:pPr>
      <w:r>
        <w:rPr>
          <w:sz w:val="16"/>
        </w:rPr>
        <w:t>[30] AWS Database Blog, 'Build semantic search with native vector support in Amazon DynamoDB,' 2026. [Online]. Available: https://aws.amazon.com/blogs/database</w:t>
      </w:r>
    </w:p>
    <w:p>
      <w:pPr>
        <w:spacing w:after="40"/>
        <w:ind w:left="360" w:hanging="360"/>
      </w:pPr>
      <w:r>
        <w:rPr>
          <w:sz w:val="16"/>
        </w:rPr>
        <w:t>[31] E. Jonas, J. Schleier-Smith, V. Sreekanti, et al., 'Cloud programming simplified: A Berkeley view on serverless computing,' arXiv:1902.03383, 2019.</w:t>
      </w:r>
    </w:p>
    <w:p>
      <w:pPr>
        <w:spacing w:after="40"/>
        <w:ind w:left="360" w:hanging="360"/>
      </w:pPr>
      <w:r>
        <w:rPr>
          <w:sz w:val="16"/>
        </w:rPr>
        <w:t>[32] A. Agache, M. Brooker, A. Iordache, et al., 'Firecracker: Lightweight virtualization for serverless applications,' in Proc. USENIX NSDI, 2020, pp. 419–434.</w:t>
      </w:r>
    </w:p>
    <w:p>
      <w:pPr>
        <w:spacing w:after="40"/>
        <w:ind w:left="360" w:hanging="360"/>
      </w:pPr>
      <w:r>
        <w:rPr>
          <w:sz w:val="16"/>
        </w:rPr>
        <w:t>[33] AWS Machine Learning Blog, 'Using container images to run PyTorch models in AWS Lambda,' 2024. [Online]. Available: https://aws.amazon.com/blogs/machine-learning</w:t>
      </w:r>
    </w:p>
    <w:p>
      <w:pPr>
        <w:spacing w:after="40"/>
        <w:ind w:left="360" w:hanging="360"/>
      </w:pPr>
      <w:r>
        <w:rPr>
          <w:sz w:val="16"/>
        </w:rPr>
        <w:t>[34] Blaxel, 'AWS Lambda GPU support in 2026: Serverless AI infrastructure,' 2026. [Online]. Available: https://blaxel.ai/blog/aws-lambda-gpu</w:t>
      </w:r>
    </w:p>
    <w:p>
      <w:pPr>
        <w:spacing w:after="40"/>
        <w:ind w:left="360" w:hanging="360"/>
      </w:pPr>
      <w:r>
        <w:rPr>
          <w:sz w:val="16"/>
        </w:rPr>
        <w:t>[35] ONNX Project, 'ONNX: Open Neural Network Exchange,' https://github.com/onnx/onnx.</w:t>
      </w:r>
    </w:p>
    <w:p>
      <w:pPr>
        <w:spacing w:after="40"/>
        <w:ind w:left="360" w:hanging="360"/>
      </w:pPr>
      <w:r>
        <w:rPr>
          <w:sz w:val="16"/>
        </w:rPr>
        <w:t>[36] A. Gholami, S. Kim, Z. Dong, et al., 'A survey of quantization methods for efficient neural network inference,' in Low-Power Computer Vision, 2022, pp. 291–326.</w:t>
      </w:r>
    </w:p>
    <w:p>
      <w:pPr>
        <w:spacing w:after="40"/>
        <w:ind w:left="360" w:hanging="360"/>
      </w:pPr>
      <w:r>
        <w:rPr>
          <w:sz w:val="16"/>
        </w:rPr>
        <w:t>[37] B. Jacob, S. Kligys, B. Chen, et al., 'Quantization and training of neural networks for efficient integer-arithmetic-only inference,' in Proc. IEEE/CVF CVPR, 2018, pp. 2704–2713.</w:t>
      </w:r>
    </w:p>
    <w:p>
      <w:pPr>
        <w:spacing w:after="40"/>
        <w:ind w:left="360" w:hanging="360"/>
      </w:pPr>
      <w:r>
        <w:rPr>
          <w:sz w:val="16"/>
        </w:rPr>
        <w:t>[38] J. Wang, Y. Zeng, J. Guo, et al., 'SLMQuant: Benchmarking small language model quantization for practical deployment,' arXiv:2511.13023, 2025.</w:t>
      </w:r>
    </w:p>
    <w:p>
      <w:pPr>
        <w:spacing w:after="40"/>
        <w:ind w:left="360" w:hanging="360"/>
      </w:pPr>
      <w:r>
        <w:rPr>
          <w:sz w:val="16"/>
        </w:rPr>
        <w:t>[39] 'Triple-bottom-line sustainability of language models for edge AI: A comparison between SLMs and quantized LLMs,' arXiv:2609.00665, 2026.</w:t>
      </w:r>
    </w:p>
    <w:p>
      <w:pPr>
        <w:spacing w:after="40"/>
        <w:ind w:left="360" w:hanging="360"/>
      </w:pPr>
      <w:r>
        <w:rPr>
          <w:sz w:val="16"/>
        </w:rPr>
        <w:t>[40] A. Sempf, 'Building serverless architectures for agentic AI on AWS,' AWS Prescriptive Guidance, 2025.</w:t>
      </w:r>
    </w:p>
    <w:p>
      <w:pPr>
        <w:spacing w:after="40"/>
        <w:ind w:left="360" w:hanging="360"/>
      </w:pPr>
      <w:r>
        <w:rPr>
          <w:sz w:val="16"/>
        </w:rPr>
        <w:t>[41] CloudThat, 'AWS cost optimization strategy for LLM-powered applications,' 2025. [Online]. Available: https://www.cloudthat.com/resources/blog</w:t>
      </w:r>
    </w:p>
    <w:p>
      <w:pPr>
        <w:spacing w:after="40"/>
        <w:ind w:left="360" w:hanging="360"/>
      </w:pPr>
      <w:r>
        <w:rPr>
          <w:sz w:val="16"/>
        </w:rPr>
        <w:t>[42] 'ServerlessLoRA: Minimizing latency and cost in serverless inference for LoRA-based LLMs,' arXiv:2505.14468, 2025.</w:t>
      </w:r>
    </w:p>
    <w:p>
      <w:pPr>
        <w:spacing w:after="40"/>
        <w:ind w:left="360" w:hanging="360"/>
      </w:pPr>
      <w:r>
        <w:rPr>
          <w:sz w:val="16"/>
        </w:rPr>
        <w:t>[43] 'Network edge inference for large language models: Principles, techniques, and opportunities,' arXiv:2604.22906, 2026.</w:t>
      </w:r>
    </w:p>
    <w:p>
      <w:pPr>
        <w:spacing w:after="40"/>
        <w:ind w:left="360" w:hanging="360"/>
      </w:pPr>
      <w:r>
        <w:rPr>
          <w:sz w:val="16"/>
        </w:rPr>
        <w:t>[44] 'MedOrchestra: A hybrid cloud-local LLM approach for clinical data interpretation,' arXiv:2505.23806, 2025.</w:t>
      </w:r>
    </w:p>
    <w:p>
      <w:pPr>
        <w:spacing w:after="40"/>
        <w:ind w:left="360" w:hanging="360"/>
      </w:pPr>
      <w:r>
        <w:rPr>
          <w:sz w:val="16"/>
        </w:rPr>
        <w:t>[45] 'Configurable clinical information extraction with agentic RAG: What works, what breaks, and why,' arXiv:2606.19602, 2026.</w:t>
      </w:r>
    </w:p>
    <w:p>
      <w:pPr>
        <w:spacing w:after="40"/>
        <w:ind w:left="360" w:hanging="360"/>
      </w:pPr>
      <w:r>
        <w:rPr>
          <w:sz w:val="16"/>
        </w:rPr>
        <w:t>[46] K. Mackway-Jones, J. Marsden, and J. Windle, Emergency Triage: Manchester Triage Group, 3rd ed. Wiley-Blackwell/BMJ Books, 2014.</w:t>
      </w:r>
    </w:p>
    <w:p>
      <w:pPr>
        <w:spacing w:after="40"/>
        <w:ind w:left="360" w:hanging="360"/>
      </w:pPr>
      <w:r>
        <w:rPr>
          <w:sz w:val="16"/>
        </w:rPr>
        <w:t>[47] N. Gilboy, P. Tanabe, D. Travers, and A. M. Rosenau, Emergency Severity Index (ESI): A Triage Tool for Emergency Department Care, Version 4. AHRQ, 2011.</w:t>
      </w:r>
    </w:p>
    <w:p>
      <w:pPr>
        <w:spacing w:after="40"/>
        <w:ind w:left="360" w:hanging="360"/>
      </w:pPr>
      <w:r>
        <w:rPr>
          <w:sz w:val="16"/>
        </w:rPr>
        <w:t>[48] World Health Organization, WHO Guideline: Recommendations on Digital Interventions for Health System Strengthening. Geneva: WHO, 2019.</w:t>
      </w:r>
    </w:p>
    <w:p>
      <w:pPr>
        <w:spacing w:after="40"/>
        <w:ind w:left="360" w:hanging="360"/>
      </w:pPr>
      <w:r>
        <w:rPr>
          <w:sz w:val="16"/>
        </w:rPr>
        <w:t>[49] National Health Authority, Government of India, 'Ayushman Bharat Digital Mission (ABDM): Architecture strategy overview,' 2021. [Online]. Available: https://abdm.gov.in/</w:t>
      </w:r>
    </w:p>
    <w:p>
      <w:pPr>
        <w:spacing w:after="40"/>
        <w:ind w:left="360" w:hanging="360"/>
      </w:pPr>
      <w:r>
        <w:rPr>
          <w:sz w:val="16"/>
        </w:rPr>
        <w:t>[50] Ministry of Health and Family Welfare, Government of India, Telemedicine Practice Guidelines, 2020.</w:t>
      </w:r>
    </w:p>
    <w:p>
      <w:pPr>
        <w:spacing w:after="40"/>
        <w:ind w:left="360" w:hanging="360"/>
      </w:pPr>
      <w:r>
        <w:rPr>
          <w:sz w:val="16"/>
        </w:rPr>
        <w:t>[51] National Institute of Standards and Technology, 'Secure Hash Standard (SHS),' FIPS PUB 180-4, 2015.</w:t>
      </w:r>
    </w:p>
    <w:p>
      <w:pPr>
        <w:spacing w:after="40"/>
        <w:ind w:left="360" w:hanging="360"/>
      </w:pPr>
      <w:r>
        <w:rPr>
          <w:sz w:val="16"/>
        </w:rPr>
        <w:t>[52] 'InputSnatch: Stealing input in LLM services via timing side-channel attacks,' arXiv:2411.18191, 2024.</w:t>
      </w:r>
    </w:p>
    <w:p>
      <w:pPr>
        <w:spacing w:after="40"/>
        <w:ind w:left="360" w:hanging="360"/>
      </w:pPr>
      <w:r>
        <w:rPr>
          <w:sz w:val="16"/>
        </w:rPr>
        <w:t>[53] 'Risk-constrained freshness-aware semantic caching for open-web retrieval-augmented LLMs,' arXiv:2607.04281, 2026.</w:t>
      </w:r>
    </w:p>
    <w:p>
      <w:pPr>
        <w:spacing w:after="40"/>
        <w:ind w:left="360" w:hanging="360"/>
      </w:pPr>
      <w:r>
        <w:rPr>
          <w:sz w:val="16"/>
        </w:rPr>
        <w:t>[54] P. Laban, H. Hayashi, Y. Zhou, et al., 'Don't break the cache: An evaluation of prompt caching,' arXiv:2601.06007, 2026.</w:t>
      </w:r>
    </w:p>
    <w:p>
      <w:pPr>
        <w:spacing w:after="40"/>
        <w:ind w:left="360" w:hanging="360"/>
      </w:pPr>
      <w:r>
        <w:rPr>
          <w:sz w:val="16"/>
        </w:rPr>
        <w:t>[55] 'Cache-aware prompt compression: A two-tier cost model for LLM API caching,' arXiv:2607.15516, 2026.</w:t>
      </w:r>
    </w:p>
    <w:p>
      <w:pPr>
        <w:spacing w:after="40"/>
        <w:ind w:left="360" w:hanging="360"/>
      </w:pPr>
      <w:r>
        <w:rPr>
          <w:sz w:val="16"/>
        </w:rPr>
        <w:t>[56] Introl Blog, 'Prompt caching infrastructure,' 2025. [Online]. Available: https://introl.com/blog</w:t>
      </w:r>
    </w:p>
    <w:p>
      <w:pPr>
        <w:spacing w:after="40"/>
        <w:ind w:left="360" w:hanging="360"/>
      </w:pPr>
      <w:r>
        <w:rPr>
          <w:sz w:val="16"/>
        </w:rPr>
        <w:t>[57] NeuralTrust Blog, 'LLM caching strategies: Prompt caching, semantic caching, and when to use each,' 2026. [Online]. Available: https://neuraltrust.ai/blog</w:t>
      </w:r>
    </w:p>
    <w:p>
      <w:pPr>
        <w:spacing w:after="40"/>
        <w:ind w:left="360" w:hanging="360"/>
      </w:pPr>
      <w:r>
        <w:rPr>
          <w:sz w:val="16"/>
        </w:rPr>
        <w:t>[58] American Diabetes Association, 'Standards of care in diabetes—2024,' Diabetes Care, vol. 47, suppl. 1, pp. S1–S343, 2024.</w:t>
      </w:r>
    </w:p>
    <w:p>
      <w:pPr>
        <w:spacing w:after="40"/>
        <w:ind w:left="360" w:hanging="360"/>
      </w:pPr>
      <w:r>
        <w:rPr>
          <w:sz w:val="16"/>
        </w:rPr>
        <w:t>[59] P. K. Whelton, R. M. Carey, W. S. Aronow, et al., '2017 ACC/AHA/AAPA/ABC/ACPM/AGS/APhA/ASH/ASPC/NMA/PCNA guideline for the prevention, detection, evaluation, and management of high blood pressure in adults,' J. Am. Coll. Cardiol., vol. 71, no. 19, pp. e127–e248, 2018.</w:t>
      </w:r>
    </w:p>
    <w:p>
      <w:pPr>
        <w:spacing w:after="40"/>
        <w:ind w:left="360" w:hanging="360"/>
      </w:pPr>
      <w:r>
        <w:rPr>
          <w:sz w:val="16"/>
        </w:rPr>
        <w:t>[60] S. Sivasubramanian, 'Amazon DynamoDB: A scalable, predictably performant, and fully managed NoSQL database service,' in Proc. ACM SIGMOD, 2012, pp. 729–730.</w:t>
      </w:r>
    </w:p>
    <w:p>
      <w:pPr>
        <w:spacing w:after="40"/>
        <w:ind w:left="360" w:hanging="360"/>
      </w:pPr>
      <w:r>
        <w:rPr>
          <w:sz w:val="16"/>
        </w:rPr>
        <w:t>[61] G. DeCandia, D. Hastorun, M. Jampani, et al., 'Dynamo: Amazon's highly available key-value store,' ACM SIGOPS Oper. Syst. Rev., vol. 41, no. 6, pp. 205–220, 2007.</w:t>
      </w:r>
    </w:p>
    <w:p>
      <w:pPr>
        <w:spacing w:after="40"/>
        <w:ind w:left="360" w:hanging="360"/>
      </w:pPr>
      <w:r>
        <w:rPr>
          <w:sz w:val="16"/>
        </w:rPr>
        <w:t>[62] C. J. Clopper and E. S. Pearson, 'The use of confidence or fiducial limits illustrated in the case of the binomial,' Biometrika, vol. 26, no. 4, pp. 404–413, 1934.</w:t>
      </w:r>
    </w:p>
    <w:p>
      <w:pPr>
        <w:spacing w:after="40"/>
        <w:ind w:left="360" w:hanging="360"/>
      </w:pPr>
      <w:r>
        <w:rPr>
          <w:sz w:val="16"/>
        </w:rPr>
        <w:t>[63] D. Patterson, J. Gonzalez, Q. Le, et al., 'Carbon emissions and large neural network training,' arXiv:2104.10350, 2021.</w:t>
      </w:r>
    </w:p>
    <w:p>
      <w:pPr>
        <w:spacing w:after="40"/>
        <w:ind w:left="360" w:hanging="360"/>
      </w:pPr>
      <w:r>
        <w:rPr>
          <w:sz w:val="16"/>
        </w:rPr>
        <w:t>[64] United Nations, Transforming Our World: The 2030 Agenda for Sustainable Development. New York: UN DESA, 2015.</w:t>
      </w:r>
    </w:p>
    <w:p>
      <w:pPr>
        <w:spacing w:before="280" w:after="80"/>
      </w:pPr>
      <w:r>
        <w:rPr>
          <w:b/>
          <w:sz w:val="22"/>
        </w:rPr>
        <w:t>APPENDIX A. RESPONSE STATES AND SIDE EFFECTS</w:t>
      </w:r>
    </w:p>
    <w:p>
      <w:pPr>
        <w:spacing w:after="120" w:line="252" w:lineRule="auto"/>
      </w:pPr>
      <w:r>
        <w:t>Table 23 lists each route with its trigger, user-visible response and side effects, so that reviewers can check behaviour against Properties P1 to P4.</w:t>
      </w:r>
    </w:p>
    <w:p>
      <w:pPr>
        <w:spacing w:before="160" w:after="60"/>
        <w:jc w:val="center"/>
      </w:pPr>
      <w:r>
        <w:rPr>
          <w:b/>
          <w:sz w:val="17"/>
        </w:rPr>
        <w:t>TABLE 23. ROUTES, RESPONSES AND SIDE EFFECTS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Route</w:t>
            </w:r>
          </w:p>
        </w:tc>
        <w:tc>
          <w:tcPr>
            <w:tcW w:type="dxa" w:w="2520"/>
            <w:shd w:val="clear" w:color="auto" w:fill="1E293B"/>
          </w:tcPr>
          <w:p>
            <w:r>
              <w:rPr>
                <w:b/>
                <w:color w:val="FFFFFF"/>
                <w:sz w:val="16"/>
              </w:rPr>
              <w:t>Trigger</w:t>
            </w:r>
          </w:p>
        </w:tc>
        <w:tc>
          <w:tcPr>
            <w:tcW w:type="dxa" w:w="2520"/>
            <w:shd w:val="clear" w:color="auto" w:fill="1E293B"/>
          </w:tcPr>
          <w:p>
            <w:r>
              <w:rPr>
                <w:b/>
                <w:color w:val="FFFFFF"/>
                <w:sz w:val="16"/>
              </w:rPr>
              <w:t>Response</w:t>
            </w:r>
          </w:p>
        </w:tc>
        <w:tc>
          <w:tcPr>
            <w:tcW w:type="dxa" w:w="2520"/>
            <w:shd w:val="clear" w:color="auto" w:fill="1E293B"/>
          </w:tcPr>
          <w:p>
            <w:r>
              <w:rPr>
                <w:b/>
                <w:color w:val="FFFFFF"/>
                <w:sz w:val="16"/>
              </w:rPr>
              <w:t>Side effects</w:t>
            </w:r>
          </w:p>
        </w:tc>
      </w:tr>
      <w:tr>
        <w:tc>
          <w:tcPr>
            <w:tcW w:type="dxa" w:w="2520"/>
            <w:shd w:val="clear" w:color="auto" w:fill="FFFFFF"/>
          </w:tcPr>
          <w:p>
            <w:r>
              <w:rPr>
                <w:sz w:val="16"/>
              </w:rPr>
              <w:t>Health probe</w:t>
            </w:r>
          </w:p>
        </w:tc>
        <w:tc>
          <w:tcPr>
            <w:tcW w:type="dxa" w:w="2520"/>
            <w:shd w:val="clear" w:color="auto" w:fill="FFFFFF"/>
          </w:tcPr>
          <w:p>
            <w:r>
              <w:rPr>
                <w:sz w:val="16"/>
              </w:rPr>
              <w:t>ping flag in request</w:t>
            </w:r>
          </w:p>
        </w:tc>
        <w:tc>
          <w:tcPr>
            <w:tcW w:type="dxa" w:w="2520"/>
            <w:shd w:val="clear" w:color="auto" w:fill="FFFFFF"/>
          </w:tcPr>
          <w:p>
            <w:r>
              <w:rPr>
                <w:sz w:val="16"/>
              </w:rPr>
              <w:t>200 OK, no processing</w:t>
            </w:r>
          </w:p>
        </w:tc>
        <w:tc>
          <w:tcPr>
            <w:tcW w:type="dxa" w:w="2520"/>
            <w:shd w:val="clear" w:color="auto" w:fill="FFFFFF"/>
          </w:tcPr>
          <w:p>
            <w:r>
              <w:rPr>
                <w:sz w:val="16"/>
              </w:rPr>
              <w:t>None</w:t>
            </w:r>
          </w:p>
        </w:tc>
      </w:tr>
      <w:tr>
        <w:tc>
          <w:tcPr>
            <w:tcW w:type="dxa" w:w="2520"/>
            <w:shd w:val="clear" w:color="auto" w:fill="F8FAFC"/>
          </w:tcPr>
          <w:p>
            <w:r>
              <w:rPr>
                <w:sz w:val="16"/>
              </w:rPr>
              <w:t>EMERGENCY</w:t>
            </w:r>
          </w:p>
        </w:tc>
        <w:tc>
          <w:tcPr>
            <w:tcW w:type="dxa" w:w="2520"/>
            <w:shd w:val="clear" w:color="auto" w:fill="F8FAFC"/>
          </w:tcPr>
          <w:p>
            <w:r>
              <w:rPr>
                <w:sz w:val="16"/>
              </w:rPr>
              <w:t>Emergency rule match</w:t>
            </w:r>
          </w:p>
        </w:tc>
        <w:tc>
          <w:tcPr>
            <w:tcW w:type="dxa" w:w="2520"/>
            <w:shd w:val="clear" w:color="auto" w:fill="F8FAFC"/>
          </w:tcPr>
          <w:p>
            <w:r>
              <w:rPr>
                <w:sz w:val="16"/>
              </w:rPr>
              <w:t>Advisory with tel:112 action</w:t>
            </w:r>
          </w:p>
        </w:tc>
        <w:tc>
          <w:tcPr>
            <w:tcW w:type="dxa" w:w="2520"/>
            <w:shd w:val="clear" w:color="auto" w:fill="F8FAFC"/>
          </w:tcPr>
          <w:p>
            <w:r>
              <w:rPr>
                <w:sz w:val="16"/>
              </w:rPr>
              <w:t>SNS alert; HMAC audit digest</w:t>
            </w:r>
          </w:p>
        </w:tc>
      </w:tr>
      <w:tr>
        <w:tc>
          <w:tcPr>
            <w:tcW w:type="dxa" w:w="2520"/>
            <w:shd w:val="clear" w:color="auto" w:fill="FFFFFF"/>
          </w:tcPr>
          <w:p>
            <w:r>
              <w:rPr>
                <w:sz w:val="16"/>
              </w:rPr>
              <w:t>PROFESSIONAL_REFERRAL</w:t>
            </w:r>
          </w:p>
        </w:tc>
        <w:tc>
          <w:tcPr>
            <w:tcW w:type="dxa" w:w="2520"/>
            <w:shd w:val="clear" w:color="auto" w:fill="FFFFFF"/>
          </w:tcPr>
          <w:p>
            <w:r>
              <w:rPr>
                <w:sz w:val="16"/>
              </w:rPr>
              <w:t>Referral rule match</w:t>
            </w:r>
          </w:p>
        </w:tc>
        <w:tc>
          <w:tcPr>
            <w:tcW w:type="dxa" w:w="2520"/>
            <w:shd w:val="clear" w:color="auto" w:fill="FFFFFF"/>
          </w:tcPr>
          <w:p>
            <w:r>
              <w:rPr>
                <w:sz w:val="16"/>
              </w:rPr>
              <w:t>Referral to NHP or eSanjeevani</w:t>
            </w:r>
          </w:p>
        </w:tc>
        <w:tc>
          <w:tcPr>
            <w:tcW w:type="dxa" w:w="2520"/>
            <w:shd w:val="clear" w:color="auto" w:fill="FFFFFF"/>
          </w:tcPr>
          <w:p>
            <w:r>
              <w:rPr>
                <w:sz w:val="16"/>
              </w:rPr>
              <w:t>HMAC audit digest</w:t>
            </w:r>
          </w:p>
        </w:tc>
      </w:tr>
      <w:tr>
        <w:tc>
          <w:tcPr>
            <w:tcW w:type="dxa" w:w="2520"/>
            <w:shd w:val="clear" w:color="auto" w:fill="F8FAFC"/>
          </w:tcPr>
          <w:p>
            <w:r>
              <w:rPr>
                <w:sz w:val="16"/>
              </w:rPr>
              <w:t>CACHE_HIT</w:t>
            </w:r>
          </w:p>
        </w:tc>
        <w:tc>
          <w:tcPr>
            <w:tcW w:type="dxa" w:w="2520"/>
            <w:shd w:val="clear" w:color="auto" w:fill="F8FAFC"/>
          </w:tcPr>
          <w:p>
            <w:r>
              <w:rPr>
                <w:sz w:val="16"/>
              </w:rPr>
              <w:t>Similarity &gt;= 0.92 and approved</w:t>
            </w:r>
          </w:p>
        </w:tc>
        <w:tc>
          <w:tcPr>
            <w:tcW w:type="dxa" w:w="2520"/>
            <w:shd w:val="clear" w:color="auto" w:fill="F8FAFC"/>
          </w:tcPr>
          <w:p>
            <w:r>
              <w:rPr>
                <w:sz w:val="16"/>
              </w:rPr>
              <w:t>Approved answer with provenance</w:t>
            </w:r>
          </w:p>
        </w:tc>
        <w:tc>
          <w:tcPr>
            <w:tcW w:type="dxa" w:w="2520"/>
            <w:shd w:val="clear" w:color="auto" w:fill="F8FAFC"/>
          </w:tcPr>
          <w:p>
            <w:r>
              <w:rPr>
                <w:sz w:val="16"/>
              </w:rPr>
              <w:t>HMAC audit digest</w:t>
            </w:r>
          </w:p>
        </w:tc>
      </w:tr>
      <w:tr>
        <w:tc>
          <w:tcPr>
            <w:tcW w:type="dxa" w:w="2520"/>
            <w:shd w:val="clear" w:color="auto" w:fill="FFFFFF"/>
          </w:tcPr>
          <w:p>
            <w:r>
              <w:rPr>
                <w:sz w:val="16"/>
              </w:rPr>
              <w:t>CACHE_MISS</w:t>
            </w:r>
          </w:p>
        </w:tc>
        <w:tc>
          <w:tcPr>
            <w:tcW w:type="dxa" w:w="2520"/>
            <w:shd w:val="clear" w:color="auto" w:fill="FFFFFF"/>
          </w:tcPr>
          <w:p>
            <w:r>
              <w:rPr>
                <w:sz w:val="16"/>
              </w:rPr>
              <w:t>No approved match &gt;= 0.92</w:t>
            </w:r>
          </w:p>
        </w:tc>
        <w:tc>
          <w:tcPr>
            <w:tcW w:type="dxa" w:w="2520"/>
            <w:shd w:val="clear" w:color="auto" w:fill="FFFFFF"/>
          </w:tcPr>
          <w:p>
            <w:r>
              <w:rPr>
                <w:sz w:val="16"/>
              </w:rPr>
              <w:t>Safe refusal</w:t>
            </w:r>
          </w:p>
        </w:tc>
        <w:tc>
          <w:tcPr>
            <w:tcW w:type="dxa" w:w="2520"/>
            <w:shd w:val="clear" w:color="auto" w:fill="FFFFFF"/>
          </w:tcPr>
          <w:p>
            <w:r>
              <w:rPr>
                <w:sz w:val="16"/>
              </w:rPr>
              <w:t>Review-queue item (ciphertext); audit digest</w:t>
            </w:r>
          </w:p>
        </w:tc>
      </w:tr>
      <w:tr>
        <w:tc>
          <w:tcPr>
            <w:tcW w:type="dxa" w:w="2520"/>
            <w:shd w:val="clear" w:color="auto" w:fill="F8FAFC"/>
          </w:tcPr>
          <w:p>
            <w:r>
              <w:rPr>
                <w:sz w:val="16"/>
              </w:rPr>
              <w:t>Error</w:t>
            </w:r>
          </w:p>
        </w:tc>
        <w:tc>
          <w:tcPr>
            <w:tcW w:type="dxa" w:w="2520"/>
            <w:shd w:val="clear" w:color="auto" w:fill="F8FAFC"/>
          </w:tcPr>
          <w:p>
            <w:r>
              <w:rPr>
                <w:sz w:val="16"/>
              </w:rPr>
              <w:t>Service or network failure</w:t>
            </w:r>
          </w:p>
        </w:tc>
        <w:tc>
          <w:tcPr>
            <w:tcW w:type="dxa" w:w="2520"/>
            <w:shd w:val="clear" w:color="auto" w:fill="F8FAFC"/>
          </w:tcPr>
          <w:p>
            <w:r>
              <w:rPr>
                <w:sz w:val="16"/>
              </w:rPr>
              <w:t>Error state, no answer</w:t>
            </w:r>
          </w:p>
        </w:tc>
        <w:tc>
          <w:tcPr>
            <w:tcW w:type="dxa" w:w="2520"/>
            <w:shd w:val="clear" w:color="auto" w:fill="F8FAFC"/>
          </w:tcPr>
          <w:p>
            <w:r>
              <w:rPr>
                <w:sz w:val="16"/>
              </w:rPr>
              <w:t>Logged without text</w:t>
            </w:r>
          </w:p>
        </w:tc>
      </w:tr>
    </w:tbl>
    <w:p>
      <w:pPr>
        <w:spacing w:after="80"/>
      </w:pPr>
    </w:p>
    <w:p>
      <w:pPr>
        <w:spacing w:before="280" w:after="80"/>
      </w:pPr>
      <w:r>
        <w:rPr>
          <w:b/>
          <w:sz w:val="22"/>
        </w:rPr>
        <w:t>APPENDIX B. REPRODUCIBILITY CHECKLIST</w:t>
      </w:r>
    </w:p>
    <w:p>
      <w:pPr>
        <w:spacing w:after="120" w:line="252" w:lineRule="auto"/>
      </w:pPr>
      <w:r>
        <w:t>Table 24 lists the artefacts needed to reproduce the study and indicates where each is available.</w:t>
      </w:r>
    </w:p>
    <w:p>
      <w:pPr>
        <w:spacing w:before="160" w:after="60"/>
        <w:jc w:val="center"/>
      </w:pPr>
      <w:r>
        <w:rPr>
          <w:b/>
          <w:sz w:val="17"/>
        </w:rPr>
        <w:t>TABLE 24. REPRODUCIBILITY ARTEFACTS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Artefact</w:t>
            </w:r>
          </w:p>
        </w:tc>
        <w:tc>
          <w:tcPr>
            <w:tcW w:type="dxa" w:w="3360"/>
            <w:shd w:val="clear" w:color="auto" w:fill="1E293B"/>
          </w:tcPr>
          <w:p>
            <w:r>
              <w:rPr>
                <w:b/>
                <w:color w:val="FFFFFF"/>
                <w:sz w:val="16"/>
              </w:rPr>
              <w:t>Description</w:t>
            </w:r>
          </w:p>
        </w:tc>
        <w:tc>
          <w:tcPr>
            <w:tcW w:type="dxa" w:w="3360"/>
            <w:shd w:val="clear" w:color="auto" w:fill="1E293B"/>
          </w:tcPr>
          <w:p>
            <w:r>
              <w:rPr>
                <w:b/>
                <w:color w:val="FFFFFF"/>
                <w:sz w:val="16"/>
              </w:rPr>
              <w:t>Location</w:t>
            </w:r>
          </w:p>
        </w:tc>
      </w:tr>
      <w:tr>
        <w:tc>
          <w:tcPr>
            <w:tcW w:type="dxa" w:w="3360"/>
            <w:shd w:val="clear" w:color="auto" w:fill="FFFFFF"/>
          </w:tcPr>
          <w:p>
            <w:r>
              <w:rPr>
                <w:sz w:val="16"/>
              </w:rPr>
              <w:t>Source code</w:t>
            </w:r>
          </w:p>
        </w:tc>
        <w:tc>
          <w:tcPr>
            <w:tcW w:type="dxa" w:w="3360"/>
            <w:shd w:val="clear" w:color="auto" w:fill="FFFFFF"/>
          </w:tcPr>
          <w:p>
            <w:r>
              <w:rPr>
                <w:sz w:val="16"/>
              </w:rPr>
              <w:t>Handler, embedder, console</w:t>
            </w:r>
          </w:p>
        </w:tc>
        <w:tc>
          <w:tcPr>
            <w:tcW w:type="dxa" w:w="3360"/>
            <w:shd w:val="clear" w:color="auto" w:fill="FFFFFF"/>
          </w:tcPr>
          <w:p>
            <w:r>
              <w:rPr>
                <w:sz w:val="16"/>
              </w:rPr>
              <w:t>GitHub repository (commit e6743da)</w:t>
            </w:r>
          </w:p>
        </w:tc>
      </w:tr>
      <w:tr>
        <w:tc>
          <w:tcPr>
            <w:tcW w:type="dxa" w:w="3360"/>
            <w:shd w:val="clear" w:color="auto" w:fill="F8FAFC"/>
          </w:tcPr>
          <w:p>
            <w:r>
              <w:rPr>
                <w:sz w:val="16"/>
              </w:rPr>
              <w:t>Stress suite</w:t>
            </w:r>
          </w:p>
        </w:tc>
        <w:tc>
          <w:tcPr>
            <w:tcW w:type="dxa" w:w="3360"/>
            <w:shd w:val="clear" w:color="auto" w:fill="F8FAFC"/>
          </w:tcPr>
          <w:p>
            <w:r>
              <w:rPr>
                <w:sz w:val="16"/>
              </w:rPr>
              <w:t>32 cases in five categories</w:t>
            </w:r>
          </w:p>
        </w:tc>
        <w:tc>
          <w:tcPr>
            <w:tcW w:type="dxa" w:w="3360"/>
            <w:shd w:val="clear" w:color="auto" w:fill="F8FAFC"/>
          </w:tcPr>
          <w:p>
            <w:r>
              <w:rPr>
                <w:sz w:val="16"/>
              </w:rPr>
              <w:t>Zenodo dataset (DOI 10.5281/zenodo.10892026)</w:t>
            </w:r>
          </w:p>
        </w:tc>
      </w:tr>
      <w:tr>
        <w:tc>
          <w:tcPr>
            <w:tcW w:type="dxa" w:w="3360"/>
            <w:shd w:val="clear" w:color="auto" w:fill="FFFFFF"/>
          </w:tcPr>
          <w:p>
            <w:r>
              <w:rPr>
                <w:sz w:val="16"/>
              </w:rPr>
              <w:t>Model package</w:t>
            </w:r>
          </w:p>
        </w:tc>
        <w:tc>
          <w:tcPr>
            <w:tcW w:type="dxa" w:w="3360"/>
            <w:shd w:val="clear" w:color="auto" w:fill="FFFFFF"/>
          </w:tcPr>
          <w:p>
            <w:r>
              <w:rPr>
                <w:sz w:val="16"/>
              </w:rPr>
              <w:t>INT8 ONNX MiniLM and Lambda layer</w:t>
            </w:r>
          </w:p>
        </w:tc>
        <w:tc>
          <w:tcPr>
            <w:tcW w:type="dxa" w:w="3360"/>
            <w:shd w:val="clear" w:color="auto" w:fill="FFFFFF"/>
          </w:tcPr>
          <w:p>
            <w:r>
              <w:rPr>
                <w:sz w:val="16"/>
              </w:rPr>
              <w:t>Repository / build scripts</w:t>
            </w:r>
          </w:p>
        </w:tc>
      </w:tr>
      <w:tr>
        <w:tc>
          <w:tcPr>
            <w:tcW w:type="dxa" w:w="3360"/>
            <w:shd w:val="clear" w:color="auto" w:fill="F8FAFC"/>
          </w:tcPr>
          <w:p>
            <w:r>
              <w:rPr>
                <w:sz w:val="16"/>
              </w:rPr>
              <w:t>Cluster definition</w:t>
            </w:r>
          </w:p>
        </w:tc>
        <w:tc>
          <w:tcPr>
            <w:tcW w:type="dxa" w:w="3360"/>
            <w:shd w:val="clear" w:color="auto" w:fill="F8FAFC"/>
          </w:tcPr>
          <w:p>
            <w:r>
              <w:rPr>
                <w:sz w:val="16"/>
              </w:rPr>
              <w:t>Centroids and entry assignment</w:t>
            </w:r>
          </w:p>
        </w:tc>
        <w:tc>
          <w:tcPr>
            <w:tcW w:type="dxa" w:w="3360"/>
            <w:shd w:val="clear" w:color="auto" w:fill="F8FAFC"/>
          </w:tcPr>
          <w:p>
            <w:r>
              <w:rPr>
                <w:sz w:val="16"/>
              </w:rPr>
              <w:t>db/seed_data_embedded.json</w:t>
            </w:r>
          </w:p>
        </w:tc>
      </w:tr>
      <w:tr>
        <w:tc>
          <w:tcPr>
            <w:tcW w:type="dxa" w:w="3360"/>
            <w:shd w:val="clear" w:color="auto" w:fill="FFFFFF"/>
          </w:tcPr>
          <w:p>
            <w:r>
              <w:rPr>
                <w:sz w:val="16"/>
              </w:rPr>
              <w:t>Raw latency records</w:t>
            </w:r>
          </w:p>
        </w:tc>
        <w:tc>
          <w:tcPr>
            <w:tcW w:type="dxa" w:w="3360"/>
            <w:shd w:val="clear" w:color="auto" w:fill="FFFFFF"/>
          </w:tcPr>
          <w:p>
            <w:r>
              <w:rPr>
                <w:sz w:val="16"/>
              </w:rPr>
              <w:t>Per-request stage timings and counts</w:t>
            </w:r>
          </w:p>
        </w:tc>
        <w:tc>
          <w:tcPr>
            <w:tcW w:type="dxa" w:w="3360"/>
            <w:shd w:val="clear" w:color="auto" w:fill="FFFFFF"/>
          </w:tcPr>
          <w:p>
            <w:r>
              <w:rPr>
                <w:sz w:val="16"/>
              </w:rPr>
              <w:t>docs/benchmark_results.json</w:t>
            </w:r>
          </w:p>
        </w:tc>
      </w:tr>
      <w:tr>
        <w:tc>
          <w:tcPr>
            <w:tcW w:type="dxa" w:w="3360"/>
            <w:shd w:val="clear" w:color="auto" w:fill="F8FAFC"/>
          </w:tcPr>
          <w:p>
            <w:r>
              <w:rPr>
                <w:sz w:val="16"/>
              </w:rPr>
              <w:t>Rule set</w:t>
            </w:r>
          </w:p>
        </w:tc>
        <w:tc>
          <w:tcPr>
            <w:tcW w:type="dxa" w:w="3360"/>
            <w:shd w:val="clear" w:color="auto" w:fill="F8FAFC"/>
          </w:tcPr>
          <w:p>
            <w:r>
              <w:rPr>
                <w:sz w:val="16"/>
              </w:rPr>
              <w:t>Eight emergency, seven referral rules</w:t>
            </w:r>
          </w:p>
        </w:tc>
        <w:tc>
          <w:tcPr>
            <w:tcW w:type="dxa" w:w="3360"/>
            <w:shd w:val="clear" w:color="auto" w:fill="F8FAFC"/>
          </w:tcPr>
          <w:p>
            <w:r>
              <w:rPr>
                <w:sz w:val="16"/>
              </w:rPr>
              <w:t>src/tier1/triage_rules.py</w:t>
            </w:r>
          </w:p>
        </w:tc>
      </w:tr>
      <w:tr>
        <w:tc>
          <w:tcPr>
            <w:tcW w:type="dxa" w:w="3360"/>
            <w:shd w:val="clear" w:color="auto" w:fill="FFFFFF"/>
          </w:tcPr>
          <w:p>
            <w:r>
              <w:rPr>
                <w:sz w:val="16"/>
              </w:rPr>
              <w:t>Infrastructure definition</w:t>
            </w:r>
          </w:p>
        </w:tc>
        <w:tc>
          <w:tcPr>
            <w:tcW w:type="dxa" w:w="3360"/>
            <w:shd w:val="clear" w:color="auto" w:fill="FFFFFF"/>
          </w:tcPr>
          <w:p>
            <w:r>
              <w:rPr>
                <w:sz w:val="16"/>
              </w:rPr>
              <w:t>Resource names and IAM policy</w:t>
            </w:r>
          </w:p>
        </w:tc>
        <w:tc>
          <w:tcPr>
            <w:tcW w:type="dxa" w:w="3360"/>
            <w:shd w:val="clear" w:color="auto" w:fill="FFFFFF"/>
          </w:tcPr>
          <w:p>
            <w:r>
              <w:rPr>
                <w:sz w:val="16"/>
              </w:rPr>
              <w:t>infra/terraform/</w:t>
            </w:r>
          </w:p>
        </w:tc>
      </w:tr>
      <w:tr>
        <w:tc>
          <w:tcPr>
            <w:tcW w:type="dxa" w:w="3360"/>
            <w:shd w:val="clear" w:color="auto" w:fill="F8FAFC"/>
          </w:tcPr>
          <w:p>
            <w:r>
              <w:rPr>
                <w:sz w:val="16"/>
              </w:rPr>
              <w:t>Audit export</w:t>
            </w:r>
          </w:p>
        </w:tc>
        <w:tc>
          <w:tcPr>
            <w:tcW w:type="dxa" w:w="3360"/>
            <w:shd w:val="clear" w:color="auto" w:fill="F8FAFC"/>
          </w:tcPr>
          <w:p>
            <w:r>
              <w:rPr>
                <w:sz w:val="16"/>
              </w:rPr>
              <w:t>HMAC digest table and log filter results</w:t>
            </w:r>
          </w:p>
        </w:tc>
        <w:tc>
          <w:tcPr>
            <w:tcW w:type="dxa" w:w="3360"/>
            <w:shd w:val="clear" w:color="auto" w:fill="F8FAFC"/>
          </w:tcPr>
          <w:p>
            <w:r>
              <w:rPr>
                <w:sz w:val="16"/>
              </w:rPr>
              <w:t>CloudWatch log groups</w:t>
            </w:r>
          </w:p>
        </w:tc>
      </w:tr>
    </w:tbl>
    <w:p>
      <w:pPr>
        <w:spacing w:after="80"/>
      </w:pPr>
    </w:p>
    <w:p>
      <w:pPr>
        <w:spacing w:before="280" w:after="80"/>
      </w:pPr>
      <w:r>
        <w:rPr>
          <w:b/>
          <w:sz w:val="22"/>
        </w:rPr>
        <w:t>APPENDIX C. ABBREVIATIONS</w:t>
      </w:r>
    </w:p>
    <w:p>
      <w:pPr>
        <w:spacing w:before="160" w:after="60"/>
        <w:jc w:val="center"/>
      </w:pPr>
      <w:r>
        <w:rPr>
          <w:b/>
          <w:sz w:val="17"/>
        </w:rPr>
        <w:t>TABLE 25. ABBREVIATIONS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E293B"/>
          </w:tcPr>
          <w:p>
            <w:r>
              <w:rPr>
                <w:b/>
                <w:color w:val="FFFFFF"/>
                <w:sz w:val="16"/>
              </w:rPr>
              <w:t>Term</w:t>
            </w:r>
          </w:p>
        </w:tc>
        <w:tc>
          <w:tcPr>
            <w:tcW w:type="dxa" w:w="2520"/>
            <w:shd w:val="clear" w:color="auto" w:fill="1E293B"/>
          </w:tcPr>
          <w:p>
            <w:r>
              <w:rPr>
                <w:b/>
                <w:color w:val="FFFFFF"/>
                <w:sz w:val="16"/>
              </w:rPr>
              <w:t>Meaning</w:t>
            </w:r>
          </w:p>
        </w:tc>
        <w:tc>
          <w:tcPr>
            <w:tcW w:type="dxa" w:w="2520"/>
            <w:shd w:val="clear" w:color="auto" w:fill="1E293B"/>
          </w:tcPr>
          <w:p>
            <w:r>
              <w:rPr>
                <w:b/>
                <w:color w:val="FFFFFF"/>
                <w:sz w:val="16"/>
              </w:rPr>
              <w:t>Term</w:t>
            </w:r>
          </w:p>
        </w:tc>
        <w:tc>
          <w:tcPr>
            <w:tcW w:type="dxa" w:w="2520"/>
            <w:shd w:val="clear" w:color="auto" w:fill="1E293B"/>
          </w:tcPr>
          <w:p>
            <w:r>
              <w:rPr>
                <w:b/>
                <w:color w:val="FFFFFF"/>
                <w:sz w:val="16"/>
              </w:rPr>
              <w:t>Meaning</w:t>
            </w:r>
          </w:p>
        </w:tc>
      </w:tr>
      <w:tr>
        <w:tc>
          <w:tcPr>
            <w:tcW w:type="dxa" w:w="2520"/>
            <w:shd w:val="clear" w:color="auto" w:fill="FFFFFF"/>
          </w:tcPr>
          <w:p>
            <w:r>
              <w:rPr>
                <w:sz w:val="16"/>
              </w:rPr>
              <w:t>ANN</w:t>
            </w:r>
          </w:p>
        </w:tc>
        <w:tc>
          <w:tcPr>
            <w:tcW w:type="dxa" w:w="2520"/>
            <w:shd w:val="clear" w:color="auto" w:fill="FFFFFF"/>
          </w:tcPr>
          <w:p>
            <w:r>
              <w:rPr>
                <w:sz w:val="16"/>
              </w:rPr>
              <w:t>Approximate nearest neighbour</w:t>
            </w:r>
          </w:p>
        </w:tc>
        <w:tc>
          <w:tcPr>
            <w:tcW w:type="dxa" w:w="2520"/>
            <w:shd w:val="clear" w:color="auto" w:fill="FFFFFF"/>
          </w:tcPr>
          <w:p>
            <w:r>
              <w:rPr>
                <w:sz w:val="16"/>
              </w:rPr>
              <w:t>ONNX</w:t>
            </w:r>
          </w:p>
        </w:tc>
        <w:tc>
          <w:tcPr>
            <w:tcW w:type="dxa" w:w="2520"/>
            <w:shd w:val="clear" w:color="auto" w:fill="FFFFFF"/>
          </w:tcPr>
          <w:p>
            <w:r>
              <w:rPr>
                <w:sz w:val="16"/>
              </w:rPr>
              <w:t>Open Neural Network Exchange</w:t>
            </w:r>
          </w:p>
        </w:tc>
      </w:tr>
      <w:tr>
        <w:tc>
          <w:tcPr>
            <w:tcW w:type="dxa" w:w="2520"/>
            <w:shd w:val="clear" w:color="auto" w:fill="F8FAFC"/>
          </w:tcPr>
          <w:p>
            <w:r>
              <w:rPr>
                <w:sz w:val="16"/>
              </w:rPr>
              <w:t>DPDP</w:t>
            </w:r>
          </w:p>
        </w:tc>
        <w:tc>
          <w:tcPr>
            <w:tcW w:type="dxa" w:w="2520"/>
            <w:shd w:val="clear" w:color="auto" w:fill="F8FAFC"/>
          </w:tcPr>
          <w:p>
            <w:r>
              <w:rPr>
                <w:sz w:val="16"/>
              </w:rPr>
              <w:t>Digital Personal Data Protection</w:t>
            </w:r>
          </w:p>
        </w:tc>
        <w:tc>
          <w:tcPr>
            <w:tcW w:type="dxa" w:w="2520"/>
            <w:shd w:val="clear" w:color="auto" w:fill="F8FAFC"/>
          </w:tcPr>
          <w:p>
            <w:r>
              <w:rPr>
                <w:sz w:val="16"/>
              </w:rPr>
              <w:t>PHI</w:t>
            </w:r>
          </w:p>
        </w:tc>
        <w:tc>
          <w:tcPr>
            <w:tcW w:type="dxa" w:w="2520"/>
            <w:shd w:val="clear" w:color="auto" w:fill="F8FAFC"/>
          </w:tcPr>
          <w:p>
            <w:r>
              <w:rPr>
                <w:sz w:val="16"/>
              </w:rPr>
              <w:t>Protected health information</w:t>
            </w:r>
          </w:p>
        </w:tc>
      </w:tr>
      <w:tr>
        <w:tc>
          <w:tcPr>
            <w:tcW w:type="dxa" w:w="2520"/>
            <w:shd w:val="clear" w:color="auto" w:fill="FFFFFF"/>
          </w:tcPr>
          <w:p>
            <w:r>
              <w:rPr>
                <w:sz w:val="16"/>
              </w:rPr>
              <w:t>GSI</w:t>
            </w:r>
          </w:p>
        </w:tc>
        <w:tc>
          <w:tcPr>
            <w:tcW w:type="dxa" w:w="2520"/>
            <w:shd w:val="clear" w:color="auto" w:fill="FFFFFF"/>
          </w:tcPr>
          <w:p>
            <w:r>
              <w:rPr>
                <w:sz w:val="16"/>
              </w:rPr>
              <w:t>Global secondary index</w:t>
            </w:r>
          </w:p>
        </w:tc>
        <w:tc>
          <w:tcPr>
            <w:tcW w:type="dxa" w:w="2520"/>
            <w:shd w:val="clear" w:color="auto" w:fill="FFFFFF"/>
          </w:tcPr>
          <w:p>
            <w:r>
              <w:rPr>
                <w:sz w:val="16"/>
              </w:rPr>
              <w:t>RTT</w:t>
            </w:r>
          </w:p>
        </w:tc>
        <w:tc>
          <w:tcPr>
            <w:tcW w:type="dxa" w:w="2520"/>
            <w:shd w:val="clear" w:color="auto" w:fill="FFFFFF"/>
          </w:tcPr>
          <w:p>
            <w:r>
              <w:rPr>
                <w:sz w:val="16"/>
              </w:rPr>
              <w:t>Round-trip time</w:t>
            </w:r>
          </w:p>
        </w:tc>
      </w:tr>
      <w:tr>
        <w:tc>
          <w:tcPr>
            <w:tcW w:type="dxa" w:w="2520"/>
            <w:shd w:val="clear" w:color="auto" w:fill="F8FAFC"/>
          </w:tcPr>
          <w:p>
            <w:r>
              <w:rPr>
                <w:sz w:val="16"/>
              </w:rPr>
              <w:t>HMAC</w:t>
            </w:r>
          </w:p>
        </w:tc>
        <w:tc>
          <w:tcPr>
            <w:tcW w:type="dxa" w:w="2520"/>
            <w:shd w:val="clear" w:color="auto" w:fill="F8FAFC"/>
          </w:tcPr>
          <w:p>
            <w:r>
              <w:rPr>
                <w:sz w:val="16"/>
              </w:rPr>
              <w:t>Keyed-hash message authentication code</w:t>
            </w:r>
          </w:p>
        </w:tc>
        <w:tc>
          <w:tcPr>
            <w:tcW w:type="dxa" w:w="2520"/>
            <w:shd w:val="clear" w:color="auto" w:fill="F8FAFC"/>
          </w:tcPr>
          <w:p>
            <w:r>
              <w:rPr>
                <w:sz w:val="16"/>
              </w:rPr>
              <w:t>SHA</w:t>
            </w:r>
          </w:p>
        </w:tc>
        <w:tc>
          <w:tcPr>
            <w:tcW w:type="dxa" w:w="2520"/>
            <w:shd w:val="clear" w:color="auto" w:fill="F8FAFC"/>
          </w:tcPr>
          <w:p>
            <w:r>
              <w:rPr>
                <w:sz w:val="16"/>
              </w:rPr>
              <w:t>Secure hash algorithm</w:t>
            </w:r>
          </w:p>
        </w:tc>
      </w:tr>
      <w:tr>
        <w:tc>
          <w:tcPr>
            <w:tcW w:type="dxa" w:w="2520"/>
            <w:shd w:val="clear" w:color="auto" w:fill="FFFFFF"/>
          </w:tcPr>
          <w:p>
            <w:r>
              <w:rPr>
                <w:sz w:val="16"/>
              </w:rPr>
              <w:t>INT8</w:t>
            </w:r>
          </w:p>
        </w:tc>
        <w:tc>
          <w:tcPr>
            <w:tcW w:type="dxa" w:w="2520"/>
            <w:shd w:val="clear" w:color="auto" w:fill="FFFFFF"/>
          </w:tcPr>
          <w:p>
            <w:r>
              <w:rPr>
                <w:sz w:val="16"/>
              </w:rPr>
              <w:t>8-bit integer quantization</w:t>
            </w:r>
          </w:p>
        </w:tc>
        <w:tc>
          <w:tcPr>
            <w:tcW w:type="dxa" w:w="2520"/>
            <w:shd w:val="clear" w:color="auto" w:fill="FFFFFF"/>
          </w:tcPr>
          <w:p>
            <w:r>
              <w:rPr>
                <w:sz w:val="16"/>
              </w:rPr>
              <w:t>SLM</w:t>
            </w:r>
          </w:p>
        </w:tc>
        <w:tc>
          <w:tcPr>
            <w:tcW w:type="dxa" w:w="2520"/>
            <w:shd w:val="clear" w:color="auto" w:fill="FFFFFF"/>
          </w:tcPr>
          <w:p>
            <w:r>
              <w:rPr>
                <w:sz w:val="16"/>
              </w:rPr>
              <w:t>Small language model</w:t>
            </w:r>
          </w:p>
        </w:tc>
      </w:tr>
      <w:tr>
        <w:tc>
          <w:tcPr>
            <w:tcW w:type="dxa" w:w="2520"/>
            <w:shd w:val="clear" w:color="auto" w:fill="F8FAFC"/>
          </w:tcPr>
          <w:p>
            <w:r>
              <w:rPr>
                <w:sz w:val="16"/>
              </w:rPr>
              <w:t>LLM</w:t>
            </w:r>
          </w:p>
        </w:tc>
        <w:tc>
          <w:tcPr>
            <w:tcW w:type="dxa" w:w="2520"/>
            <w:shd w:val="clear" w:color="auto" w:fill="F8FAFC"/>
          </w:tcPr>
          <w:p>
            <w:r>
              <w:rPr>
                <w:sz w:val="16"/>
              </w:rPr>
              <w:t>Large language model</w:t>
            </w:r>
          </w:p>
        </w:tc>
        <w:tc>
          <w:tcPr>
            <w:tcW w:type="dxa" w:w="2520"/>
            <w:shd w:val="clear" w:color="auto" w:fill="F8FAFC"/>
          </w:tcPr>
          <w:p>
            <w:r>
              <w:rPr>
                <w:sz w:val="16"/>
              </w:rPr>
              <w:t>SNS</w:t>
            </w:r>
          </w:p>
        </w:tc>
        <w:tc>
          <w:tcPr>
            <w:tcW w:type="dxa" w:w="2520"/>
            <w:shd w:val="clear" w:color="auto" w:fill="F8FAFC"/>
          </w:tcPr>
          <w:p>
            <w:r>
              <w:rPr>
                <w:sz w:val="16"/>
              </w:rPr>
              <w:t>Simple Notification Service</w:t>
            </w:r>
          </w:p>
        </w:tc>
      </w:tr>
      <w:tr>
        <w:tc>
          <w:tcPr>
            <w:tcW w:type="dxa" w:w="2520"/>
            <w:shd w:val="clear" w:color="auto" w:fill="FFFFFF"/>
          </w:tcPr>
          <w:p>
            <w:r>
              <w:rPr>
                <w:sz w:val="16"/>
              </w:rPr>
              <w:t>NHP</w:t>
            </w:r>
          </w:p>
        </w:tc>
        <w:tc>
          <w:tcPr>
            <w:tcW w:type="dxa" w:w="2520"/>
            <w:shd w:val="clear" w:color="auto" w:fill="FFFFFF"/>
          </w:tcPr>
          <w:p>
            <w:r>
              <w:rPr>
                <w:sz w:val="16"/>
              </w:rPr>
              <w:t>National Health Portal</w:t>
            </w:r>
          </w:p>
        </w:tc>
        <w:tc>
          <w:tcPr>
            <w:tcW w:type="dxa" w:w="2520"/>
            <w:shd w:val="clear" w:color="auto" w:fill="FFFFFF"/>
          </w:tcPr>
          <w:p>
            <w:r>
              <w:rPr>
                <w:sz w:val="16"/>
              </w:rPr>
              <w:t>TTL</w:t>
            </w:r>
          </w:p>
        </w:tc>
        <w:tc>
          <w:tcPr>
            <w:tcW w:type="dxa" w:w="2520"/>
            <w:shd w:val="clear" w:color="auto" w:fill="FFFFFF"/>
          </w:tcPr>
          <w:p>
            <w:r>
              <w:rPr>
                <w:sz w:val="16"/>
              </w:rPr>
              <w:t>Time to live</w:t>
            </w:r>
          </w:p>
        </w:tc>
      </w:tr>
    </w:tbl>
    <w:p>
      <w:pPr>
        <w:spacing w:after="80"/>
      </w:pPr>
    </w:p>
    <w:p>
      <w:pPr>
        <w:spacing w:before="280" w:after="80"/>
      </w:pPr>
      <w:r>
        <w:rPr>
          <w:b/>
          <w:sz w:val="22"/>
        </w:rPr>
        <w:t>APPENDIX D. LITERATURE SCOPING METHOD</w:t>
      </w:r>
    </w:p>
    <w:p>
      <w:pPr>
        <w:spacing w:after="120" w:line="252" w:lineRule="auto"/>
      </w:pPr>
      <w:r>
        <w:t>The survey searched six source families across computer science and medical literature (Table 26).</w:t>
      </w:r>
    </w:p>
    <w:p>
      <w:pPr>
        <w:spacing w:before="160" w:after="60"/>
        <w:jc w:val="center"/>
      </w:pPr>
      <w:r>
        <w:rPr>
          <w:b/>
          <w:sz w:val="17"/>
        </w:rPr>
        <w:t>TABLE 26. SOURCE FAMILIES AND THEMES SEARCHED</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E293B"/>
          </w:tcPr>
          <w:p>
            <w:r>
              <w:rPr>
                <w:b/>
                <w:color w:val="FFFFFF"/>
                <w:sz w:val="16"/>
              </w:rPr>
              <w:t>Source family</w:t>
            </w:r>
          </w:p>
        </w:tc>
        <w:tc>
          <w:tcPr>
            <w:tcW w:type="dxa" w:w="3360"/>
            <w:shd w:val="clear" w:color="auto" w:fill="1E293B"/>
          </w:tcPr>
          <w:p>
            <w:r>
              <w:rPr>
                <w:b/>
                <w:color w:val="FFFFFF"/>
                <w:sz w:val="16"/>
              </w:rPr>
              <w:t>Themes searched</w:t>
            </w:r>
          </w:p>
        </w:tc>
        <w:tc>
          <w:tcPr>
            <w:tcW w:type="dxa" w:w="3360"/>
            <w:shd w:val="clear" w:color="auto" w:fill="1E293B"/>
          </w:tcPr>
          <w:p>
            <w:r>
              <w:rPr>
                <w:b/>
                <w:color w:val="FFFFFF"/>
                <w:sz w:val="16"/>
              </w:rPr>
              <w:t>Status of material</w:t>
            </w:r>
          </w:p>
        </w:tc>
      </w:tr>
      <w:tr>
        <w:tc>
          <w:tcPr>
            <w:tcW w:type="dxa" w:w="3360"/>
            <w:shd w:val="clear" w:color="auto" w:fill="FFFFFF"/>
          </w:tcPr>
          <w:p>
            <w:r>
              <w:rPr>
                <w:sz w:val="16"/>
              </w:rPr>
              <w:t>arXiv (cs.CL, cs.DC, cs.CR)</w:t>
            </w:r>
          </w:p>
        </w:tc>
        <w:tc>
          <w:tcPr>
            <w:tcW w:type="dxa" w:w="3360"/>
            <w:shd w:val="clear" w:color="auto" w:fill="FFFFFF"/>
          </w:tcPr>
          <w:p>
            <w:r>
              <w:rPr>
                <w:sz w:val="16"/>
              </w:rPr>
              <w:t>Semantic caching, serverless LLM, quantized models, prompt caching, timing side-channels</w:t>
            </w:r>
          </w:p>
        </w:tc>
        <w:tc>
          <w:tcPr>
            <w:tcW w:type="dxa" w:w="3360"/>
            <w:shd w:val="clear" w:color="auto" w:fill="FFFFFF"/>
          </w:tcPr>
          <w:p>
            <w:r>
              <w:rPr>
                <w:sz w:val="16"/>
              </w:rPr>
              <w:t>Preprints; not peer reviewed</w:t>
            </w:r>
          </w:p>
        </w:tc>
      </w:tr>
      <w:tr>
        <w:tc>
          <w:tcPr>
            <w:tcW w:type="dxa" w:w="3360"/>
            <w:shd w:val="clear" w:color="auto" w:fill="F8FAFC"/>
          </w:tcPr>
          <w:p>
            <w:r>
              <w:rPr>
                <w:sz w:val="16"/>
              </w:rPr>
              <w:t>AWS blogs and documentation</w:t>
            </w:r>
          </w:p>
        </w:tc>
        <w:tc>
          <w:tcPr>
            <w:tcW w:type="dxa" w:w="3360"/>
            <w:shd w:val="clear" w:color="auto" w:fill="F8FAFC"/>
          </w:tcPr>
          <w:p>
            <w:r>
              <w:rPr>
                <w:sz w:val="16"/>
              </w:rPr>
              <w:t>DynamoDB vector search, serverless RAG, Lambda GPU status, TTL and Streams</w:t>
            </w:r>
          </w:p>
        </w:tc>
        <w:tc>
          <w:tcPr>
            <w:tcW w:type="dxa" w:w="3360"/>
            <w:shd w:val="clear" w:color="auto" w:fill="F8FAFC"/>
          </w:tcPr>
          <w:p>
            <w:r>
              <w:rPr>
                <w:sz w:val="16"/>
              </w:rPr>
              <w:t>First-party technical documentation</w:t>
            </w:r>
          </w:p>
        </w:tc>
      </w:tr>
      <w:tr>
        <w:tc>
          <w:tcPr>
            <w:tcW w:type="dxa" w:w="3360"/>
            <w:shd w:val="clear" w:color="auto" w:fill="FFFFFF"/>
          </w:tcPr>
          <w:p>
            <w:r>
              <w:rPr>
                <w:sz w:val="16"/>
              </w:rPr>
              <w:t>ACM DL and VLDB</w:t>
            </w:r>
          </w:p>
        </w:tc>
        <w:tc>
          <w:tcPr>
            <w:tcW w:type="dxa" w:w="3360"/>
            <w:shd w:val="clear" w:color="auto" w:fill="FFFFFF"/>
          </w:tcPr>
          <w:p>
            <w:r>
              <w:rPr>
                <w:sz w:val="16"/>
              </w:rPr>
              <w:t>Context-aware semantic caching</w:t>
            </w:r>
          </w:p>
        </w:tc>
        <w:tc>
          <w:tcPr>
            <w:tcW w:type="dxa" w:w="3360"/>
            <w:shd w:val="clear" w:color="auto" w:fill="FFFFFF"/>
          </w:tcPr>
          <w:p>
            <w:r>
              <w:rPr>
                <w:sz w:val="16"/>
              </w:rPr>
              <w:t>Peer-reviewed literature</w:t>
            </w:r>
          </w:p>
        </w:tc>
      </w:tr>
      <w:tr>
        <w:tc>
          <w:tcPr>
            <w:tcW w:type="dxa" w:w="3360"/>
            <w:shd w:val="clear" w:color="auto" w:fill="F8FAFC"/>
          </w:tcPr>
          <w:p>
            <w:r>
              <w:rPr>
                <w:sz w:val="16"/>
              </w:rPr>
              <w:t>PMC, npj Digit. Med., JMIR</w:t>
            </w:r>
          </w:p>
        </w:tc>
        <w:tc>
          <w:tcPr>
            <w:tcW w:type="dxa" w:w="3360"/>
            <w:shd w:val="clear" w:color="auto" w:fill="F8FAFC"/>
          </w:tcPr>
          <w:p>
            <w:r>
              <w:rPr>
                <w:sz w:val="16"/>
              </w:rPr>
              <w:t>Clinical LLM deployment, cost, HIPAA-eligible cloud</w:t>
            </w:r>
          </w:p>
        </w:tc>
        <w:tc>
          <w:tcPr>
            <w:tcW w:type="dxa" w:w="3360"/>
            <w:shd w:val="clear" w:color="auto" w:fill="F8FAFC"/>
          </w:tcPr>
          <w:p>
            <w:r>
              <w:rPr>
                <w:sz w:val="16"/>
              </w:rPr>
              <w:t>Open-access peer-reviewed journals</w:t>
            </w:r>
          </w:p>
        </w:tc>
      </w:tr>
      <w:tr>
        <w:tc>
          <w:tcPr>
            <w:tcW w:type="dxa" w:w="3360"/>
            <w:shd w:val="clear" w:color="auto" w:fill="FFFFFF"/>
          </w:tcPr>
          <w:p>
            <w:r>
              <w:rPr>
                <w:sz w:val="16"/>
              </w:rPr>
              <w:t>Engineering blogs</w:t>
            </w:r>
          </w:p>
        </w:tc>
        <w:tc>
          <w:tcPr>
            <w:tcW w:type="dxa" w:w="3360"/>
            <w:shd w:val="clear" w:color="auto" w:fill="FFFFFF"/>
          </w:tcPr>
          <w:p>
            <w:r>
              <w:rPr>
                <w:sz w:val="16"/>
              </w:rPr>
              <w:t>Prompt-caching cost, DynamoDB embeddings and eviction</w:t>
            </w:r>
          </w:p>
        </w:tc>
        <w:tc>
          <w:tcPr>
            <w:tcW w:type="dxa" w:w="3360"/>
            <w:shd w:val="clear" w:color="auto" w:fill="FFFFFF"/>
          </w:tcPr>
          <w:p>
            <w:r>
              <w:rPr>
                <w:sz w:val="16"/>
              </w:rPr>
              <w:t>Practitioner-authored case studies</w:t>
            </w:r>
          </w:p>
        </w:tc>
      </w:tr>
      <w:tr>
        <w:tc>
          <w:tcPr>
            <w:tcW w:type="dxa" w:w="3360"/>
            <w:shd w:val="clear" w:color="auto" w:fill="F8FAFC"/>
          </w:tcPr>
          <w:p>
            <w:r>
              <w:rPr>
                <w:sz w:val="16"/>
              </w:rPr>
              <w:t>GitHub</w:t>
            </w:r>
          </w:p>
        </w:tc>
        <w:tc>
          <w:tcPr>
            <w:tcW w:type="dxa" w:w="3360"/>
            <w:shd w:val="clear" w:color="auto" w:fill="F8FAFC"/>
          </w:tcPr>
          <w:p>
            <w:r>
              <w:rPr>
                <w:sz w:val="16"/>
              </w:rPr>
              <w:t>Reference implementations of vector-DB-free patterns</w:t>
            </w:r>
          </w:p>
        </w:tc>
        <w:tc>
          <w:tcPr>
            <w:tcW w:type="dxa" w:w="3360"/>
            <w:shd w:val="clear" w:color="auto" w:fill="F8FAFC"/>
          </w:tcPr>
          <w:p>
            <w:r>
              <w:rPr>
                <w:sz w:val="16"/>
              </w:rPr>
              <w:t>Open-source reference code</w:t>
            </w:r>
          </w:p>
        </w:tc>
      </w:tr>
    </w:tbl>
    <w:p>
      <w:pPr>
        <w:spacing w:after="80"/>
      </w:pPr>
    </w:p>
    <w:p>
      <w:pPr>
        <w:spacing w:before="280" w:after="80"/>
      </w:pPr>
      <w:r>
        <w:rPr>
          <w:b/>
          <w:sz w:val="22"/>
        </w:rPr>
        <w:t>APPENDIX E. WEB CONSOLE VIEWS</w:t>
      </w:r>
    </w:p>
    <w:p>
      <w:pPr>
        <w:spacing w:after="120" w:line="252" w:lineRule="auto"/>
      </w:pPr>
      <w:r>
        <w:t>The React console (hosted on Vercel at https://gensync-med-ai.vercel.app/) exposes eight views (Table 27). No view renders raw query text.</w:t>
      </w:r>
    </w:p>
    <w:p>
      <w:pPr>
        <w:spacing w:before="160" w:after="60"/>
        <w:jc w:val="center"/>
      </w:pPr>
      <w:r>
        <w:rPr>
          <w:b/>
          <w:sz w:val="17"/>
        </w:rPr>
        <w:t>TABLE 27. WEB CONSOLE VIEWS AND WHAT THEY DEMONSTRATE</w:t>
      </w:r>
    </w:p>
    <w:tbl>
      <w:tblPr>
        <w:tblW w:type="auto" w:w="0"/>
        <w:jc w:val="center"/>
        <w:tblLook w:firstColumn="1" w:firstRow="1" w:lastColumn="0" w:lastRow="0" w:noHBand="0" w:noVBand="1" w:val="04A0"/>
      </w:tblPr>
      <w:tblGrid>
        <w:gridCol w:w="5040"/>
        <w:gridCol w:w="5040"/>
      </w:tblGrid>
      <w:tr>
        <w:tc>
          <w:tcPr>
            <w:tcW w:type="dxa" w:w="5040"/>
            <w:shd w:val="clear" w:color="auto" w:fill="1E293B"/>
          </w:tcPr>
          <w:p>
            <w:r>
              <w:rPr>
                <w:b/>
                <w:color w:val="FFFFFF"/>
                <w:sz w:val="16"/>
              </w:rPr>
              <w:t>View (component)</w:t>
            </w:r>
          </w:p>
        </w:tc>
        <w:tc>
          <w:tcPr>
            <w:tcW w:type="dxa" w:w="5040"/>
            <w:shd w:val="clear" w:color="auto" w:fill="1E293B"/>
          </w:tcPr>
          <w:p>
            <w:r>
              <w:rPr>
                <w:b/>
                <w:color w:val="FFFFFF"/>
                <w:sz w:val="16"/>
              </w:rPr>
              <w:t>Purpose and key features demonstrated</w:t>
            </w:r>
          </w:p>
        </w:tc>
      </w:tr>
      <w:tr>
        <w:tc>
          <w:tcPr>
            <w:tcW w:type="dxa" w:w="5040"/>
            <w:shd w:val="clear" w:color="auto" w:fill="FFFFFF"/>
          </w:tcPr>
          <w:p>
            <w:r>
              <w:rPr>
                <w:sz w:val="16"/>
              </w:rPr>
              <w:t>1. Executive dashboard (DashboardView)</w:t>
            </w:r>
          </w:p>
        </w:tc>
        <w:tc>
          <w:tcPr>
            <w:tcW w:type="dxa" w:w="5040"/>
            <w:shd w:val="clear" w:color="auto" w:fill="FFFFFF"/>
          </w:tcPr>
          <w:p>
            <w:r>
              <w:rPr>
                <w:sz w:val="16"/>
              </w:rPr>
              <w:t>Real-time KPI summary (32 evaluations, 43.8% safety rate, 90.0% cache hit, 211.4 ms latency), routing donut, recent evaluation log inspector.</w:t>
            </w:r>
          </w:p>
        </w:tc>
      </w:tr>
      <w:tr>
        <w:tc>
          <w:tcPr>
            <w:tcW w:type="dxa" w:w="5040"/>
            <w:shd w:val="clear" w:color="auto" w:fill="F8FAFC"/>
          </w:tcPr>
          <w:p>
            <w:r>
              <w:rPr>
                <w:sz w:val="16"/>
              </w:rPr>
              <w:t>2. Clinical query console (ClinicalQueryView)</w:t>
            </w:r>
          </w:p>
        </w:tc>
        <w:tc>
          <w:tcPr>
            <w:tcW w:type="dxa" w:w="5040"/>
            <w:shd w:val="clear" w:color="auto" w:fill="F8FAFC"/>
          </w:tcPr>
          <w:p>
            <w:r>
              <w:rPr>
                <w:sz w:val="16"/>
              </w:rPr>
              <w:t>500-character bounded input, quick presets, five response states: emergency, referral, cache hit with provenance, controlled miss, error.</w:t>
            </w:r>
          </w:p>
        </w:tc>
      </w:tr>
      <w:tr>
        <w:tc>
          <w:tcPr>
            <w:tcW w:type="dxa" w:w="5040"/>
            <w:shd w:val="clear" w:color="auto" w:fill="FFFFFF"/>
          </w:tcPr>
          <w:p>
            <w:r>
              <w:rPr>
                <w:sz w:val="16"/>
              </w:rPr>
              <w:t>3. Safety-gate monitor (SafetyMonitorView)</w:t>
            </w:r>
          </w:p>
        </w:tc>
        <w:tc>
          <w:tcPr>
            <w:tcW w:type="dxa" w:w="5040"/>
            <w:shd w:val="clear" w:color="auto" w:fill="FFFFFF"/>
          </w:tcPr>
          <w:p>
            <w:r>
              <w:rPr>
                <w:sz w:val="16"/>
              </w:rPr>
              <w:t>Active telemetry of 8 emergency and 7 referral rules, multilingual Hinglish/Tanglish rules, SNS topic status.</w:t>
            </w:r>
          </w:p>
        </w:tc>
      </w:tr>
      <w:tr>
        <w:tc>
          <w:tcPr>
            <w:tcW w:type="dxa" w:w="5040"/>
            <w:shd w:val="clear" w:color="auto" w:fill="F8FAFC"/>
          </w:tcPr>
          <w:p>
            <w:r>
              <w:rPr>
                <w:sz w:val="16"/>
              </w:rPr>
              <w:t>4. Cache-engine telemetry (CachePerformanceView)</w:t>
            </w:r>
          </w:p>
        </w:tc>
        <w:tc>
          <w:tcPr>
            <w:tcW w:type="dxa" w:w="5040"/>
            <w:shd w:val="clear" w:color="auto" w:fill="F8FAFC"/>
          </w:tcPr>
          <w:p>
            <w:r>
              <w:rPr>
                <w:sz w:val="16"/>
              </w:rPr>
              <w:t>Two-stage DynamoDB retrieval breakdown, centroid screening, cosine threshold control (0.92).</w:t>
            </w:r>
          </w:p>
        </w:tc>
      </w:tr>
      <w:tr>
        <w:tc>
          <w:tcPr>
            <w:tcW w:type="dxa" w:w="5040"/>
            <w:shd w:val="clear" w:color="auto" w:fill="FFFFFF"/>
          </w:tcPr>
          <w:p>
            <w:r>
              <w:rPr>
                <w:sz w:val="16"/>
              </w:rPr>
              <w:t>5. Audit and observability (EvaluationLogsView)</w:t>
            </w:r>
          </w:p>
        </w:tc>
        <w:tc>
          <w:tcPr>
            <w:tcW w:type="dxa" w:w="5040"/>
            <w:shd w:val="clear" w:color="auto" w:fill="FFFFFF"/>
          </w:tcPr>
          <w:p>
            <w:r>
              <w:rPr>
                <w:sz w:val="16"/>
              </w:rPr>
              <w:t>Searchable audit trail of correlation IDs, HMAC-SHA256 digests, route verdicts and latencies.</w:t>
            </w:r>
          </w:p>
        </w:tc>
      </w:tr>
      <w:tr>
        <w:tc>
          <w:tcPr>
            <w:tcW w:type="dxa" w:w="5040"/>
            <w:shd w:val="clear" w:color="auto" w:fill="F8FAFC"/>
          </w:tcPr>
          <w:p>
            <w:r>
              <w:rPr>
                <w:sz w:val="16"/>
              </w:rPr>
              <w:t>6. Benchmark and stress suite (BenchmarkView)</w:t>
            </w:r>
          </w:p>
        </w:tc>
        <w:tc>
          <w:tcPr>
            <w:tcW w:type="dxa" w:w="5040"/>
            <w:shd w:val="clear" w:color="auto" w:fill="F8FAFC"/>
          </w:tcPr>
          <w:p>
            <w:r>
              <w:rPr>
                <w:sz w:val="16"/>
              </w:rPr>
              <w:t>Breakdown of 32-case stress evaluation and root-cause analysis of HIT-10.</w:t>
            </w:r>
          </w:p>
        </w:tc>
      </w:tr>
      <w:tr>
        <w:tc>
          <w:tcPr>
            <w:tcW w:type="dxa" w:w="5040"/>
            <w:shd w:val="clear" w:color="auto" w:fill="FFFFFF"/>
          </w:tcPr>
          <w:p>
            <w:r>
              <w:rPr>
                <w:sz w:val="16"/>
              </w:rPr>
              <w:t>7. Architecture and system flow (ArchitectureView)</w:t>
            </w:r>
          </w:p>
        </w:tc>
        <w:tc>
          <w:tcPr>
            <w:tcW w:type="dxa" w:w="5040"/>
            <w:shd w:val="clear" w:color="auto" w:fill="FFFFFF"/>
          </w:tcPr>
          <w:p>
            <w:r>
              <w:rPr>
                <w:sz w:val="16"/>
              </w:rPr>
              <w:t>Interactive end-to-end pipeline diagram showing serverless micro-VM execution model and privacy boundaries.</w:t>
            </w:r>
          </w:p>
        </w:tc>
      </w:tr>
      <w:tr>
        <w:tc>
          <w:tcPr>
            <w:tcW w:type="dxa" w:w="5040"/>
            <w:shd w:val="clear" w:color="auto" w:fill="F8FAFC"/>
          </w:tcPr>
          <w:p>
            <w:r>
              <w:rPr>
                <w:sz w:val="16"/>
              </w:rPr>
              <w:t>8. Settings and governance (SettingsView)</w:t>
            </w:r>
          </w:p>
        </w:tc>
        <w:tc>
          <w:tcPr>
            <w:tcW w:type="dxa" w:w="5040"/>
            <w:shd w:val="clear" w:color="auto" w:fill="F8FAFC"/>
          </w:tcPr>
          <w:p>
            <w:r>
              <w:rPr>
                <w:sz w:val="16"/>
              </w:rPr>
              <w:t>API Gateway switchboard, emergency number config (112), and AWS budget telemetry (USD 0.00 spend).</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