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National Forensic Sciences University</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School of Cyber security and Digital Forensics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3228975" cy="3102072"/>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28975" cy="310207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b w:val="1"/>
          <w:sz w:val="30"/>
          <w:szCs w:val="30"/>
        </w:rPr>
      </w:pPr>
      <w:r w:rsidDel="00000000" w:rsidR="00000000" w:rsidRPr="00000000">
        <w:rPr>
          <w:b w:val="1"/>
          <w:sz w:val="30"/>
          <w:szCs w:val="30"/>
          <w:rtl w:val="0"/>
        </w:rPr>
        <w:t xml:space="preserve">Subject: CTMSCS S2 P1 Network Security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(TA-II Assignment)</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Submitted to: Mr. Nilesh Panchal</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Submitted by: Disha Sharma (240103002014)</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Submission Date: 16/04/2025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rPr>
          <w:b w:val="1"/>
          <w:sz w:val="32"/>
          <w:szCs w:val="32"/>
          <w:rtl w:val="0"/>
        </w:rPr>
        <w:t xml:space="preserve">INDEX</w:t>
      </w:r>
    </w:p>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numPr>
          <w:ilvl w:val="0"/>
          <w:numId w:val="2"/>
        </w:numPr>
        <w:spacing w:line="480" w:lineRule="auto"/>
        <w:ind w:left="720" w:hanging="360"/>
        <w:jc w:val="left"/>
        <w:rPr>
          <w:sz w:val="24"/>
          <w:szCs w:val="24"/>
          <w:u w:val="none"/>
        </w:rPr>
      </w:pPr>
      <w:r w:rsidDel="00000000" w:rsidR="00000000" w:rsidRPr="00000000">
        <w:rPr>
          <w:sz w:val="24"/>
          <w:szCs w:val="24"/>
          <w:rtl w:val="0"/>
        </w:rPr>
        <w:t xml:space="preserve">Summary and Background </w:t>
      </w:r>
    </w:p>
    <w:p w:rsidR="00000000" w:rsidDel="00000000" w:rsidP="00000000" w:rsidRDefault="00000000" w:rsidRPr="00000000" w14:paraId="0000001D">
      <w:pPr>
        <w:numPr>
          <w:ilvl w:val="0"/>
          <w:numId w:val="2"/>
        </w:numPr>
        <w:spacing w:line="480" w:lineRule="auto"/>
        <w:ind w:left="720" w:hanging="360"/>
        <w:jc w:val="left"/>
        <w:rPr>
          <w:sz w:val="24"/>
          <w:szCs w:val="24"/>
          <w:u w:val="none"/>
        </w:rPr>
      </w:pPr>
      <w:r w:rsidDel="00000000" w:rsidR="00000000" w:rsidRPr="00000000">
        <w:rPr>
          <w:sz w:val="24"/>
          <w:szCs w:val="24"/>
          <w:rtl w:val="0"/>
        </w:rPr>
        <w:t xml:space="preserve">Impact Assessment </w:t>
      </w:r>
    </w:p>
    <w:p w:rsidR="00000000" w:rsidDel="00000000" w:rsidP="00000000" w:rsidRDefault="00000000" w:rsidRPr="00000000" w14:paraId="0000001E">
      <w:pPr>
        <w:numPr>
          <w:ilvl w:val="0"/>
          <w:numId w:val="2"/>
        </w:numPr>
        <w:spacing w:line="480" w:lineRule="auto"/>
        <w:ind w:left="720" w:hanging="360"/>
        <w:jc w:val="left"/>
        <w:rPr>
          <w:sz w:val="24"/>
          <w:szCs w:val="24"/>
          <w:u w:val="none"/>
        </w:rPr>
      </w:pPr>
      <w:r w:rsidDel="00000000" w:rsidR="00000000" w:rsidRPr="00000000">
        <w:rPr>
          <w:sz w:val="24"/>
          <w:szCs w:val="24"/>
          <w:rtl w:val="0"/>
        </w:rPr>
        <w:t xml:space="preserve">PCAP Files Analysis</w:t>
      </w:r>
    </w:p>
    <w:p w:rsidR="00000000" w:rsidDel="00000000" w:rsidP="00000000" w:rsidRDefault="00000000" w:rsidRPr="00000000" w14:paraId="0000001F">
      <w:pPr>
        <w:numPr>
          <w:ilvl w:val="0"/>
          <w:numId w:val="2"/>
        </w:numPr>
        <w:spacing w:line="480" w:lineRule="auto"/>
        <w:ind w:left="720" w:hanging="360"/>
        <w:jc w:val="left"/>
        <w:rPr>
          <w:sz w:val="24"/>
          <w:szCs w:val="24"/>
          <w:u w:val="none"/>
        </w:rPr>
      </w:pPr>
      <w:r w:rsidDel="00000000" w:rsidR="00000000" w:rsidRPr="00000000">
        <w:rPr>
          <w:sz w:val="24"/>
          <w:szCs w:val="24"/>
          <w:rtl w:val="0"/>
        </w:rPr>
        <w:t xml:space="preserve">Conclusion </w:t>
      </w:r>
    </w:p>
    <w:p w:rsidR="00000000" w:rsidDel="00000000" w:rsidP="00000000" w:rsidRDefault="00000000" w:rsidRPr="00000000" w14:paraId="00000020">
      <w:pPr>
        <w:numPr>
          <w:ilvl w:val="0"/>
          <w:numId w:val="2"/>
        </w:numPr>
        <w:spacing w:line="480" w:lineRule="auto"/>
        <w:ind w:left="720" w:hanging="360"/>
        <w:jc w:val="left"/>
        <w:rPr>
          <w:sz w:val="24"/>
          <w:szCs w:val="24"/>
          <w:u w:val="none"/>
        </w:rPr>
      </w:pPr>
      <w:r w:rsidDel="00000000" w:rsidR="00000000" w:rsidRPr="00000000">
        <w:rPr>
          <w:sz w:val="24"/>
          <w:szCs w:val="24"/>
          <w:rtl w:val="0"/>
        </w:rPr>
        <w:t xml:space="preserve">References </w:t>
      </w:r>
    </w:p>
    <w:p w:rsidR="00000000" w:rsidDel="00000000" w:rsidP="00000000" w:rsidRDefault="00000000" w:rsidRPr="00000000" w14:paraId="00000021">
      <w:pPr>
        <w:spacing w:line="480" w:lineRule="auto"/>
        <w:jc w:val="left"/>
        <w:rPr>
          <w:sz w:val="24"/>
          <w:szCs w:val="24"/>
        </w:rPr>
      </w:pPr>
      <w:r w:rsidDel="00000000" w:rsidR="00000000" w:rsidRPr="00000000">
        <w:rPr>
          <w:rtl w:val="0"/>
        </w:rPr>
      </w:r>
    </w:p>
    <w:p w:rsidR="00000000" w:rsidDel="00000000" w:rsidP="00000000" w:rsidRDefault="00000000" w:rsidRPr="00000000" w14:paraId="00000022">
      <w:pPr>
        <w:spacing w:line="480" w:lineRule="auto"/>
        <w:jc w:val="left"/>
        <w:rPr>
          <w:sz w:val="24"/>
          <w:szCs w:val="24"/>
        </w:rPr>
      </w:pPr>
      <w:r w:rsidDel="00000000" w:rsidR="00000000" w:rsidRPr="00000000">
        <w:rPr>
          <w:rtl w:val="0"/>
        </w:rPr>
      </w:r>
    </w:p>
    <w:p w:rsidR="00000000" w:rsidDel="00000000" w:rsidP="00000000" w:rsidRDefault="00000000" w:rsidRPr="00000000" w14:paraId="00000023">
      <w:pPr>
        <w:spacing w:line="480" w:lineRule="auto"/>
        <w:jc w:val="left"/>
        <w:rPr>
          <w:sz w:val="24"/>
          <w:szCs w:val="24"/>
        </w:rPr>
      </w:pPr>
      <w:r w:rsidDel="00000000" w:rsidR="00000000" w:rsidRPr="00000000">
        <w:rPr>
          <w:rtl w:val="0"/>
        </w:rPr>
      </w:r>
    </w:p>
    <w:p w:rsidR="00000000" w:rsidDel="00000000" w:rsidP="00000000" w:rsidRDefault="00000000" w:rsidRPr="00000000" w14:paraId="00000024">
      <w:pPr>
        <w:spacing w:line="480" w:lineRule="auto"/>
        <w:jc w:val="left"/>
        <w:rPr>
          <w:sz w:val="24"/>
          <w:szCs w:val="24"/>
        </w:rPr>
      </w:pPr>
      <w:r w:rsidDel="00000000" w:rsidR="00000000" w:rsidRPr="00000000">
        <w:rPr>
          <w:rtl w:val="0"/>
        </w:rPr>
      </w:r>
    </w:p>
    <w:p w:rsidR="00000000" w:rsidDel="00000000" w:rsidP="00000000" w:rsidRDefault="00000000" w:rsidRPr="00000000" w14:paraId="00000025">
      <w:pPr>
        <w:spacing w:line="480" w:lineRule="auto"/>
        <w:jc w:val="left"/>
        <w:rPr>
          <w:sz w:val="24"/>
          <w:szCs w:val="24"/>
        </w:rPr>
      </w:pPr>
      <w:r w:rsidDel="00000000" w:rsidR="00000000" w:rsidRPr="00000000">
        <w:rPr>
          <w:rtl w:val="0"/>
        </w:rPr>
      </w:r>
    </w:p>
    <w:p w:rsidR="00000000" w:rsidDel="00000000" w:rsidP="00000000" w:rsidRDefault="00000000" w:rsidRPr="00000000" w14:paraId="00000026">
      <w:pPr>
        <w:spacing w:line="480" w:lineRule="auto"/>
        <w:jc w:val="left"/>
        <w:rPr>
          <w:sz w:val="24"/>
          <w:szCs w:val="24"/>
        </w:rPr>
      </w:pPr>
      <w:r w:rsidDel="00000000" w:rsidR="00000000" w:rsidRPr="00000000">
        <w:rPr>
          <w:rtl w:val="0"/>
        </w:rPr>
      </w:r>
    </w:p>
    <w:p w:rsidR="00000000" w:rsidDel="00000000" w:rsidP="00000000" w:rsidRDefault="00000000" w:rsidRPr="00000000" w14:paraId="00000027">
      <w:pPr>
        <w:spacing w:line="480" w:lineRule="auto"/>
        <w:jc w:val="left"/>
        <w:rPr>
          <w:sz w:val="24"/>
          <w:szCs w:val="24"/>
        </w:rPr>
      </w:pPr>
      <w:r w:rsidDel="00000000" w:rsidR="00000000" w:rsidRPr="00000000">
        <w:rPr>
          <w:rtl w:val="0"/>
        </w:rPr>
      </w:r>
    </w:p>
    <w:p w:rsidR="00000000" w:rsidDel="00000000" w:rsidP="00000000" w:rsidRDefault="00000000" w:rsidRPr="00000000" w14:paraId="00000028">
      <w:pPr>
        <w:spacing w:line="480" w:lineRule="auto"/>
        <w:jc w:val="left"/>
        <w:rPr>
          <w:sz w:val="24"/>
          <w:szCs w:val="24"/>
        </w:rPr>
      </w:pPr>
      <w:r w:rsidDel="00000000" w:rsidR="00000000" w:rsidRPr="00000000">
        <w:rPr>
          <w:rtl w:val="0"/>
        </w:rPr>
      </w:r>
    </w:p>
    <w:p w:rsidR="00000000" w:rsidDel="00000000" w:rsidP="00000000" w:rsidRDefault="00000000" w:rsidRPr="00000000" w14:paraId="00000029">
      <w:pPr>
        <w:spacing w:line="480" w:lineRule="auto"/>
        <w:jc w:val="left"/>
        <w:rPr>
          <w:sz w:val="24"/>
          <w:szCs w:val="24"/>
        </w:rPr>
      </w:pPr>
      <w:r w:rsidDel="00000000" w:rsidR="00000000" w:rsidRPr="00000000">
        <w:rPr>
          <w:rtl w:val="0"/>
        </w:rPr>
      </w:r>
    </w:p>
    <w:p w:rsidR="00000000" w:rsidDel="00000000" w:rsidP="00000000" w:rsidRDefault="00000000" w:rsidRPr="00000000" w14:paraId="0000002A">
      <w:pPr>
        <w:spacing w:line="480" w:lineRule="auto"/>
        <w:jc w:val="left"/>
        <w:rPr>
          <w:sz w:val="24"/>
          <w:szCs w:val="24"/>
        </w:rPr>
      </w:pPr>
      <w:r w:rsidDel="00000000" w:rsidR="00000000" w:rsidRPr="00000000">
        <w:rPr>
          <w:rtl w:val="0"/>
        </w:rPr>
      </w:r>
    </w:p>
    <w:p w:rsidR="00000000" w:rsidDel="00000000" w:rsidP="00000000" w:rsidRDefault="00000000" w:rsidRPr="00000000" w14:paraId="0000002B">
      <w:pPr>
        <w:spacing w:line="480" w:lineRule="auto"/>
        <w:jc w:val="left"/>
        <w:rPr>
          <w:sz w:val="24"/>
          <w:szCs w:val="24"/>
        </w:rPr>
      </w:pPr>
      <w:r w:rsidDel="00000000" w:rsidR="00000000" w:rsidRPr="00000000">
        <w:rPr>
          <w:rtl w:val="0"/>
        </w:rPr>
      </w:r>
    </w:p>
    <w:p w:rsidR="00000000" w:rsidDel="00000000" w:rsidP="00000000" w:rsidRDefault="00000000" w:rsidRPr="00000000" w14:paraId="0000002C">
      <w:pPr>
        <w:spacing w:line="480" w:lineRule="auto"/>
        <w:jc w:val="left"/>
        <w:rPr>
          <w:sz w:val="24"/>
          <w:szCs w:val="24"/>
        </w:rPr>
      </w:pPr>
      <w:r w:rsidDel="00000000" w:rsidR="00000000" w:rsidRPr="00000000">
        <w:rPr>
          <w:rtl w:val="0"/>
        </w:rPr>
      </w:r>
    </w:p>
    <w:p w:rsidR="00000000" w:rsidDel="00000000" w:rsidP="00000000" w:rsidRDefault="00000000" w:rsidRPr="00000000" w14:paraId="0000002D">
      <w:pPr>
        <w:spacing w:line="480" w:lineRule="auto"/>
        <w:jc w:val="left"/>
        <w:rPr>
          <w:sz w:val="24"/>
          <w:szCs w:val="24"/>
        </w:rPr>
      </w:pPr>
      <w:r w:rsidDel="00000000" w:rsidR="00000000" w:rsidRPr="00000000">
        <w:rPr>
          <w:rtl w:val="0"/>
        </w:rPr>
      </w:r>
    </w:p>
    <w:p w:rsidR="00000000" w:rsidDel="00000000" w:rsidP="00000000" w:rsidRDefault="00000000" w:rsidRPr="00000000" w14:paraId="0000002E">
      <w:pPr>
        <w:spacing w:line="480" w:lineRule="auto"/>
        <w:jc w:val="left"/>
        <w:rPr>
          <w:sz w:val="24"/>
          <w:szCs w:val="24"/>
        </w:rPr>
      </w:pPr>
      <w:r w:rsidDel="00000000" w:rsidR="00000000" w:rsidRPr="00000000">
        <w:rPr>
          <w:rtl w:val="0"/>
        </w:rPr>
      </w:r>
    </w:p>
    <w:p w:rsidR="00000000" w:rsidDel="00000000" w:rsidP="00000000" w:rsidRDefault="00000000" w:rsidRPr="00000000" w14:paraId="0000002F">
      <w:pPr>
        <w:spacing w:line="480" w:lineRule="auto"/>
        <w:jc w:val="left"/>
        <w:rPr>
          <w:sz w:val="24"/>
          <w:szCs w:val="24"/>
        </w:rPr>
      </w:pPr>
      <w:r w:rsidDel="00000000" w:rsidR="00000000" w:rsidRPr="00000000">
        <w:rPr>
          <w:rtl w:val="0"/>
        </w:rPr>
      </w:r>
    </w:p>
    <w:p w:rsidR="00000000" w:rsidDel="00000000" w:rsidP="00000000" w:rsidRDefault="00000000" w:rsidRPr="00000000" w14:paraId="00000030">
      <w:pPr>
        <w:spacing w:line="480" w:lineRule="auto"/>
        <w:jc w:val="left"/>
        <w:rPr>
          <w:sz w:val="24"/>
          <w:szCs w:val="24"/>
        </w:rPr>
      </w:pPr>
      <w:r w:rsidDel="00000000" w:rsidR="00000000" w:rsidRPr="00000000">
        <w:rPr>
          <w:rtl w:val="0"/>
        </w:rPr>
      </w:r>
    </w:p>
    <w:p w:rsidR="00000000" w:rsidDel="00000000" w:rsidP="00000000" w:rsidRDefault="00000000" w:rsidRPr="00000000" w14:paraId="00000031">
      <w:pPr>
        <w:spacing w:line="480" w:lineRule="auto"/>
        <w:jc w:val="left"/>
        <w:rPr>
          <w:sz w:val="24"/>
          <w:szCs w:val="24"/>
        </w:rPr>
      </w:pPr>
      <w:r w:rsidDel="00000000" w:rsidR="00000000" w:rsidRPr="00000000">
        <w:rPr>
          <w:rtl w:val="0"/>
        </w:rPr>
      </w:r>
    </w:p>
    <w:p w:rsidR="00000000" w:rsidDel="00000000" w:rsidP="00000000" w:rsidRDefault="00000000" w:rsidRPr="00000000" w14:paraId="00000032">
      <w:pPr>
        <w:spacing w:line="480" w:lineRule="auto"/>
        <w:jc w:val="left"/>
        <w:rPr>
          <w:b w:val="1"/>
          <w:sz w:val="28"/>
          <w:szCs w:val="28"/>
          <w:u w:val="single"/>
        </w:rPr>
      </w:pPr>
      <w:r w:rsidDel="00000000" w:rsidR="00000000" w:rsidRPr="00000000">
        <w:rPr>
          <w:b w:val="1"/>
          <w:sz w:val="28"/>
          <w:szCs w:val="28"/>
          <w:u w:val="single"/>
          <w:rtl w:val="0"/>
        </w:rPr>
        <w:t xml:space="preserve">SUMMARY AND BACKGROUND</w:t>
      </w:r>
    </w:p>
    <w:p w:rsidR="00000000" w:rsidDel="00000000" w:rsidP="00000000" w:rsidRDefault="00000000" w:rsidRPr="00000000" w14:paraId="00000033">
      <w:pPr>
        <w:spacing w:line="480" w:lineRule="auto"/>
        <w:jc w:val="left"/>
        <w:rPr/>
      </w:pPr>
      <w:r w:rsidDel="00000000" w:rsidR="00000000" w:rsidRPr="00000000">
        <w:rPr>
          <w:rtl w:val="0"/>
        </w:rPr>
        <w:t xml:space="preserve">Numerous consumers in Ukraine were impacted by unplanned power disruptions that Ukrainian electricity companies encountered on December 23, 2015.  Furthermore, spyware discovered in Ukrainian businesses across a range of vital infrastructure industries has also been reported.  The BlackEnergy (BE) malware was found on the organizations' computer networks, according to public sources. However, it is crucial to remember that BE's involvement in this incident is yet uncertain until additional technical investigation.</w:t>
      </w:r>
    </w:p>
    <w:p w:rsidR="00000000" w:rsidDel="00000000" w:rsidP="00000000" w:rsidRDefault="00000000" w:rsidRPr="00000000" w14:paraId="00000034">
      <w:pPr>
        <w:spacing w:line="480" w:lineRule="auto"/>
        <w:jc w:val="left"/>
        <w:rPr/>
      </w:pPr>
      <w:r w:rsidDel="00000000" w:rsidR="00000000" w:rsidRPr="00000000">
        <w:rPr>
          <w:rtl w:val="0"/>
        </w:rPr>
      </w:r>
    </w:p>
    <w:p w:rsidR="00000000" w:rsidDel="00000000" w:rsidP="00000000" w:rsidRDefault="00000000" w:rsidRPr="00000000" w14:paraId="00000035">
      <w:pPr>
        <w:spacing w:line="480" w:lineRule="auto"/>
        <w:jc w:val="left"/>
        <w:rPr/>
      </w:pPr>
      <w:r w:rsidDel="00000000" w:rsidR="00000000" w:rsidRPr="00000000">
        <w:rPr>
          <w:rtl w:val="0"/>
        </w:rPr>
        <w:t xml:space="preserve">To work together and learn more, an interagency team from the Department of Energy, Federal Bureau of Investigation, North American Electric Reliability Corporation, U.S. Computer Emergency Readiness Team (US-CERT), National Cybersecurity and Communications Integration Center (NCCIC)/Industrial Control Systems Cyber Emergency Response Team (ICS-CERT), and the National Cybersecurity and Communications Integration Center (NCCIC) traveled to Ukraine.  The U.S. team and the Ukrainian government collaborated closely and transparently, exchanging intelligence to help stop future cyberattacks.</w:t>
      </w:r>
    </w:p>
    <w:p w:rsidR="00000000" w:rsidDel="00000000" w:rsidP="00000000" w:rsidRDefault="00000000" w:rsidRPr="00000000" w14:paraId="00000036">
      <w:pPr>
        <w:spacing w:line="480" w:lineRule="auto"/>
        <w:jc w:val="left"/>
        <w:rPr>
          <w:sz w:val="28"/>
          <w:szCs w:val="28"/>
        </w:rPr>
      </w:pPr>
      <w:r w:rsidDel="00000000" w:rsidR="00000000" w:rsidRPr="00000000">
        <w:rPr>
          <w:rtl w:val="0"/>
        </w:rPr>
      </w:r>
    </w:p>
    <w:p w:rsidR="00000000" w:rsidDel="00000000" w:rsidP="00000000" w:rsidRDefault="00000000" w:rsidRPr="00000000" w14:paraId="00000037">
      <w:pPr>
        <w:spacing w:line="480" w:lineRule="auto"/>
        <w:jc w:val="left"/>
        <w:rPr>
          <w:sz w:val="28"/>
          <w:szCs w:val="28"/>
        </w:rPr>
      </w:pPr>
      <w:r w:rsidDel="00000000" w:rsidR="00000000" w:rsidRPr="00000000">
        <w:rPr>
          <w:rtl w:val="0"/>
        </w:rPr>
      </w:r>
    </w:p>
    <w:p w:rsidR="00000000" w:rsidDel="00000000" w:rsidP="00000000" w:rsidRDefault="00000000" w:rsidRPr="00000000" w14:paraId="00000038">
      <w:pPr>
        <w:spacing w:line="480" w:lineRule="auto"/>
        <w:jc w:val="left"/>
        <w:rPr>
          <w:sz w:val="28"/>
          <w:szCs w:val="28"/>
        </w:rPr>
      </w:pPr>
      <w:r w:rsidDel="00000000" w:rsidR="00000000" w:rsidRPr="00000000">
        <w:rPr>
          <w:rtl w:val="0"/>
        </w:rPr>
      </w:r>
    </w:p>
    <w:p w:rsidR="00000000" w:rsidDel="00000000" w:rsidP="00000000" w:rsidRDefault="00000000" w:rsidRPr="00000000" w14:paraId="00000039">
      <w:pPr>
        <w:spacing w:line="480" w:lineRule="auto"/>
        <w:jc w:val="left"/>
        <w:rPr>
          <w:sz w:val="28"/>
          <w:szCs w:val="28"/>
        </w:rPr>
      </w:pPr>
      <w:r w:rsidDel="00000000" w:rsidR="00000000" w:rsidRPr="00000000">
        <w:rPr>
          <w:rtl w:val="0"/>
        </w:rPr>
      </w:r>
    </w:p>
    <w:p w:rsidR="00000000" w:rsidDel="00000000" w:rsidP="00000000" w:rsidRDefault="00000000" w:rsidRPr="00000000" w14:paraId="0000003A">
      <w:pPr>
        <w:spacing w:line="480" w:lineRule="auto"/>
        <w:jc w:val="left"/>
        <w:rPr>
          <w:sz w:val="28"/>
          <w:szCs w:val="28"/>
        </w:rPr>
      </w:pPr>
      <w:r w:rsidDel="00000000" w:rsidR="00000000" w:rsidRPr="00000000">
        <w:rPr>
          <w:rtl w:val="0"/>
        </w:rPr>
      </w:r>
    </w:p>
    <w:p w:rsidR="00000000" w:rsidDel="00000000" w:rsidP="00000000" w:rsidRDefault="00000000" w:rsidRPr="00000000" w14:paraId="0000003B">
      <w:pPr>
        <w:spacing w:line="480" w:lineRule="auto"/>
        <w:jc w:val="left"/>
        <w:rPr>
          <w:sz w:val="28"/>
          <w:szCs w:val="28"/>
        </w:rPr>
      </w:pPr>
      <w:r w:rsidDel="00000000" w:rsidR="00000000" w:rsidRPr="00000000">
        <w:rPr>
          <w:rtl w:val="0"/>
        </w:rPr>
      </w:r>
    </w:p>
    <w:p w:rsidR="00000000" w:rsidDel="00000000" w:rsidP="00000000" w:rsidRDefault="00000000" w:rsidRPr="00000000" w14:paraId="0000003C">
      <w:pPr>
        <w:spacing w:line="480" w:lineRule="auto"/>
        <w:jc w:val="left"/>
        <w:rPr>
          <w:sz w:val="28"/>
          <w:szCs w:val="28"/>
        </w:rPr>
      </w:pPr>
      <w:r w:rsidDel="00000000" w:rsidR="00000000" w:rsidRPr="00000000">
        <w:rPr>
          <w:rtl w:val="0"/>
        </w:rPr>
      </w:r>
    </w:p>
    <w:p w:rsidR="00000000" w:rsidDel="00000000" w:rsidP="00000000" w:rsidRDefault="00000000" w:rsidRPr="00000000" w14:paraId="0000003D">
      <w:pPr>
        <w:spacing w:line="480" w:lineRule="auto"/>
        <w:jc w:val="left"/>
        <w:rPr>
          <w:sz w:val="28"/>
          <w:szCs w:val="28"/>
        </w:rPr>
      </w:pPr>
      <w:r w:rsidDel="00000000" w:rsidR="00000000" w:rsidRPr="00000000">
        <w:rPr>
          <w:rtl w:val="0"/>
        </w:rPr>
      </w:r>
    </w:p>
    <w:p w:rsidR="00000000" w:rsidDel="00000000" w:rsidP="00000000" w:rsidRDefault="00000000" w:rsidRPr="00000000" w14:paraId="0000003E">
      <w:pPr>
        <w:spacing w:line="480" w:lineRule="auto"/>
        <w:jc w:val="left"/>
        <w:rPr>
          <w:b w:val="1"/>
          <w:sz w:val="28"/>
          <w:szCs w:val="28"/>
          <w:u w:val="single"/>
        </w:rPr>
      </w:pPr>
      <w:r w:rsidDel="00000000" w:rsidR="00000000" w:rsidRPr="00000000">
        <w:rPr>
          <w:b w:val="1"/>
          <w:sz w:val="28"/>
          <w:szCs w:val="28"/>
          <w:u w:val="single"/>
          <w:rtl w:val="0"/>
        </w:rPr>
        <w:t xml:space="preserve">IMPACT ASSESSMENT</w:t>
      </w:r>
    </w:p>
    <w:p w:rsidR="00000000" w:rsidDel="00000000" w:rsidP="00000000" w:rsidRDefault="00000000" w:rsidRPr="00000000" w14:paraId="0000003F">
      <w:pPr>
        <w:spacing w:line="480" w:lineRule="auto"/>
        <w:rPr/>
      </w:pPr>
      <w:r w:rsidDel="00000000" w:rsidR="00000000" w:rsidRPr="00000000">
        <w:rPr>
          <w:rtl w:val="0"/>
        </w:rPr>
        <w:t xml:space="preserve">Researchers looking into the incident have determined that a power outage that occurred in December in a portion of Kiev, the capital of Ukraine, was a cyberattack.</w:t>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t xml:space="preserve">The blackout began just before midnight on December 17 and lasted for just over an hour.</w:t>
      </w:r>
    </w:p>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rPr>
          <w:rtl w:val="0"/>
        </w:rPr>
        <w:t xml:space="preserve">Information Systems Security Partners (ISSP), a cyber-security firm, has connected the incident to a 2015 breach and blackout that impacted 225,000 people.</w:t>
      </w:r>
    </w:p>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t xml:space="preserve">According to the national energy firm Ukrenergo at the time, the 2016 power outage had cost Kiev almost one-fifth of its nighttime power use.</w:t>
      </w:r>
    </w:p>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spacing w:line="480" w:lineRule="auto"/>
        <w:jc w:val="left"/>
        <w:rPr/>
      </w:pPr>
      <w:r w:rsidDel="00000000" w:rsidR="00000000" w:rsidRPr="00000000">
        <w:rPr>
          <w:rtl w:val="0"/>
        </w:rPr>
        <w:t xml:space="preserve">People in parts of the city and the surrounding area were left without energy until just after 1:00 a.m. due to the disruption of the Pivnichna substation outside the capital.</w:t>
      </w:r>
    </w:p>
    <w:p w:rsidR="00000000" w:rsidDel="00000000" w:rsidP="00000000" w:rsidRDefault="00000000" w:rsidRPr="00000000" w14:paraId="00000048">
      <w:pPr>
        <w:spacing w:line="480" w:lineRule="auto"/>
        <w:jc w:val="left"/>
        <w:rPr/>
      </w:pPr>
      <w:r w:rsidDel="00000000" w:rsidR="00000000" w:rsidRPr="00000000">
        <w:rPr>
          <w:rtl w:val="0"/>
        </w:rPr>
      </w:r>
    </w:p>
    <w:p w:rsidR="00000000" w:rsidDel="00000000" w:rsidP="00000000" w:rsidRDefault="00000000" w:rsidRPr="00000000" w14:paraId="00000049">
      <w:pPr>
        <w:spacing w:line="480" w:lineRule="auto"/>
        <w:jc w:val="left"/>
        <w:rPr>
          <w:sz w:val="28"/>
          <w:szCs w:val="28"/>
        </w:rPr>
      </w:pPr>
      <w:r w:rsidDel="00000000" w:rsidR="00000000" w:rsidRPr="00000000">
        <w:rPr>
          <w:rtl w:val="0"/>
        </w:rPr>
      </w:r>
    </w:p>
    <w:p w:rsidR="00000000" w:rsidDel="00000000" w:rsidP="00000000" w:rsidRDefault="00000000" w:rsidRPr="00000000" w14:paraId="0000004A">
      <w:pPr>
        <w:spacing w:line="480" w:lineRule="auto"/>
        <w:jc w:val="left"/>
        <w:rPr>
          <w:sz w:val="28"/>
          <w:szCs w:val="28"/>
        </w:rPr>
      </w:pPr>
      <w:r w:rsidDel="00000000" w:rsidR="00000000" w:rsidRPr="00000000">
        <w:rPr>
          <w:rtl w:val="0"/>
        </w:rPr>
      </w:r>
    </w:p>
    <w:p w:rsidR="00000000" w:rsidDel="00000000" w:rsidP="00000000" w:rsidRDefault="00000000" w:rsidRPr="00000000" w14:paraId="0000004B">
      <w:pPr>
        <w:spacing w:line="480" w:lineRule="auto"/>
        <w:jc w:val="left"/>
        <w:rPr>
          <w:sz w:val="28"/>
          <w:szCs w:val="28"/>
        </w:rPr>
      </w:pPr>
      <w:r w:rsidDel="00000000" w:rsidR="00000000" w:rsidRPr="00000000">
        <w:rPr>
          <w:rtl w:val="0"/>
        </w:rPr>
      </w:r>
    </w:p>
    <w:p w:rsidR="00000000" w:rsidDel="00000000" w:rsidP="00000000" w:rsidRDefault="00000000" w:rsidRPr="00000000" w14:paraId="0000004C">
      <w:pPr>
        <w:spacing w:line="480" w:lineRule="auto"/>
        <w:jc w:val="left"/>
        <w:rPr>
          <w:sz w:val="28"/>
          <w:szCs w:val="28"/>
        </w:rPr>
      </w:pPr>
      <w:r w:rsidDel="00000000" w:rsidR="00000000" w:rsidRPr="00000000">
        <w:rPr>
          <w:rtl w:val="0"/>
        </w:rPr>
      </w:r>
    </w:p>
    <w:p w:rsidR="00000000" w:rsidDel="00000000" w:rsidP="00000000" w:rsidRDefault="00000000" w:rsidRPr="00000000" w14:paraId="0000004D">
      <w:pPr>
        <w:spacing w:line="480" w:lineRule="auto"/>
        <w:jc w:val="left"/>
        <w:rPr>
          <w:sz w:val="28"/>
          <w:szCs w:val="28"/>
        </w:rPr>
      </w:pPr>
      <w:r w:rsidDel="00000000" w:rsidR="00000000" w:rsidRPr="00000000">
        <w:rPr>
          <w:rtl w:val="0"/>
        </w:rPr>
      </w:r>
    </w:p>
    <w:p w:rsidR="00000000" w:rsidDel="00000000" w:rsidP="00000000" w:rsidRDefault="00000000" w:rsidRPr="00000000" w14:paraId="0000004E">
      <w:pPr>
        <w:spacing w:line="480" w:lineRule="auto"/>
        <w:jc w:val="left"/>
        <w:rPr>
          <w:sz w:val="28"/>
          <w:szCs w:val="28"/>
        </w:rPr>
      </w:pPr>
      <w:r w:rsidDel="00000000" w:rsidR="00000000" w:rsidRPr="00000000">
        <w:rPr>
          <w:rtl w:val="0"/>
        </w:rPr>
      </w:r>
    </w:p>
    <w:p w:rsidR="00000000" w:rsidDel="00000000" w:rsidP="00000000" w:rsidRDefault="00000000" w:rsidRPr="00000000" w14:paraId="0000004F">
      <w:pPr>
        <w:spacing w:line="480" w:lineRule="auto"/>
        <w:jc w:val="left"/>
        <w:rPr>
          <w:sz w:val="28"/>
          <w:szCs w:val="28"/>
        </w:rPr>
      </w:pPr>
      <w:r w:rsidDel="00000000" w:rsidR="00000000" w:rsidRPr="00000000">
        <w:rPr>
          <w:rtl w:val="0"/>
        </w:rPr>
      </w:r>
    </w:p>
    <w:p w:rsidR="00000000" w:rsidDel="00000000" w:rsidP="00000000" w:rsidRDefault="00000000" w:rsidRPr="00000000" w14:paraId="00000050">
      <w:pPr>
        <w:spacing w:line="480" w:lineRule="auto"/>
        <w:jc w:val="left"/>
        <w:rPr>
          <w:sz w:val="28"/>
          <w:szCs w:val="28"/>
        </w:rPr>
      </w:pPr>
      <w:r w:rsidDel="00000000" w:rsidR="00000000" w:rsidRPr="00000000">
        <w:rPr>
          <w:rtl w:val="0"/>
        </w:rPr>
      </w:r>
    </w:p>
    <w:p w:rsidR="00000000" w:rsidDel="00000000" w:rsidP="00000000" w:rsidRDefault="00000000" w:rsidRPr="00000000" w14:paraId="00000051">
      <w:pPr>
        <w:spacing w:line="480" w:lineRule="auto"/>
        <w:jc w:val="left"/>
        <w:rPr>
          <w:b w:val="1"/>
          <w:sz w:val="28"/>
          <w:szCs w:val="28"/>
          <w:u w:val="single"/>
        </w:rPr>
      </w:pPr>
      <w:r w:rsidDel="00000000" w:rsidR="00000000" w:rsidRPr="00000000">
        <w:rPr>
          <w:b w:val="1"/>
          <w:sz w:val="28"/>
          <w:szCs w:val="28"/>
          <w:u w:val="single"/>
          <w:rtl w:val="0"/>
        </w:rPr>
        <w:t xml:space="preserve">PCAP FILE ANALYSIS</w:t>
      </w:r>
    </w:p>
    <w:p w:rsidR="00000000" w:rsidDel="00000000" w:rsidP="00000000" w:rsidRDefault="00000000" w:rsidRPr="00000000" w14:paraId="00000052">
      <w:pPr>
        <w:spacing w:line="480" w:lineRule="auto"/>
        <w:jc w:val="left"/>
        <w:rPr>
          <w:sz w:val="28"/>
          <w:szCs w:val="28"/>
        </w:rPr>
      </w:pPr>
      <w:r w:rsidDel="00000000" w:rsidR="00000000" w:rsidRPr="00000000">
        <w:rPr>
          <w:sz w:val="28"/>
          <w:szCs w:val="28"/>
        </w:rPr>
        <w:drawing>
          <wp:inline distB="114300" distT="114300" distL="114300" distR="114300">
            <wp:extent cx="5943600" cy="2667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jc w:val="left"/>
        <w:rPr/>
      </w:pPr>
      <w:r w:rsidDel="00000000" w:rsidR="00000000" w:rsidRPr="00000000">
        <w:rPr>
          <w:rtl w:val="0"/>
        </w:rPr>
        <w:t xml:space="preserve">One of the PCAP files shows an attempt to connect to port 2404. Port 2404 (TCP) - IEC 60870-5 -104, used to send electric power telecontrol messages between two systems via directly connected data circuits. This can help us correlate the attempt to the Industroyer malware that affected the Ukraine power grid. </w:t>
      </w:r>
    </w:p>
    <w:p w:rsidR="00000000" w:rsidDel="00000000" w:rsidP="00000000" w:rsidRDefault="00000000" w:rsidRPr="00000000" w14:paraId="00000054">
      <w:pPr>
        <w:spacing w:line="480" w:lineRule="auto"/>
        <w:jc w:val="left"/>
        <w:rPr/>
      </w:pPr>
      <w:r w:rsidDel="00000000" w:rsidR="00000000" w:rsidRPr="00000000">
        <w:rPr>
          <w:rtl w:val="0"/>
        </w:rPr>
      </w:r>
    </w:p>
    <w:p w:rsidR="00000000" w:rsidDel="00000000" w:rsidP="00000000" w:rsidRDefault="00000000" w:rsidRPr="00000000" w14:paraId="00000055">
      <w:pPr>
        <w:spacing w:line="480" w:lineRule="auto"/>
        <w:jc w:val="left"/>
        <w:rPr/>
      </w:pPr>
      <w:r w:rsidDel="00000000" w:rsidR="00000000" w:rsidRPr="00000000">
        <w:rPr>
          <w:rtl w:val="0"/>
        </w:rPr>
        <w:t xml:space="preserve">When the Industroyer2 virus was launched, it created three distinct threads, one for each IEC-104 server it needed to communicate with. If all three servers were accessible, the malware would speak to them simultaneously.</w:t>
      </w:r>
    </w:p>
    <w:p w:rsidR="00000000" w:rsidDel="00000000" w:rsidP="00000000" w:rsidRDefault="00000000" w:rsidRPr="00000000" w14:paraId="00000056">
      <w:pPr>
        <w:spacing w:line="480" w:lineRule="auto"/>
        <w:jc w:val="left"/>
        <w:rPr/>
      </w:pPr>
      <w:r w:rsidDel="00000000" w:rsidR="00000000" w:rsidRPr="00000000">
        <w:rPr/>
        <w:drawing>
          <wp:inline distB="114300" distT="114300" distL="114300" distR="114300">
            <wp:extent cx="5943600" cy="17907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jc w:val="left"/>
        <w:rPr/>
      </w:pPr>
      <w:r w:rsidDel="00000000" w:rsidR="00000000" w:rsidRPr="00000000">
        <w:rPr>
          <w:rtl w:val="0"/>
        </w:rPr>
        <w:t xml:space="preserve">This thread communicates with the station at 192.168.121.2</w:t>
      </w:r>
    </w:p>
    <w:p w:rsidR="00000000" w:rsidDel="00000000" w:rsidP="00000000" w:rsidRDefault="00000000" w:rsidRPr="00000000" w14:paraId="00000058">
      <w:pPr>
        <w:spacing w:line="480" w:lineRule="auto"/>
        <w:jc w:val="left"/>
        <w:rPr/>
      </w:pPr>
      <w:r w:rsidDel="00000000" w:rsidR="00000000" w:rsidRPr="00000000">
        <w:rPr/>
        <w:drawing>
          <wp:inline distB="114300" distT="114300" distL="114300" distR="114300">
            <wp:extent cx="5943600" cy="1790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jc w:val="left"/>
        <w:rPr/>
      </w:pPr>
      <w:r w:rsidDel="00000000" w:rsidR="00000000" w:rsidRPr="00000000">
        <w:rPr>
          <w:rtl w:val="0"/>
        </w:rPr>
        <w:t xml:space="preserve">This thread communicates with the station at 192.168.122.2</w:t>
      </w:r>
      <w:r w:rsidDel="00000000" w:rsidR="00000000" w:rsidRPr="00000000">
        <w:rPr>
          <w:rtl w:val="0"/>
        </w:rPr>
      </w:r>
    </w:p>
    <w:p w:rsidR="00000000" w:rsidDel="00000000" w:rsidP="00000000" w:rsidRDefault="00000000" w:rsidRPr="00000000" w14:paraId="0000005A">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17907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480" w:lineRule="auto"/>
        <w:ind w:left="0" w:firstLine="0"/>
        <w:jc w:val="left"/>
        <w:rPr>
          <w:sz w:val="24"/>
          <w:szCs w:val="24"/>
        </w:rPr>
      </w:pPr>
      <w:r w:rsidDel="00000000" w:rsidR="00000000" w:rsidRPr="00000000">
        <w:rPr>
          <w:sz w:val="24"/>
          <w:szCs w:val="24"/>
          <w:rtl w:val="0"/>
        </w:rPr>
        <w:t xml:space="preserve">This station communicates with 10.82.40.105</w:t>
      </w:r>
    </w:p>
    <w:p w:rsidR="00000000" w:rsidDel="00000000" w:rsidP="00000000" w:rsidRDefault="00000000" w:rsidRPr="00000000" w14:paraId="0000005C">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D">
      <w:pPr>
        <w:spacing w:line="480" w:lineRule="auto"/>
        <w:ind w:left="0" w:firstLine="0"/>
        <w:jc w:val="left"/>
        <w:rPr>
          <w:sz w:val="24"/>
          <w:szCs w:val="24"/>
        </w:rPr>
      </w:pPr>
      <w:r w:rsidDel="00000000" w:rsidR="00000000" w:rsidRPr="00000000">
        <w:rPr>
          <w:sz w:val="24"/>
          <w:szCs w:val="24"/>
          <w:rtl w:val="0"/>
        </w:rPr>
        <w:t xml:space="preserve">All outputs between 1250 and 1265 were toggled to OFF at Station Address 1 (often referred to as the "ASDU address" or "common address") by the thread that was connected to IP address 192.168.121.2. These outputs most likely regulate circuit breakers, which are used to cut off electricity to an electric utility substation, based on the command type that was utilized (ID 46 with short pulse length).</w:t>
      </w:r>
    </w:p>
    <w:p w:rsidR="00000000" w:rsidDel="00000000" w:rsidP="00000000" w:rsidRDefault="00000000" w:rsidRPr="00000000" w14:paraId="0000005E">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17907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0">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1">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0"/>
        <w:jc w:val="left"/>
        <w:rPr>
          <w:sz w:val="24"/>
          <w:szCs w:val="24"/>
        </w:rPr>
      </w:pPr>
      <w:r w:rsidDel="00000000" w:rsidR="00000000" w:rsidRPr="00000000">
        <w:rPr>
          <w:sz w:val="24"/>
          <w:szCs w:val="24"/>
          <w:rtl w:val="0"/>
        </w:rPr>
        <w:t xml:space="preserve">On 192.168.122.2 the malware targeted station address 2, where it toggled outputs between 1101 and 1108 to OFF.</w:t>
      </w:r>
    </w:p>
    <w:p w:rsidR="00000000" w:rsidDel="00000000" w:rsidP="00000000" w:rsidRDefault="00000000" w:rsidRPr="00000000" w14:paraId="00000065">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17907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7">
      <w:pPr>
        <w:spacing w:line="480" w:lineRule="auto"/>
        <w:ind w:left="0" w:firstLine="0"/>
        <w:jc w:val="left"/>
        <w:rPr>
          <w:sz w:val="24"/>
          <w:szCs w:val="24"/>
        </w:rPr>
      </w:pPr>
      <w:r w:rsidDel="00000000" w:rsidR="00000000" w:rsidRPr="00000000">
        <w:rPr>
          <w:sz w:val="24"/>
          <w:szCs w:val="24"/>
          <w:rtl w:val="0"/>
        </w:rPr>
        <w:t xml:space="preserve">The malware toggled a great deal of outputs on 10.82.40.105, which had station address 3. But in contrast to the other stations, many of these outputs were toggled to the “ON” state rather than “OFF”. </w:t>
        <w:tab/>
      </w:r>
    </w:p>
    <w:p w:rsidR="00000000" w:rsidDel="00000000" w:rsidP="00000000" w:rsidRDefault="00000000" w:rsidRPr="00000000" w14:paraId="00000068">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17907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A">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B">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C">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D">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E">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F">
      <w:pPr>
        <w:spacing w:line="480" w:lineRule="auto"/>
        <w:ind w:left="0" w:firstLine="0"/>
        <w:jc w:val="left"/>
        <w:rPr>
          <w:sz w:val="24"/>
          <w:szCs w:val="24"/>
        </w:rPr>
      </w:pPr>
      <w:r w:rsidDel="00000000" w:rsidR="00000000" w:rsidRPr="00000000">
        <w:rPr>
          <w:sz w:val="24"/>
          <w:szCs w:val="24"/>
          <w:rtl w:val="0"/>
        </w:rPr>
        <w:t xml:space="preserve">The malware's ability to toggle these particular outputs rather than merely turning them on or off at random suggests that the threat actors were technically knowledgeable about the substation or substations they were targeting. The attackers were also aware of each targeted output's IP addresses, station addresses, and IOAs. Additionally, they were aware of the appropriate ASDU Type ID for each output. Type ID 46, also called "double command" or C_DC_NA_1, was used for IOAs 1101–1404, and Type ID 45, also called "single command" or C_SC_NA_1, was used for IOAs 130202 and above.</w:t>
      </w:r>
    </w:p>
    <w:p w:rsidR="00000000" w:rsidDel="00000000" w:rsidP="00000000" w:rsidRDefault="00000000" w:rsidRPr="00000000" w14:paraId="00000070">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71">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 Infrastructure Simulation in Cisco Packet Tracer</w:t>
      </w:r>
    </w:p>
    <w:p w:rsidR="00000000" w:rsidDel="00000000" w:rsidP="00000000" w:rsidRDefault="00000000" w:rsidRPr="00000000" w14:paraId="00000073">
      <w:pPr>
        <w:pBdr>
          <w:top w:color="e5e7eb" w:space="0" w:sz="0" w:val="none"/>
          <w:left w:color="e5e7eb" w:space="0" w:sz="0" w:val="none"/>
          <w:bottom w:color="e5e7eb" w:space="0" w:sz="0" w:val="none"/>
          <w:right w:color="e5e7eb" w:space="0" w:sz="0" w:val="none"/>
          <w:between w:color="e5e7eb" w:space="0" w:sz="0" w:val="none"/>
        </w:pBd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Topology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Bdr>
          <w:top w:color="e5e7eb" w:space="0" w:sz="0" w:val="none"/>
          <w:left w:color="e5e7eb" w:space="0" w:sz="0" w:val="none"/>
          <w:bottom w:color="e5e7eb" w:space="0" w:sz="0" w:val="none"/>
          <w:right w:color="e5e7eb" w:space="0" w:sz="0" w:val="none"/>
          <w:between w:color="e5e7eb"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[Attacker PC (Python Script)]</w:t>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[Cisco 4331 Router (NAT)]</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numPr>
          <w:ilvl w:val="0"/>
          <w:numId w:val="4"/>
        </w:numPr>
        <w:pBdr>
          <w:top w:color="e5e7eb" w:space="0" w:sz="0" w:val="none"/>
          <w:left w:color="e5e7eb" w:space="0" w:sz="0" w:val="none"/>
          <w:bottom w:color="e5e7eb" w:space="0" w:sz="0" w:val="none"/>
          <w:right w:color="e5e7eb" w:space="0" w:sz="0" w:val="none"/>
          <w:between w:color="e5e7eb" w:space="0" w:sz="0" w:val="none"/>
        </w:pBd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[Cisco Firepower 2110 (ACL: Permit TCP/2404)]</w:t>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4"/>
        </w:numPr>
        <w:pBdr>
          <w:top w:color="e5e7eb" w:space="0" w:sz="0" w:val="none"/>
          <w:left w:color="e5e7eb" w:space="0" w:sz="0" w:val="none"/>
          <w:bottom w:color="e5e7eb" w:space="0" w:sz="0" w:val="none"/>
          <w:right w:color="e5e7eb" w:space="0" w:sz="0" w:val="none"/>
          <w:between w:color="e5e7eb" w:space="0" w:sz="0" w:val="none"/>
        </w:pBd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[Control Center (SCADA Server)]</w:t>
      </w:r>
    </w:p>
    <w:p w:rsidR="00000000" w:rsidDel="00000000" w:rsidP="00000000" w:rsidRDefault="00000000" w:rsidRPr="00000000" w14:paraId="0000007A">
      <w:pPr>
        <w:pBdr>
          <w:top w:color="e5e7eb" w:space="0" w:sz="0" w:val="none"/>
          <w:left w:color="e5e7eb" w:space="0" w:sz="0" w:val="none"/>
          <w:bottom w:color="e5e7eb" w:space="0" w:sz="0" w:val="none"/>
          <w:right w:color="e5e7eb" w:space="0" w:sz="0" w:val="none"/>
          <w:between w:color="e5e7eb" w:space="0" w:sz="0" w:val="none"/>
        </w:pBd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numPr>
          <w:ilvl w:val="0"/>
          <w:numId w:val="4"/>
        </w:numPr>
        <w:pBdr>
          <w:top w:color="e5e7eb" w:space="0" w:sz="0" w:val="none"/>
          <w:left w:color="e5e7eb" w:space="0" w:sz="0" w:val="none"/>
          <w:bottom w:color="e5e7eb" w:space="0" w:sz="0" w:val="none"/>
          <w:right w:color="e5e7eb" w:space="0" w:sz="0" w:val="none"/>
          <w:between w:color="e5e7eb" w:space="0" w:sz="0" w:val="none"/>
        </w:pBd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{Substation 1 (RTU: 192.168.121.2)]</w:t>
      </w:r>
    </w:p>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4"/>
        </w:numPr>
        <w:pBdr>
          <w:top w:color="e5e7eb" w:space="0" w:sz="0" w:val="none"/>
          <w:left w:color="e5e7eb" w:space="0" w:sz="0" w:val="none"/>
          <w:bottom w:color="e5e7eb" w:space="0" w:sz="0" w:val="none"/>
          <w:right w:color="e5e7eb" w:space="0" w:sz="0" w:val="none"/>
          <w:between w:color="e5e7eb" w:space="0" w:sz="0" w:val="none"/>
        </w:pBd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[Substation 2 (RTU: 192.168.122.2)]</w:t>
      </w:r>
    </w:p>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numPr>
          <w:ilvl w:val="0"/>
          <w:numId w:val="4"/>
        </w:numPr>
        <w:pBdr>
          <w:top w:color="e5e7eb" w:space="0" w:sz="0" w:val="none"/>
          <w:left w:color="e5e7eb" w:space="0" w:sz="0" w:val="none"/>
          <w:bottom w:color="e5e7eb" w:space="0" w:sz="0" w:val="none"/>
          <w:right w:color="e5e7eb" w:space="0" w:sz="0" w:val="none"/>
          <w:between w:color="e5e7eb" w:space="0" w:sz="0" w:val="none"/>
        </w:pBd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{Substation 3 (RTU: 10.82.40.105)]</w:t>
      </w:r>
    </w:p>
    <w:p w:rsidR="00000000" w:rsidDel="00000000" w:rsidP="00000000" w:rsidRDefault="00000000" w:rsidRPr="00000000" w14:paraId="00000080">
      <w:pPr>
        <w:pBdr>
          <w:top w:color="e5e7eb" w:space="0" w:sz="0" w:val="none"/>
          <w:left w:color="e5e7eb" w:space="0" w:sz="0" w:val="none"/>
          <w:bottom w:color="e5e7eb" w:space="0" w:sz="0" w:val="none"/>
          <w:right w:color="e5e7eb" w:space="0" w:sz="0" w:val="none"/>
          <w:between w:color="e5e7eb" w:space="0" w:sz="0" w:val="none"/>
        </w:pBd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ind w:left="720" w:firstLine="0"/>
        <w:jc w:val="left"/>
        <w:rPr>
          <w:sz w:val="24"/>
          <w:szCs w:val="24"/>
        </w:rPr>
      </w:pPr>
      <w:r w:rsidDel="00000000" w:rsidR="00000000" w:rsidRPr="00000000">
        <w:rPr>
          <w:rtl w:val="0"/>
        </w:rPr>
      </w:r>
    </w:p>
    <w:p w:rsidR="00000000" w:rsidDel="00000000" w:rsidP="00000000" w:rsidRDefault="00000000" w:rsidRPr="00000000" w14:paraId="00000082">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83">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84">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85">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86">
      <w:pPr>
        <w:spacing w:line="480" w:lineRule="auto"/>
        <w:ind w:left="0" w:firstLine="0"/>
        <w:jc w:val="left"/>
        <w:rPr>
          <w:b w:val="1"/>
          <w:sz w:val="32"/>
          <w:szCs w:val="32"/>
          <w:u w:val="single"/>
        </w:rPr>
      </w:pPr>
      <w:r w:rsidDel="00000000" w:rsidR="00000000" w:rsidRPr="00000000">
        <w:rPr>
          <w:b w:val="1"/>
          <w:sz w:val="32"/>
          <w:szCs w:val="32"/>
          <w:u w:val="single"/>
          <w:rtl w:val="0"/>
        </w:rPr>
        <w:t xml:space="preserve">REFERENCES</w:t>
      </w:r>
    </w:p>
    <w:p w:rsidR="00000000" w:rsidDel="00000000" w:rsidP="00000000" w:rsidRDefault="00000000" w:rsidRPr="00000000" w14:paraId="00000087">
      <w:pPr>
        <w:spacing w:line="480" w:lineRule="auto"/>
        <w:ind w:left="0" w:firstLine="0"/>
        <w:jc w:val="center"/>
        <w:rPr>
          <w:b w:val="1"/>
          <w:sz w:val="32"/>
          <w:szCs w:val="32"/>
          <w:u w:val="single"/>
        </w:rPr>
      </w:pPr>
      <w:r w:rsidDel="00000000" w:rsidR="00000000" w:rsidRPr="00000000">
        <w:rPr>
          <w:rtl w:val="0"/>
        </w:rPr>
      </w:r>
    </w:p>
    <w:p w:rsidR="00000000" w:rsidDel="00000000" w:rsidP="00000000" w:rsidRDefault="00000000" w:rsidRPr="00000000" w14:paraId="00000088">
      <w:pPr>
        <w:numPr>
          <w:ilvl w:val="0"/>
          <w:numId w:val="1"/>
        </w:numPr>
        <w:spacing w:after="240" w:line="480" w:lineRule="auto"/>
        <w:ind w:left="720" w:hanging="360"/>
        <w:rPr>
          <w:u w:val="none"/>
        </w:rPr>
      </w:pPr>
      <w:r w:rsidDel="00000000" w:rsidR="00000000" w:rsidRPr="00000000">
        <w:rPr>
          <w:rtl w:val="0"/>
        </w:rPr>
        <w:t xml:space="preserve">“Ukraine Power Cut ‘Was Cyber-Attack.’” </w:t>
      </w:r>
      <w:r w:rsidDel="00000000" w:rsidR="00000000" w:rsidRPr="00000000">
        <w:rPr>
          <w:i w:val="1"/>
          <w:rtl w:val="0"/>
        </w:rPr>
        <w:t xml:space="preserve">BBC News</w:t>
      </w:r>
      <w:r w:rsidDel="00000000" w:rsidR="00000000" w:rsidRPr="00000000">
        <w:rPr>
          <w:rtl w:val="0"/>
        </w:rPr>
        <w:t xml:space="preserve">, BBC, 11 Jan. 2017, www.bbc.com/news/technology-38573074.</w:t>
      </w:r>
    </w:p>
    <w:p w:rsidR="00000000" w:rsidDel="00000000" w:rsidP="00000000" w:rsidRDefault="00000000" w:rsidRPr="00000000" w14:paraId="00000089">
      <w:pPr>
        <w:spacing w:line="480" w:lineRule="auto"/>
        <w:ind w:left="0" w:firstLine="0"/>
        <w:rPr/>
      </w:pPr>
      <w:r w:rsidDel="00000000" w:rsidR="00000000" w:rsidRPr="00000000">
        <w:rPr>
          <w:rtl w:val="0"/>
        </w:rPr>
      </w:r>
    </w:p>
    <w:p w:rsidR="00000000" w:rsidDel="00000000" w:rsidP="00000000" w:rsidRDefault="00000000" w:rsidRPr="00000000" w14:paraId="0000008A">
      <w:pPr>
        <w:numPr>
          <w:ilvl w:val="0"/>
          <w:numId w:val="5"/>
        </w:numPr>
        <w:spacing w:after="240" w:line="480" w:lineRule="auto"/>
        <w:ind w:left="720" w:hanging="360"/>
        <w:rPr>
          <w:u w:val="none"/>
        </w:rPr>
      </w:pPr>
      <w:r w:rsidDel="00000000" w:rsidR="00000000" w:rsidRPr="00000000">
        <w:rPr>
          <w:rtl w:val="0"/>
        </w:rPr>
        <w:t xml:space="preserve">“Cyber-Attack against Ukrainian Critical Infrastructure: CISA.” </w:t>
      </w:r>
      <w:r w:rsidDel="00000000" w:rsidR="00000000" w:rsidRPr="00000000">
        <w:rPr>
          <w:i w:val="1"/>
          <w:rtl w:val="0"/>
        </w:rPr>
        <w:t xml:space="preserve">Cybersecurity and Infrastructure Security Agency CISA</w:t>
      </w:r>
      <w:r w:rsidDel="00000000" w:rsidR="00000000" w:rsidRPr="00000000">
        <w:rPr>
          <w:rtl w:val="0"/>
        </w:rPr>
        <w:t xml:space="preserve">, www.cisa.gov/news-events/ics-alerts/ir-alert-h-16-056-01. Accessed 16 Apr. 2025.</w:t>
      </w:r>
    </w:p>
    <w:p w:rsidR="00000000" w:rsidDel="00000000" w:rsidP="00000000" w:rsidRDefault="00000000" w:rsidRPr="00000000" w14:paraId="0000008B">
      <w:pPr>
        <w:spacing w:line="480" w:lineRule="auto"/>
        <w:ind w:left="0" w:firstLine="0"/>
        <w:rPr/>
      </w:pPr>
      <w:r w:rsidDel="00000000" w:rsidR="00000000" w:rsidRPr="00000000">
        <w:rPr>
          <w:rtl w:val="0"/>
        </w:rPr>
      </w:r>
    </w:p>
    <w:p w:rsidR="00000000" w:rsidDel="00000000" w:rsidP="00000000" w:rsidRDefault="00000000" w:rsidRPr="00000000" w14:paraId="0000008C">
      <w:pPr>
        <w:numPr>
          <w:ilvl w:val="0"/>
          <w:numId w:val="3"/>
        </w:numPr>
        <w:spacing w:after="240" w:line="480" w:lineRule="auto"/>
        <w:ind w:left="720" w:hanging="360"/>
        <w:rPr>
          <w:u w:val="none"/>
        </w:rPr>
      </w:pPr>
      <w:r w:rsidDel="00000000" w:rsidR="00000000" w:rsidRPr="00000000">
        <w:rPr>
          <w:rtl w:val="0"/>
        </w:rPr>
        <w:t xml:space="preserve">“ENISA, European Union Agency for Cybersecurity.” </w:t>
      </w:r>
      <w:r w:rsidDel="00000000" w:rsidR="00000000" w:rsidRPr="00000000">
        <w:rPr>
          <w:i w:val="1"/>
          <w:rtl w:val="0"/>
        </w:rPr>
        <w:t xml:space="preserve">ENISA</w:t>
      </w:r>
      <w:r w:rsidDel="00000000" w:rsidR="00000000" w:rsidRPr="00000000">
        <w:rPr>
          <w:rtl w:val="0"/>
        </w:rPr>
        <w:t xml:space="preserve">, www.enisa.europa.eu/. Accessed 16 Apr. 2025.</w:t>
      </w:r>
    </w:p>
    <w:p w:rsidR="00000000" w:rsidDel="00000000" w:rsidP="00000000" w:rsidRDefault="00000000" w:rsidRPr="00000000" w14:paraId="0000008D">
      <w:pPr>
        <w:spacing w:line="480" w:lineRule="auto"/>
        <w:ind w:left="0" w:firstLine="0"/>
        <w:rPr/>
      </w:pPr>
      <w:r w:rsidDel="00000000" w:rsidR="00000000" w:rsidRPr="00000000">
        <w:rPr>
          <w:rtl w:val="0"/>
        </w:rPr>
      </w:r>
    </w:p>
    <w:p w:rsidR="00000000" w:rsidDel="00000000" w:rsidP="00000000" w:rsidRDefault="00000000" w:rsidRPr="00000000" w14:paraId="0000008E">
      <w:pPr>
        <w:spacing w:line="48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python-docx</cp:lastModifiedBy>
  <cp:revision>1</cp:revision>
  <dcterms:modified xsi:type="dcterms:W3CDTF">2025-05-02T17:24:19Z</dcterms:modified>
  <dc:subject>zerotrace report - high</dc:subject>
</cp:coreProperties>
</file>