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i w:val="0"/>
          <w:sz w:val="27"/>
        </w:rPr>
        <w:t>TRAVEL AND EXPENSE REIMBURSEMENT POLICY</w:t>
      </w:r>
    </w:p>
    <w:p>
      <w:pPr>
        <w:jc w:val="center"/>
      </w:pPr>
      <w:r>
        <w:rPr>
          <w:b w:val="0"/>
          <w:i/>
          <w:sz w:val="20"/>
        </w:rPr>
        <w:t>Policy No. HR/FIN/012   ·   Version 2.0   ·   Effective 01 April 2026</w:t>
      </w:r>
    </w:p>
    <w:p>
      <w:pPr>
        <w:keepNext/>
        <w:spacing w:before="160"/>
      </w:pPr>
      <w:r>
        <w:rPr>
          <w:b/>
          <w:i w:val="0"/>
          <w:sz w:val="22"/>
        </w:rPr>
        <w:t>1. Objective</w:t>
      </w:r>
    </w:p>
    <w:p>
      <w:pPr>
        <w:jc w:val="both"/>
      </w:pPr>
      <w:r>
        <w:rPr>
          <w:b w:val="0"/>
          <w:i w:val="0"/>
        </w:rPr>
        <w:t>This policy lays down a fair and transparent framework for official travel and for the reimbursement of business expenses incurred by partners and employees of Aaryan Engineering Consultants LLP (“the Firm”). It aims to ensure that employees travelling on Firm business are comfortable and safe, while expenses remain reasonable and are properly documented.</w:t>
      </w:r>
    </w:p>
    <w:p>
      <w:pPr>
        <w:keepNext/>
        <w:spacing w:before="160"/>
      </w:pPr>
      <w:r>
        <w:rPr>
          <w:b/>
          <w:i w:val="0"/>
          <w:sz w:val="22"/>
        </w:rPr>
        <w:t>2. Applicability</w:t>
      </w:r>
    </w:p>
    <w:p>
      <w:pPr>
        <w:jc w:val="both"/>
      </w:pPr>
      <w:r>
        <w:rPr>
          <w:b w:val="0"/>
          <w:i w:val="0"/>
        </w:rPr>
        <w:t>The policy applies to all full-time employees, trainees and retained consultants of the Firm travelling for project site visits, client meetings, conferences, training programmes and recruitment drives. Travel by partners is governed by this policy except where the Partners’ Committee has decided otherwise.</w:t>
      </w:r>
    </w:p>
    <w:p>
      <w:pPr>
        <w:keepNext/>
        <w:spacing w:before="160"/>
      </w:pPr>
      <w:r>
        <w:rPr>
          <w:b/>
          <w:i w:val="0"/>
          <w:sz w:val="22"/>
        </w:rPr>
        <w:t>3. Planning and Approval of Travel</w:t>
      </w:r>
    </w:p>
    <w:p>
      <w:pPr>
        <w:tabs>
          <w:tab w:pos="567" w:val="left"/>
        </w:tabs>
        <w:ind w:left="567" w:hanging="567"/>
        <w:jc w:val="both"/>
      </w:pPr>
      <w:r>
        <w:rPr>
          <w:b w:val="0"/>
          <w:i w:val="0"/>
        </w:rPr>
        <w:t>3.1</w:t>
        <w:tab/>
      </w:r>
      <w:r>
        <w:rPr>
          <w:b w:val="0"/>
          <w:i w:val="0"/>
        </w:rPr>
        <w:t>All official travel shall be planned at least seven days in advance wherever possible and requested through the HRMS portal, stating the purpose, itinerary and estimated cost.</w:t>
      </w:r>
    </w:p>
    <w:p>
      <w:pPr>
        <w:tabs>
          <w:tab w:pos="567" w:val="left"/>
        </w:tabs>
        <w:ind w:left="567" w:hanging="567"/>
        <w:jc w:val="both"/>
      </w:pPr>
      <w:r>
        <w:rPr>
          <w:b w:val="0"/>
          <w:i w:val="0"/>
        </w:rPr>
        <w:t>3.2</w:t>
        <w:tab/>
      </w:r>
      <w:r>
        <w:rPr>
          <w:b w:val="0"/>
          <w:i w:val="0"/>
        </w:rPr>
        <w:t>Domestic travel requires the prior approval of the reporting manager. International travel requires the prior approval of the Managing Partner.</w:t>
      </w:r>
    </w:p>
    <w:p>
      <w:pPr>
        <w:tabs>
          <w:tab w:pos="567" w:val="left"/>
        </w:tabs>
        <w:ind w:left="567" w:hanging="567"/>
        <w:jc w:val="both"/>
      </w:pPr>
      <w:r>
        <w:rPr>
          <w:b w:val="0"/>
          <w:i w:val="0"/>
        </w:rPr>
        <w:t>3.3</w:t>
        <w:tab/>
      </w:r>
      <w:r>
        <w:rPr>
          <w:b w:val="0"/>
          <w:i w:val="0"/>
        </w:rPr>
        <w:t>Tickets and hotel accommodation shall be booked by the Administration team through the Firm’s empanelled travel desk. Employees booking on their own must obtain prior approval and choose the most economical option available.</w:t>
      </w:r>
    </w:p>
    <w:p>
      <w:pPr>
        <w:keepNext/>
        <w:spacing w:before="160"/>
      </w:pPr>
      <w:r>
        <w:rPr>
          <w:b/>
          <w:i w:val="0"/>
          <w:sz w:val="22"/>
        </w:rPr>
        <w:t>4. Entitlement for Travel</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608"/>
            <w:shd w:val="clear" w:color="auto" w:fill="D9E2F3"/>
          </w:tcPr>
          <w:p>
            <w:pPr>
              <w:spacing w:after="0"/>
            </w:pPr>
            <w:r>
              <w:rPr>
                <w:b/>
                <w:i w:val="0"/>
                <w:sz w:val="18"/>
              </w:rPr>
              <w:t>Grade</w:t>
            </w:r>
          </w:p>
        </w:tc>
        <w:tc>
          <w:tcPr>
            <w:tcW w:type="dxa" w:w="2721"/>
            <w:shd w:val="clear" w:color="auto" w:fill="D9E2F3"/>
          </w:tcPr>
          <w:p>
            <w:pPr>
              <w:spacing w:after="0"/>
            </w:pPr>
            <w:r>
              <w:rPr>
                <w:b/>
                <w:i w:val="0"/>
                <w:sz w:val="18"/>
              </w:rPr>
              <w:t>Air</w:t>
            </w:r>
          </w:p>
        </w:tc>
        <w:tc>
          <w:tcPr>
            <w:tcW w:type="dxa" w:w="1701"/>
            <w:shd w:val="clear" w:color="auto" w:fill="D9E2F3"/>
          </w:tcPr>
          <w:p>
            <w:pPr>
              <w:spacing w:after="0"/>
            </w:pPr>
            <w:r>
              <w:rPr>
                <w:b/>
                <w:i w:val="0"/>
                <w:sz w:val="18"/>
              </w:rPr>
              <w:t>Rail</w:t>
            </w:r>
          </w:p>
        </w:tc>
        <w:tc>
          <w:tcPr>
            <w:tcW w:type="dxa" w:w="2268"/>
            <w:shd w:val="clear" w:color="auto" w:fill="D9E2F3"/>
          </w:tcPr>
          <w:p>
            <w:pPr>
              <w:spacing w:after="0"/>
            </w:pPr>
            <w:r>
              <w:rPr>
                <w:b/>
                <w:i w:val="0"/>
                <w:sz w:val="18"/>
              </w:rPr>
              <w:t>Road (outstation)</w:t>
            </w:r>
          </w:p>
        </w:tc>
      </w:tr>
      <w:tr>
        <w:tc>
          <w:tcPr>
            <w:tcW w:type="dxa" w:w="2608"/>
          </w:tcPr>
          <w:p>
            <w:pPr>
              <w:spacing w:after="0"/>
            </w:pPr>
            <w:r>
              <w:rPr>
                <w:b w:val="0"/>
                <w:i w:val="0"/>
                <w:sz w:val="18"/>
              </w:rPr>
              <w:t>Partners / Associate Directors (G1)</w:t>
            </w:r>
          </w:p>
        </w:tc>
        <w:tc>
          <w:tcPr>
            <w:tcW w:type="dxa" w:w="2721"/>
          </w:tcPr>
          <w:p>
            <w:pPr>
              <w:spacing w:after="0"/>
            </w:pPr>
            <w:r>
              <w:rPr>
                <w:b w:val="0"/>
                <w:i w:val="0"/>
                <w:sz w:val="18"/>
              </w:rPr>
              <w:t>Economy; business for flights above 4 hours</w:t>
            </w:r>
          </w:p>
        </w:tc>
        <w:tc>
          <w:tcPr>
            <w:tcW w:type="dxa" w:w="1701"/>
          </w:tcPr>
          <w:p>
            <w:pPr>
              <w:spacing w:after="0"/>
            </w:pPr>
            <w:r>
              <w:rPr>
                <w:b w:val="0"/>
                <w:i w:val="0"/>
                <w:sz w:val="18"/>
              </w:rPr>
              <w:t>AC First Class</w:t>
            </w:r>
          </w:p>
        </w:tc>
        <w:tc>
          <w:tcPr>
            <w:tcW w:type="dxa" w:w="2268"/>
          </w:tcPr>
          <w:p>
            <w:pPr>
              <w:spacing w:after="0"/>
            </w:pPr>
            <w:r>
              <w:rPr>
                <w:b w:val="0"/>
                <w:i w:val="0"/>
                <w:sz w:val="18"/>
              </w:rPr>
              <w:t>Car hire as required</w:t>
            </w:r>
          </w:p>
        </w:tc>
      </w:tr>
      <w:tr>
        <w:tc>
          <w:tcPr>
            <w:tcW w:type="dxa" w:w="2608"/>
          </w:tcPr>
          <w:p>
            <w:pPr>
              <w:spacing w:after="0"/>
            </w:pPr>
            <w:r>
              <w:rPr>
                <w:b w:val="0"/>
                <w:i w:val="0"/>
                <w:sz w:val="18"/>
              </w:rPr>
              <w:t>Senior Managers / Managers (G2)</w:t>
            </w:r>
          </w:p>
        </w:tc>
        <w:tc>
          <w:tcPr>
            <w:tcW w:type="dxa" w:w="2721"/>
          </w:tcPr>
          <w:p>
            <w:pPr>
              <w:spacing w:after="0"/>
            </w:pPr>
            <w:r>
              <w:rPr>
                <w:b w:val="0"/>
                <w:i w:val="0"/>
                <w:sz w:val="18"/>
              </w:rPr>
              <w:t>Economy</w:t>
            </w:r>
          </w:p>
        </w:tc>
        <w:tc>
          <w:tcPr>
            <w:tcW w:type="dxa" w:w="1701"/>
          </w:tcPr>
          <w:p>
            <w:pPr>
              <w:spacing w:after="0"/>
            </w:pPr>
            <w:r>
              <w:rPr>
                <w:b w:val="0"/>
                <w:i w:val="0"/>
                <w:sz w:val="18"/>
              </w:rPr>
              <w:t>AC 2-Tier</w:t>
            </w:r>
          </w:p>
        </w:tc>
        <w:tc>
          <w:tcPr>
            <w:tcW w:type="dxa" w:w="2268"/>
          </w:tcPr>
          <w:p>
            <w:pPr>
              <w:spacing w:after="0"/>
            </w:pPr>
            <w:r>
              <w:rPr>
                <w:b w:val="0"/>
                <w:i w:val="0"/>
                <w:sz w:val="18"/>
              </w:rPr>
              <w:t>Car hire up to 300 km</w:t>
            </w:r>
          </w:p>
        </w:tc>
      </w:tr>
      <w:tr>
        <w:tc>
          <w:tcPr>
            <w:tcW w:type="dxa" w:w="2608"/>
          </w:tcPr>
          <w:p>
            <w:pPr>
              <w:spacing w:after="0"/>
            </w:pPr>
            <w:r>
              <w:rPr>
                <w:b w:val="0"/>
                <w:i w:val="0"/>
                <w:sz w:val="18"/>
              </w:rPr>
              <w:t>Engineers / Executives (G3)</w:t>
            </w:r>
          </w:p>
        </w:tc>
        <w:tc>
          <w:tcPr>
            <w:tcW w:type="dxa" w:w="2721"/>
          </w:tcPr>
          <w:p>
            <w:pPr>
              <w:spacing w:after="0"/>
            </w:pPr>
            <w:r>
              <w:rPr>
                <w:b w:val="0"/>
                <w:i w:val="0"/>
                <w:sz w:val="18"/>
              </w:rPr>
              <w:t>Economy, where rail exceeds 12 hours</w:t>
            </w:r>
          </w:p>
        </w:tc>
        <w:tc>
          <w:tcPr>
            <w:tcW w:type="dxa" w:w="1701"/>
          </w:tcPr>
          <w:p>
            <w:pPr>
              <w:spacing w:after="0"/>
            </w:pPr>
            <w:r>
              <w:rPr>
                <w:b w:val="0"/>
                <w:i w:val="0"/>
                <w:sz w:val="18"/>
              </w:rPr>
              <w:t>AC 3-Tier</w:t>
            </w:r>
          </w:p>
        </w:tc>
        <w:tc>
          <w:tcPr>
            <w:tcW w:type="dxa" w:w="2268"/>
          </w:tcPr>
          <w:p>
            <w:pPr>
              <w:spacing w:after="0"/>
            </w:pPr>
            <w:r>
              <w:rPr>
                <w:b w:val="0"/>
                <w:i w:val="0"/>
                <w:sz w:val="18"/>
              </w:rPr>
              <w:t>AC bus or shared taxi</w:t>
            </w:r>
          </w:p>
        </w:tc>
      </w:tr>
      <w:tr>
        <w:tc>
          <w:tcPr>
            <w:tcW w:type="dxa" w:w="2608"/>
          </w:tcPr>
          <w:p>
            <w:pPr>
              <w:spacing w:after="0"/>
            </w:pPr>
            <w:r>
              <w:rPr>
                <w:b w:val="0"/>
                <w:i w:val="0"/>
                <w:sz w:val="18"/>
              </w:rPr>
              <w:t>Trainees / Support Staff (G4)</w:t>
            </w:r>
          </w:p>
        </w:tc>
        <w:tc>
          <w:tcPr>
            <w:tcW w:type="dxa" w:w="2721"/>
          </w:tcPr>
          <w:p>
            <w:pPr>
              <w:spacing w:after="0"/>
            </w:pPr>
            <w:r>
              <w:rPr>
                <w:b w:val="0"/>
                <w:i w:val="0"/>
                <w:sz w:val="18"/>
              </w:rPr>
              <w:t>Not applicable</w:t>
            </w:r>
          </w:p>
        </w:tc>
        <w:tc>
          <w:tcPr>
            <w:tcW w:type="dxa" w:w="1701"/>
          </w:tcPr>
          <w:p>
            <w:pPr>
              <w:spacing w:after="0"/>
            </w:pPr>
            <w:r>
              <w:rPr>
                <w:b w:val="0"/>
                <w:i w:val="0"/>
                <w:sz w:val="18"/>
              </w:rPr>
              <w:t>AC 3-Tier</w:t>
            </w:r>
          </w:p>
        </w:tc>
        <w:tc>
          <w:tcPr>
            <w:tcW w:type="dxa" w:w="2268"/>
          </w:tcPr>
          <w:p>
            <w:pPr>
              <w:spacing w:after="0"/>
            </w:pPr>
            <w:r>
              <w:rPr>
                <w:b w:val="0"/>
                <w:i w:val="0"/>
                <w:sz w:val="18"/>
              </w:rPr>
              <w:t>AC bus</w:t>
            </w:r>
          </w:p>
        </w:tc>
      </w:tr>
    </w:tbl>
    <w:p/>
    <w:p>
      <w:pPr>
        <w:keepNext/>
        <w:spacing w:before="160"/>
      </w:pPr>
      <w:r>
        <w:rPr>
          <w:b/>
          <w:i w:val="0"/>
          <w:sz w:val="22"/>
        </w:rPr>
        <w:t>5. Accommodation and Daily Allowance</w:t>
      </w:r>
    </w:p>
    <w:p>
      <w:pPr>
        <w:jc w:val="both"/>
      </w:pPr>
      <w:r>
        <w:rPr>
          <w:b w:val="0"/>
          <w:i w:val="0"/>
        </w:rPr>
        <w:t>Hotel rent will be reimbursed at actuals within the limits below (per night, inclusive of taxes). Where an employee stays with friends or relatives, a lodging allowance of 30% of the applicable limit is payable. The daily allowance covers meals, tips and incidental expenses, and is paid without bills.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247"/>
            <w:shd w:val="clear" w:color="auto" w:fill="D9E2F3"/>
          </w:tcPr>
          <w:p>
            <w:pPr>
              <w:spacing w:after="0"/>
            </w:pPr>
            <w:r>
              <w:rPr>
                <w:b/>
                <w:i w:val="0"/>
                <w:sz w:val="18"/>
              </w:rPr>
              <w:t>Grade</w:t>
            </w:r>
          </w:p>
        </w:tc>
        <w:tc>
          <w:tcPr>
            <w:tcW w:type="dxa" w:w="3969"/>
            <w:shd w:val="clear" w:color="auto" w:fill="D9E2F3"/>
          </w:tcPr>
          <w:p>
            <w:pPr>
              <w:spacing w:after="0"/>
            </w:pPr>
            <w:r>
              <w:rPr>
                <w:b/>
                <w:i w:val="0"/>
                <w:sz w:val="18"/>
              </w:rPr>
              <w:t>Tier-I cities (Mumbai, Delhi NCR, Bengaluru, Chennai, Kolkata, Hyderabad)</w:t>
            </w:r>
          </w:p>
        </w:tc>
        <w:tc>
          <w:tcPr>
            <w:tcW w:type="dxa" w:w="2041"/>
            <w:shd w:val="clear" w:color="auto" w:fill="D9E2F3"/>
          </w:tcPr>
          <w:p>
            <w:pPr>
              <w:spacing w:after="0"/>
            </w:pPr>
            <w:r>
              <w:rPr>
                <w:b/>
                <w:i w:val="0"/>
                <w:sz w:val="18"/>
              </w:rPr>
              <w:t>Other cities</w:t>
            </w:r>
          </w:p>
        </w:tc>
        <w:tc>
          <w:tcPr>
            <w:tcW w:type="dxa" w:w="2041"/>
            <w:shd w:val="clear" w:color="auto" w:fill="D9E2F3"/>
          </w:tcPr>
          <w:p>
            <w:pPr>
              <w:spacing w:after="0"/>
            </w:pPr>
            <w:r>
              <w:rPr>
                <w:b/>
                <w:i w:val="0"/>
                <w:sz w:val="18"/>
              </w:rPr>
              <w:t>Daily allowance</w:t>
            </w:r>
          </w:p>
        </w:tc>
      </w:tr>
      <w:tr>
        <w:tc>
          <w:tcPr>
            <w:tcW w:type="dxa" w:w="1247"/>
          </w:tcPr>
          <w:p>
            <w:pPr>
              <w:spacing w:after="0"/>
            </w:pPr>
            <w:r>
              <w:rPr>
                <w:b w:val="0"/>
                <w:i w:val="0"/>
                <w:sz w:val="18"/>
              </w:rPr>
              <w:t>G1</w:t>
            </w:r>
          </w:p>
        </w:tc>
        <w:tc>
          <w:tcPr>
            <w:tcW w:type="dxa" w:w="3969"/>
          </w:tcPr>
          <w:p>
            <w:pPr>
              <w:spacing w:after="0"/>
            </w:pPr>
            <w:r>
              <w:rPr>
                <w:b w:val="0"/>
                <w:i w:val="0"/>
                <w:sz w:val="18"/>
              </w:rPr>
              <w:t>₹ 9,000</w:t>
            </w:r>
          </w:p>
        </w:tc>
        <w:tc>
          <w:tcPr>
            <w:tcW w:type="dxa" w:w="2041"/>
          </w:tcPr>
          <w:p>
            <w:pPr>
              <w:spacing w:after="0"/>
            </w:pPr>
            <w:r>
              <w:rPr>
                <w:b w:val="0"/>
                <w:i w:val="0"/>
                <w:sz w:val="18"/>
              </w:rPr>
              <w:t>₹ 6,500</w:t>
            </w:r>
          </w:p>
        </w:tc>
        <w:tc>
          <w:tcPr>
            <w:tcW w:type="dxa" w:w="2041"/>
          </w:tcPr>
          <w:p>
            <w:pPr>
              <w:spacing w:after="0"/>
            </w:pPr>
            <w:r>
              <w:rPr>
                <w:b w:val="0"/>
                <w:i w:val="0"/>
                <w:sz w:val="18"/>
              </w:rPr>
              <w:t>₹ 2,000</w:t>
            </w:r>
          </w:p>
        </w:tc>
      </w:tr>
      <w:tr>
        <w:tc>
          <w:tcPr>
            <w:tcW w:type="dxa" w:w="1247"/>
          </w:tcPr>
          <w:p>
            <w:pPr>
              <w:spacing w:after="0"/>
            </w:pPr>
            <w:r>
              <w:rPr>
                <w:b w:val="0"/>
                <w:i w:val="0"/>
                <w:sz w:val="18"/>
              </w:rPr>
              <w:t>G2</w:t>
            </w:r>
          </w:p>
        </w:tc>
        <w:tc>
          <w:tcPr>
            <w:tcW w:type="dxa" w:w="3969"/>
          </w:tcPr>
          <w:p>
            <w:pPr>
              <w:spacing w:after="0"/>
            </w:pPr>
            <w:r>
              <w:rPr>
                <w:b w:val="0"/>
                <w:i w:val="0"/>
                <w:sz w:val="18"/>
              </w:rPr>
              <w:t>₹ 6,500</w:t>
            </w:r>
          </w:p>
        </w:tc>
        <w:tc>
          <w:tcPr>
            <w:tcW w:type="dxa" w:w="2041"/>
          </w:tcPr>
          <w:p>
            <w:pPr>
              <w:spacing w:after="0"/>
            </w:pPr>
            <w:r>
              <w:rPr>
                <w:b w:val="0"/>
                <w:i w:val="0"/>
                <w:sz w:val="18"/>
              </w:rPr>
              <w:t>₹ 4,500</w:t>
            </w:r>
          </w:p>
        </w:tc>
        <w:tc>
          <w:tcPr>
            <w:tcW w:type="dxa" w:w="2041"/>
          </w:tcPr>
          <w:p>
            <w:pPr>
              <w:spacing w:after="0"/>
            </w:pPr>
            <w:r>
              <w:rPr>
                <w:b w:val="0"/>
                <w:i w:val="0"/>
                <w:sz w:val="18"/>
              </w:rPr>
              <w:t>₹ 1,500</w:t>
            </w:r>
          </w:p>
        </w:tc>
      </w:tr>
      <w:tr>
        <w:tc>
          <w:tcPr>
            <w:tcW w:type="dxa" w:w="1247"/>
          </w:tcPr>
          <w:p>
            <w:pPr>
              <w:spacing w:after="0"/>
            </w:pPr>
            <w:r>
              <w:rPr>
                <w:b w:val="0"/>
                <w:i w:val="0"/>
                <w:sz w:val="18"/>
              </w:rPr>
              <w:t>G3</w:t>
            </w:r>
          </w:p>
        </w:tc>
        <w:tc>
          <w:tcPr>
            <w:tcW w:type="dxa" w:w="3969"/>
          </w:tcPr>
          <w:p>
            <w:pPr>
              <w:spacing w:after="0"/>
            </w:pPr>
            <w:r>
              <w:rPr>
                <w:b w:val="0"/>
                <w:i w:val="0"/>
                <w:sz w:val="18"/>
              </w:rPr>
              <w:t>₹ 4,000</w:t>
            </w:r>
          </w:p>
        </w:tc>
        <w:tc>
          <w:tcPr>
            <w:tcW w:type="dxa" w:w="2041"/>
          </w:tcPr>
          <w:p>
            <w:pPr>
              <w:spacing w:after="0"/>
            </w:pPr>
            <w:r>
              <w:rPr>
                <w:b w:val="0"/>
                <w:i w:val="0"/>
                <w:sz w:val="18"/>
              </w:rPr>
              <w:t>₹ 3,000</w:t>
            </w:r>
          </w:p>
        </w:tc>
        <w:tc>
          <w:tcPr>
            <w:tcW w:type="dxa" w:w="2041"/>
          </w:tcPr>
          <w:p>
            <w:pPr>
              <w:spacing w:after="0"/>
            </w:pPr>
            <w:r>
              <w:rPr>
                <w:b w:val="0"/>
                <w:i w:val="0"/>
                <w:sz w:val="18"/>
              </w:rPr>
              <w:t>₹ 1,000</w:t>
            </w:r>
          </w:p>
        </w:tc>
      </w:tr>
      <w:tr>
        <w:tc>
          <w:tcPr>
            <w:tcW w:type="dxa" w:w="1247"/>
          </w:tcPr>
          <w:p>
            <w:pPr>
              <w:spacing w:after="0"/>
            </w:pPr>
            <w:r>
              <w:rPr>
                <w:b w:val="0"/>
                <w:i w:val="0"/>
                <w:sz w:val="18"/>
              </w:rPr>
              <w:t>G4</w:t>
            </w:r>
          </w:p>
        </w:tc>
        <w:tc>
          <w:tcPr>
            <w:tcW w:type="dxa" w:w="3969"/>
          </w:tcPr>
          <w:p>
            <w:pPr>
              <w:spacing w:after="0"/>
            </w:pPr>
            <w:r>
              <w:rPr>
                <w:b w:val="0"/>
                <w:i w:val="0"/>
                <w:sz w:val="18"/>
              </w:rPr>
              <w:t>₹ 2,500</w:t>
            </w:r>
          </w:p>
        </w:tc>
        <w:tc>
          <w:tcPr>
            <w:tcW w:type="dxa" w:w="2041"/>
          </w:tcPr>
          <w:p>
            <w:pPr>
              <w:spacing w:after="0"/>
            </w:pPr>
            <w:r>
              <w:rPr>
                <w:b w:val="0"/>
                <w:i w:val="0"/>
                <w:sz w:val="18"/>
              </w:rPr>
              <w:t>₹ 2,000</w:t>
            </w:r>
          </w:p>
        </w:tc>
        <w:tc>
          <w:tcPr>
            <w:tcW w:type="dxa" w:w="2041"/>
          </w:tcPr>
          <w:p>
            <w:pPr>
              <w:spacing w:after="0"/>
            </w:pPr>
            <w:r>
              <w:rPr>
                <w:b w:val="0"/>
                <w:i w:val="0"/>
                <w:sz w:val="18"/>
              </w:rPr>
              <w:t>₹ 750</w:t>
            </w:r>
          </w:p>
        </w:tc>
      </w:tr>
    </w:tbl>
    <w:p/>
    <w:p>
      <w:pPr>
        <w:keepNext/>
        <w:spacing w:before="160"/>
      </w:pPr>
      <w:r>
        <w:rPr>
          <w:b/>
          <w:i w:val="0"/>
          <w:sz w:val="22"/>
        </w:rPr>
        <w:t>6. Local Conveyance</w:t>
      </w:r>
    </w:p>
    <w:p>
      <w:pPr>
        <w:jc w:val="both"/>
      </w:pPr>
      <w:r>
        <w:rPr>
          <w:b w:val="0"/>
          <w:i w:val="0"/>
        </w:rPr>
        <w:t>Local travel at the place of visit by auto-rickshaw, app-based taxi or metro is reimbursed at actuals. Use of an employee’s own vehicle for official purposes is reimbursed at ₹ 11 per km for a car and ₹ 4 per km for a two-wheeler, on the basis of a log maintained in the HRMS portal.</w:t>
      </w:r>
    </w:p>
    <w:p>
      <w:pPr>
        <w:keepNext/>
        <w:spacing w:before="160"/>
      </w:pPr>
      <w:r>
        <w:rPr>
          <w:b/>
          <w:i w:val="0"/>
          <w:sz w:val="22"/>
        </w:rPr>
        <w:t>7. Travel Advance and Settlement</w:t>
      </w:r>
    </w:p>
    <w:p>
      <w:pPr>
        <w:tabs>
          <w:tab w:pos="567" w:val="left"/>
        </w:tabs>
        <w:ind w:left="567" w:hanging="567"/>
        <w:jc w:val="both"/>
      </w:pPr>
      <w:r>
        <w:rPr>
          <w:b w:val="0"/>
          <w:i w:val="0"/>
        </w:rPr>
        <w:t>7.1</w:t>
        <w:tab/>
      </w:r>
      <w:r>
        <w:rPr>
          <w:b w:val="0"/>
          <w:i w:val="0"/>
        </w:rPr>
        <w:t>An advance of up to 75% of the estimated expenses may be drawn for travel exceeding two nights. Advances are credited to the employee’s salary account.</w:t>
      </w:r>
    </w:p>
    <w:p>
      <w:pPr>
        <w:tabs>
          <w:tab w:pos="567" w:val="left"/>
        </w:tabs>
        <w:ind w:left="567" w:hanging="567"/>
        <w:jc w:val="both"/>
      </w:pPr>
      <w:r>
        <w:rPr>
          <w:b w:val="0"/>
          <w:i w:val="0"/>
        </w:rPr>
        <w:t>7.2</w:t>
        <w:tab/>
      </w:r>
      <w:r>
        <w:rPr>
          <w:b w:val="0"/>
          <w:i w:val="0"/>
        </w:rPr>
        <w:t>The expense statement, with original bills and boarding passes, must be submitted within 15 days of return. Unsettled advances older than 60 days will be recovered from salary after one reminder.</w:t>
      </w:r>
    </w:p>
    <w:p>
      <w:pPr>
        <w:tabs>
          <w:tab w:pos="567" w:val="left"/>
        </w:tabs>
        <w:ind w:left="567" w:hanging="567"/>
        <w:jc w:val="both"/>
      </w:pPr>
      <w:r>
        <w:rPr>
          <w:b w:val="0"/>
          <w:i w:val="0"/>
        </w:rPr>
        <w:t>7.3</w:t>
        <w:tab/>
      </w:r>
      <w:r>
        <w:rPr>
          <w:b w:val="0"/>
          <w:i w:val="0"/>
        </w:rPr>
        <w:t>Claims are verified by the Accounts team and paid in the next weekly payment cycle. Claims submitted more than 90 days after the travel date will not be entertained.</w:t>
      </w:r>
    </w:p>
    <w:p>
      <w:pPr>
        <w:keepNext/>
        <w:spacing w:before="160"/>
      </w:pPr>
      <w:r>
        <w:rPr>
          <w:b/>
          <w:i w:val="0"/>
          <w:sz w:val="22"/>
        </w:rPr>
        <w:t>8. Business Entertainment and Other Expenses</w:t>
      </w:r>
    </w:p>
    <w:p>
      <w:pPr>
        <w:jc w:val="both"/>
      </w:pPr>
      <w:r>
        <w:rPr>
          <w:b w:val="0"/>
          <w:i w:val="0"/>
        </w:rPr>
        <w:t>Expenses on meals with clients, conference fees, visa charges, travel insurance, excess baggage carried for project equipment and internet charges at hotels used for official work are reimbursable at actuals with supporting bills. Gifts to government officials are not permitted in any circumstances.</w:t>
      </w:r>
    </w:p>
    <w:p>
      <w:pPr>
        <w:keepNext/>
        <w:spacing w:before="160"/>
      </w:pPr>
      <w:r>
        <w:rPr>
          <w:b/>
          <w:i w:val="0"/>
          <w:sz w:val="22"/>
        </w:rPr>
        <w:t>9. Expenses Not Reimbursable</w:t>
      </w:r>
    </w:p>
    <w:p>
      <w:pPr>
        <w:pStyle w:val="ListBullet"/>
        <w:jc w:val="both"/>
      </w:pPr>
      <w:r>
        <w:rPr>
          <w:b w:val="0"/>
          <w:i w:val="0"/>
        </w:rPr>
        <w:t>Alcoholic beverages, tobacco products, mini-bar charges and in-room movies.</w:t>
      </w:r>
    </w:p>
    <w:p>
      <w:pPr>
        <w:pStyle w:val="ListBullet"/>
        <w:jc w:val="both"/>
      </w:pPr>
      <w:r>
        <w:rPr>
          <w:b w:val="0"/>
          <w:i w:val="0"/>
        </w:rPr>
        <w:t>Laundry for trips shorter than four nights, personal shopping and sightseeing.</w:t>
      </w:r>
    </w:p>
    <w:p>
      <w:pPr>
        <w:pStyle w:val="ListBullet"/>
        <w:jc w:val="both"/>
      </w:pPr>
      <w:r>
        <w:rPr>
          <w:b w:val="0"/>
          <w:i w:val="0"/>
        </w:rPr>
        <w:t>Fines for traffic violations, late check-out charges caused by personal reasons and cancellation charges for personal changes in plans.</w:t>
      </w:r>
    </w:p>
    <w:p>
      <w:pPr>
        <w:pStyle w:val="ListBullet"/>
        <w:jc w:val="both"/>
      </w:pPr>
      <w:r>
        <w:rPr>
          <w:b w:val="0"/>
          <w:i w:val="0"/>
        </w:rPr>
        <w:t>Expenses of a spouse or family member accompanying the employee.</w:t>
      </w:r>
    </w:p>
    <w:p>
      <w:pPr>
        <w:keepNext/>
        <w:spacing w:before="160"/>
      </w:pPr>
      <w:r>
        <w:rPr>
          <w:b/>
          <w:i w:val="0"/>
          <w:sz w:val="22"/>
        </w:rPr>
        <w:t>10. Review, Audit and Compliance</w:t>
      </w:r>
    </w:p>
    <w:p>
      <w:pPr>
        <w:jc w:val="both"/>
      </w:pPr>
      <w:r>
        <w:rPr>
          <w:b w:val="0"/>
          <w:i w:val="0"/>
        </w:rPr>
        <w:t>Expense claims may be selected for review by the internal audit team on a sample basis. Employees are expected to keep copies of their bills until the claim has been settled. Any claim found to be inflated or supported by false documents will be treated as misconduct under the Firm’s Code of Conduct, in addition to recovery of the amount involved.</w:t>
      </w:r>
    </w:p>
    <w:p>
      <w:pPr>
        <w:keepNext/>
        <w:spacing w:before="160"/>
      </w:pPr>
      <w:r>
        <w:rPr>
          <w:b/>
          <w:i w:val="0"/>
          <w:sz w:val="22"/>
        </w:rPr>
        <w:t>11. Queries</w:t>
      </w:r>
    </w:p>
    <w:p>
      <w:pPr>
        <w:jc w:val="both"/>
      </w:pPr>
      <w:r>
        <w:rPr>
          <w:b w:val="0"/>
          <w:i w:val="0"/>
        </w:rPr>
        <w:t>Queries on this policy may be addressed to the HR department at hr@aaryanconsultants.co.in or to the Accounts team at accounts@aaryanconsultants.co.in. This policy will be reviewed annually by the Partners’ Committee.</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Issued by</w:t>
            </w:r>
          </w:p>
          <w:p>
            <w:pPr>
              <w:spacing w:after="0"/>
            </w:pPr>
          </w:p>
          <w:p>
            <w:pPr>
              <w:spacing w:after="0"/>
            </w:pPr>
          </w:p>
          <w:p>
            <w:pPr>
              <w:spacing w:after="0"/>
            </w:pPr>
            <w:r>
              <w:rPr>
                <w:b w:val="0"/>
                <w:i w:val="0"/>
                <w:sz w:val="20"/>
              </w:rPr>
              <w:t>______________________________</w:t>
            </w:r>
          </w:p>
          <w:p>
            <w:pPr>
              <w:spacing w:after="0"/>
            </w:pPr>
            <w:r>
              <w:rPr>
                <w:b w:val="0"/>
                <w:i w:val="0"/>
                <w:sz w:val="20"/>
              </w:rPr>
              <w:t>Kavita Sheth</w:t>
            </w:r>
          </w:p>
          <w:p>
            <w:pPr>
              <w:spacing w:after="0"/>
            </w:pPr>
            <w:r>
              <w:rPr>
                <w:b w:val="0"/>
                <w:i w:val="0"/>
                <w:sz w:val="20"/>
              </w:rPr>
              <w:t>Head – Human Resources</w:t>
            </w:r>
          </w:p>
        </w:tc>
        <w:tc>
          <w:tcPr>
            <w:tcW w:type="dxa" w:w="4649"/>
          </w:tcPr>
          <w:p>
            <w:pPr>
              <w:spacing w:after="0"/>
            </w:pPr>
            <w:r>
              <w:rPr>
                <w:b/>
                <w:i w:val="0"/>
              </w:rPr>
              <w:t>Approved by</w:t>
            </w:r>
          </w:p>
          <w:p>
            <w:pPr>
              <w:spacing w:after="0"/>
            </w:pPr>
          </w:p>
          <w:p>
            <w:pPr>
              <w:spacing w:after="0"/>
            </w:pPr>
          </w:p>
          <w:p>
            <w:pPr>
              <w:spacing w:after="0"/>
            </w:pPr>
            <w:r>
              <w:rPr>
                <w:b w:val="0"/>
                <w:i w:val="0"/>
                <w:sz w:val="20"/>
              </w:rPr>
              <w:t>______________________________</w:t>
            </w:r>
          </w:p>
          <w:p>
            <w:pPr>
              <w:spacing w:after="0"/>
            </w:pPr>
            <w:r>
              <w:rPr>
                <w:b w:val="0"/>
                <w:i w:val="0"/>
                <w:sz w:val="20"/>
              </w:rPr>
              <w:t>Anand Mehta</w:t>
            </w:r>
          </w:p>
          <w:p>
            <w:pPr>
              <w:spacing w:after="0"/>
            </w:pPr>
            <w:r>
              <w:rPr>
                <w:b w:val="0"/>
                <w:i w:val="0"/>
                <w:sz w:val="20"/>
              </w:rPr>
              <w:t>Managing Partner</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HR/FIN/012 v2.0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AARYAN ENGINEERING CONSULTANTS LLP</w:t>
    </w:r>
  </w:p>
  <w:p>
    <w:pPr>
      <w:spacing w:after="0"/>
      <w:jc w:val="center"/>
    </w:pPr>
    <w:r>
      <w:rPr>
        <w:b w:val="0"/>
        <w:i w:val="0"/>
        <w:color w:val="404040"/>
        <w:sz w:val="17"/>
      </w:rPr>
      <w:t>7th Floor, Shivalik Shilp-II, Judges Bungalow Road, Bodakdev, Ahmedabad – 380 054</w:t>
    </w:r>
  </w:p>
  <w:p>
    <w:pPr>
      <w:spacing w:after="0"/>
      <w:jc w:val="center"/>
      <w:pBdr>
        <w:bottom w:val="single" w:sz="12" w:space="4" w:color="1F3864"/>
      </w:pBdr>
    </w:pPr>
    <w:r>
      <w:rPr>
        <w:b w:val="0"/>
        <w:i w:val="0"/>
        <w:color w:val="404040"/>
        <w:sz w:val="17"/>
      </w:rPr>
      <w:t>LLPIN: AAK-4417   |   Tel: 079-4891 2200   |   www.aaryanconsultants.co.in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and Expense Reimbursement Policy</dc:title>
  <dc:subject>SYNTHETIC BENCHMARK — detection testing</dc:subject>
  <dc:creator>Human Resources</dc:creator>
  <cp:keywords>synthetic, benchmark, test</cp:keywords>
  <dc:description/>
  <cp:lastModifiedBy/>
  <cp:revision>1</cp:revision>
  <dcterms:created xsi:type="dcterms:W3CDTF">2013-12-23T23:15:00Z</dcterms:created>
  <dcterms:modified xsi:type="dcterms:W3CDTF">2013-12-23T23:15:00Z</dcterms:modified>
  <cp:category/>
</cp:coreProperties>
</file>