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val="0"/>
          <w:i w:val="0"/>
        </w:rPr>
        <w:t>Memo No. SPW/FIN/IM/2026/231</w:t>
      </w:r>
    </w:p>
    <w:p>
      <w:pPr>
        <w:jc w:val="right"/>
      </w:pPr>
      <w:r>
        <w:rPr>
          <w:b w:val="0"/>
          <w:i w:val="0"/>
        </w:rPr>
        <w:t>Date: 11 October 2026</w:t>
      </w:r>
    </w:p>
    <w:p>
      <w:pPr>
        <w:spacing w:after="20"/>
      </w:pPr>
      <w:r>
        <w:rPr>
          <w:b/>
          <w:i w:val="0"/>
        </w:rPr>
        <w:t xml:space="preserve">From: </w:t>
      </w:r>
      <w:r>
        <w:rPr>
          <w:b w:val="0"/>
          <w:i w:val="0"/>
        </w:rPr>
        <w:t>Hemal Vora, Finance Controller</w:t>
      </w:r>
    </w:p>
    <w:p>
      <w:pPr>
        <w:spacing w:after="20"/>
      </w:pPr>
      <w:r>
        <w:rPr>
          <w:b/>
          <w:i w:val="0"/>
        </w:rPr>
        <w:t xml:space="preserve">To: </w:t>
      </w:r>
      <w:r>
        <w:rPr>
          <w:b w:val="0"/>
          <w:i w:val="0"/>
        </w:rPr>
        <w:t>Dilip Chauhan, Accounts Manager; Paresh Modi, Site Accountant (Bharuch)</w:t>
      </w:r>
    </w:p>
    <w:p>
      <w:pPr>
        <w:spacing w:after="20"/>
      </w:pPr>
      <w:r>
        <w:rPr>
          <w:b/>
          <w:i w:val="0"/>
        </w:rPr>
        <w:t xml:space="preserve">CC: </w:t>
      </w:r>
      <w:r>
        <w:rPr>
          <w:b w:val="0"/>
          <w:i w:val="0"/>
        </w:rPr>
        <w:t>(none — do not circulate)</w:t>
      </w:r>
    </w:p>
    <w:p>
      <w:pPr>
        <w:spacing w:before="120"/>
        <w:jc w:val="center"/>
      </w:pPr>
      <w:r>
        <w:rPr>
          <w:b/>
          <w:i w:val="0"/>
          <w:sz w:val="28"/>
        </w:rPr>
        <w:t>INTERNAL MEMORANDUM</w:t>
      </w:r>
    </w:p>
    <w:p>
      <w:pPr>
        <w:jc w:val="center"/>
      </w:pPr>
      <w:r>
        <w:rPr>
          <w:b w:val="0"/>
          <w:i/>
          <w:sz w:val="21"/>
        </w:rPr>
        <w:t>Subject: Settlement of M/s Giriraj Earthmovers’ dues for the Bharuch site</w:t>
      </w:r>
    </w:p>
    <w:p>
      <w:pPr>
        <w:jc w:val="both"/>
      </w:pPr>
      <w:r>
        <w:rPr>
          <w:b w:val="0"/>
          <w:i w:val="0"/>
        </w:rPr>
        <w:t>This memorandum records the instructions of the office of the Managing Director regarding the payment to M/s Giriraj Earthmovers for the additional site-levelling and soil-filling work carried out at the Bharuch expansion plot during August and September 2026. The matter is sensitive and this memo is to be kept strictly between the three of us.</w:t>
      </w:r>
    </w:p>
    <w:p>
      <w:pPr>
        <w:keepNext/>
        <w:spacing w:before="160"/>
      </w:pPr>
      <w:r>
        <w:rPr>
          <w:b/>
          <w:i w:val="0"/>
          <w:sz w:val="23"/>
        </w:rPr>
        <w:t>1. Background</w:t>
      </w:r>
    </w:p>
    <w:p>
      <w:pPr>
        <w:jc w:val="both"/>
      </w:pPr>
      <w:r>
        <w:rPr>
          <w:b w:val="0"/>
          <w:i w:val="0"/>
        </w:rPr>
        <w:t>The additional work was ordered verbally at site and was not covered by any written work order or approved budget line. The vendor has raised a demand for ₹ 24,80,000. The Finance Controller’s office is not in a position to route this through the normal vendor-approval workflow because there is no sanctioned purchase order, and raising one now would require the approval of the Finance Committee, which would delay the project and invite questions about how the work was ordered in the first place.</w:t>
      </w:r>
    </w:p>
    <w:p>
      <w:pPr>
        <w:keepNext/>
        <w:spacing w:before="160"/>
      </w:pPr>
      <w:r>
        <w:rPr>
          <w:b/>
          <w:i w:val="0"/>
          <w:sz w:val="23"/>
        </w:rPr>
        <w:t>2. Instructions</w:t>
      </w:r>
    </w:p>
    <w:p>
      <w:pPr>
        <w:tabs>
          <w:tab w:pos="567" w:val="left"/>
        </w:tabs>
        <w:ind w:left="567" w:hanging="567"/>
        <w:jc w:val="both"/>
      </w:pPr>
      <w:r>
        <w:rPr>
          <w:b w:val="0"/>
          <w:i w:val="0"/>
        </w:rPr>
        <w:t>2.1</w:t>
        <w:tab/>
      </w:r>
      <w:r>
        <w:rPr>
          <w:b w:val="0"/>
          <w:i w:val="0"/>
        </w:rPr>
        <w:t>The payment shall be made in three tranches so that no single transaction is large enough to attract attention in the monthly MIS. Each tranche is to be booked under the head “miscellaneous site expenses — Bharuch” and not against the vendor’s name.</w:t>
      </w:r>
    </w:p>
    <w:p>
      <w:pPr>
        <w:tabs>
          <w:tab w:pos="567" w:val="left"/>
        </w:tabs>
        <w:ind w:left="567" w:hanging="567"/>
        <w:jc w:val="both"/>
      </w:pPr>
      <w:r>
        <w:rPr>
          <w:b w:val="0"/>
          <w:i w:val="0"/>
        </w:rPr>
        <w:t>2.2</w:t>
        <w:tab/>
      </w:r>
      <w:r>
        <w:rPr>
          <w:b w:val="0"/>
          <w:i w:val="0"/>
        </w:rPr>
        <w:t>Of the total, ₹ 18,00,000 shall be paid by bank transfer to the vendor’s account, and the balance ₹ 6,80,000 shall be arranged in cash through the site-petty-cash top-up, against self-made vouchers. Bypass the normal vendor-approval workflow; this payment is being made on the specific instruction of the office of the Managing Director.</w:t>
      </w:r>
    </w:p>
    <w:p>
      <w:pPr>
        <w:tabs>
          <w:tab w:pos="567" w:val="left"/>
        </w:tabs>
        <w:ind w:left="567" w:hanging="567"/>
        <w:jc w:val="both"/>
      </w:pPr>
      <w:r>
        <w:rPr>
          <w:b w:val="0"/>
          <w:i w:val="0"/>
        </w:rPr>
        <w:t>2.3</w:t>
        <w:tab/>
      </w:r>
      <w:r>
        <w:rPr>
          <w:b w:val="0"/>
          <w:i w:val="0"/>
        </w:rPr>
        <w:t>The supporting invoices from M/s Giriraj Earthmovers are to be dated across three months to match the tranches. The site accountant will prepare back-dated measurement sheets to support the invoices. Keep these working papers out of the ERP and off the record of the monthly MIS.</w:t>
      </w:r>
    </w:p>
    <w:p>
      <w:pPr>
        <w:tabs>
          <w:tab w:pos="567" w:val="left"/>
        </w:tabs>
        <w:ind w:left="567" w:hanging="567"/>
        <w:jc w:val="both"/>
      </w:pPr>
      <w:r>
        <w:rPr>
          <w:b w:val="0"/>
          <w:i w:val="0"/>
        </w:rPr>
        <w:t>2.4</w:t>
        <w:tab/>
      </w:r>
      <w:r>
        <w:rPr>
          <w:b w:val="0"/>
          <w:i w:val="0"/>
        </w:rPr>
        <w:t>Do not share with compliance, with internal audit or with the statutory auditors any of the papers relating to this transaction. If internal audit raises a query during the half-yearly review, refer them to this office and do not provide documents directly.</w:t>
      </w:r>
    </w:p>
    <w:p>
      <w:pPr>
        <w:tabs>
          <w:tab w:pos="567" w:val="left"/>
        </w:tabs>
        <w:ind w:left="567" w:hanging="567"/>
        <w:jc w:val="both"/>
      </w:pPr>
      <w:r>
        <w:rPr>
          <w:b w:val="0"/>
          <w:i w:val="0"/>
        </w:rPr>
        <w:t>2.5</w:t>
        <w:tab/>
      </w:r>
      <w:r>
        <w:rPr>
          <w:b w:val="0"/>
          <w:i w:val="0"/>
        </w:rPr>
        <w:t>This memo is to be treated as confidential. Please delete the e-mail conveying it after you have read it, and do not keep a copy on the shared drive. No paper trail beyond what is strictly necessary should be created.</w:t>
      </w:r>
    </w:p>
    <w:p>
      <w:pPr>
        <w:keepNext/>
        <w:spacing w:before="160"/>
      </w:pPr>
      <w:r>
        <w:rPr>
          <w:b/>
          <w:i w:val="0"/>
          <w:sz w:val="23"/>
        </w:rPr>
        <w:t>3. Payment schedule</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907"/>
            <w:shd w:val="clear" w:color="auto" w:fill="D9E2F3"/>
          </w:tcPr>
          <w:p>
            <w:pPr>
              <w:spacing w:after="0"/>
            </w:pPr>
            <w:r>
              <w:rPr>
                <w:b/>
                <w:i w:val="0"/>
                <w:sz w:val="19"/>
              </w:rPr>
              <w:t>Tranche</w:t>
            </w:r>
          </w:p>
        </w:tc>
        <w:tc>
          <w:tcPr>
            <w:tcW w:type="dxa" w:w="3175"/>
            <w:shd w:val="clear" w:color="auto" w:fill="D9E2F3"/>
          </w:tcPr>
          <w:p>
            <w:pPr>
              <w:spacing w:after="0"/>
            </w:pPr>
            <w:r>
              <w:rPr>
                <w:b/>
                <w:i w:val="0"/>
                <w:sz w:val="19"/>
              </w:rPr>
              <w:t>Mode</w:t>
            </w:r>
          </w:p>
        </w:tc>
        <w:tc>
          <w:tcPr>
            <w:tcW w:type="dxa" w:w="1701"/>
            <w:shd w:val="clear" w:color="auto" w:fill="D9E2F3"/>
          </w:tcPr>
          <w:p>
            <w:pPr>
              <w:spacing w:after="0"/>
            </w:pPr>
            <w:r>
              <w:rPr>
                <w:b/>
                <w:i w:val="0"/>
                <w:sz w:val="19"/>
              </w:rPr>
              <w:t>Amount (₹)</w:t>
            </w:r>
          </w:p>
        </w:tc>
        <w:tc>
          <w:tcPr>
            <w:tcW w:type="dxa" w:w="1587"/>
            <w:shd w:val="clear" w:color="auto" w:fill="D9E2F3"/>
          </w:tcPr>
          <w:p>
            <w:pPr>
              <w:spacing w:after="0"/>
            </w:pPr>
            <w:r>
              <w:rPr>
                <w:b/>
                <w:i w:val="0"/>
                <w:sz w:val="19"/>
              </w:rPr>
              <w:t>Target date</w:t>
            </w:r>
          </w:p>
        </w:tc>
        <w:tc>
          <w:tcPr>
            <w:tcW w:type="dxa" w:w="1928"/>
            <w:shd w:val="clear" w:color="auto" w:fill="D9E2F3"/>
          </w:tcPr>
          <w:p>
            <w:pPr>
              <w:spacing w:after="0"/>
            </w:pPr>
            <w:r>
              <w:rPr>
                <w:b/>
                <w:i w:val="0"/>
                <w:sz w:val="19"/>
              </w:rPr>
              <w:t>Booking head</w:t>
            </w:r>
          </w:p>
        </w:tc>
      </w:tr>
      <w:tr>
        <w:tc>
          <w:tcPr>
            <w:tcW w:type="dxa" w:w="907"/>
          </w:tcPr>
          <w:p>
            <w:pPr>
              <w:spacing w:after="0"/>
            </w:pPr>
            <w:r>
              <w:rPr>
                <w:b w:val="0"/>
                <w:i w:val="0"/>
                <w:sz w:val="19"/>
              </w:rPr>
              <w:t>1</w:t>
            </w:r>
          </w:p>
        </w:tc>
        <w:tc>
          <w:tcPr>
            <w:tcW w:type="dxa" w:w="3175"/>
          </w:tcPr>
          <w:p>
            <w:pPr>
              <w:spacing w:after="0"/>
            </w:pPr>
            <w:r>
              <w:rPr>
                <w:b w:val="0"/>
                <w:i w:val="0"/>
                <w:sz w:val="19"/>
              </w:rPr>
              <w:t>Bank transfer</w:t>
            </w:r>
          </w:p>
        </w:tc>
        <w:tc>
          <w:tcPr>
            <w:tcW w:type="dxa" w:w="1701"/>
          </w:tcPr>
          <w:p>
            <w:pPr>
              <w:spacing w:after="0"/>
            </w:pPr>
            <w:r>
              <w:rPr>
                <w:b w:val="0"/>
                <w:i w:val="0"/>
                <w:sz w:val="19"/>
              </w:rPr>
              <w:t>7,00,000</w:t>
            </w:r>
          </w:p>
        </w:tc>
        <w:tc>
          <w:tcPr>
            <w:tcW w:type="dxa" w:w="1587"/>
          </w:tcPr>
          <w:p>
            <w:pPr>
              <w:spacing w:after="0"/>
            </w:pPr>
            <w:r>
              <w:rPr>
                <w:b w:val="0"/>
                <w:i w:val="0"/>
                <w:sz w:val="19"/>
              </w:rPr>
              <w:t>18 Oct 2026</w:t>
            </w:r>
          </w:p>
        </w:tc>
        <w:tc>
          <w:tcPr>
            <w:tcW w:type="dxa" w:w="1928"/>
          </w:tcPr>
          <w:p>
            <w:pPr>
              <w:spacing w:after="0"/>
            </w:pPr>
            <w:r>
              <w:rPr>
                <w:b w:val="0"/>
                <w:i w:val="0"/>
                <w:sz w:val="19"/>
              </w:rPr>
              <w:t>Misc. site expenses — Bharuch</w:t>
            </w:r>
          </w:p>
        </w:tc>
      </w:tr>
      <w:tr>
        <w:tc>
          <w:tcPr>
            <w:tcW w:type="dxa" w:w="907"/>
          </w:tcPr>
          <w:p>
            <w:pPr>
              <w:spacing w:after="0"/>
            </w:pPr>
            <w:r>
              <w:rPr>
                <w:b w:val="0"/>
                <w:i w:val="0"/>
                <w:sz w:val="19"/>
              </w:rPr>
              <w:t>2</w:t>
            </w:r>
          </w:p>
        </w:tc>
        <w:tc>
          <w:tcPr>
            <w:tcW w:type="dxa" w:w="3175"/>
          </w:tcPr>
          <w:p>
            <w:pPr>
              <w:spacing w:after="0"/>
            </w:pPr>
            <w:r>
              <w:rPr>
                <w:b w:val="0"/>
                <w:i w:val="0"/>
                <w:sz w:val="19"/>
              </w:rPr>
              <w:t>Bank transfer</w:t>
            </w:r>
          </w:p>
        </w:tc>
        <w:tc>
          <w:tcPr>
            <w:tcW w:type="dxa" w:w="1701"/>
          </w:tcPr>
          <w:p>
            <w:pPr>
              <w:spacing w:after="0"/>
            </w:pPr>
            <w:r>
              <w:rPr>
                <w:b w:val="0"/>
                <w:i w:val="0"/>
                <w:sz w:val="19"/>
              </w:rPr>
              <w:t>7,00,000</w:t>
            </w:r>
          </w:p>
        </w:tc>
        <w:tc>
          <w:tcPr>
            <w:tcW w:type="dxa" w:w="1587"/>
          </w:tcPr>
          <w:p>
            <w:pPr>
              <w:spacing w:after="0"/>
            </w:pPr>
            <w:r>
              <w:rPr>
                <w:b w:val="0"/>
                <w:i w:val="0"/>
                <w:sz w:val="19"/>
              </w:rPr>
              <w:t>08 Nov 2026</w:t>
            </w:r>
          </w:p>
        </w:tc>
        <w:tc>
          <w:tcPr>
            <w:tcW w:type="dxa" w:w="1928"/>
          </w:tcPr>
          <w:p>
            <w:pPr>
              <w:spacing w:after="0"/>
            </w:pPr>
            <w:r>
              <w:rPr>
                <w:b w:val="0"/>
                <w:i w:val="0"/>
                <w:sz w:val="19"/>
              </w:rPr>
              <w:t>Misc. site expenses — Bharuch</w:t>
            </w:r>
          </w:p>
        </w:tc>
      </w:tr>
      <w:tr>
        <w:tc>
          <w:tcPr>
            <w:tcW w:type="dxa" w:w="907"/>
          </w:tcPr>
          <w:p>
            <w:pPr>
              <w:spacing w:after="0"/>
            </w:pPr>
            <w:r>
              <w:rPr>
                <w:b w:val="0"/>
                <w:i w:val="0"/>
                <w:sz w:val="19"/>
              </w:rPr>
              <w:t>3</w:t>
            </w:r>
          </w:p>
        </w:tc>
        <w:tc>
          <w:tcPr>
            <w:tcW w:type="dxa" w:w="3175"/>
          </w:tcPr>
          <w:p>
            <w:pPr>
              <w:spacing w:after="0"/>
            </w:pPr>
            <w:r>
              <w:rPr>
                <w:b w:val="0"/>
                <w:i w:val="0"/>
                <w:sz w:val="19"/>
              </w:rPr>
              <w:t>Bank transfer ₹4,00,000 + cash ₹6,80,000</w:t>
            </w:r>
          </w:p>
        </w:tc>
        <w:tc>
          <w:tcPr>
            <w:tcW w:type="dxa" w:w="1701"/>
          </w:tcPr>
          <w:p>
            <w:pPr>
              <w:spacing w:after="0"/>
            </w:pPr>
            <w:r>
              <w:rPr>
                <w:b w:val="0"/>
                <w:i w:val="0"/>
                <w:sz w:val="19"/>
              </w:rPr>
              <w:t>10,80,000</w:t>
            </w:r>
          </w:p>
        </w:tc>
        <w:tc>
          <w:tcPr>
            <w:tcW w:type="dxa" w:w="1587"/>
          </w:tcPr>
          <w:p>
            <w:pPr>
              <w:spacing w:after="0"/>
            </w:pPr>
            <w:r>
              <w:rPr>
                <w:b w:val="0"/>
                <w:i w:val="0"/>
                <w:sz w:val="19"/>
              </w:rPr>
              <w:t>29 Nov 2026</w:t>
            </w:r>
          </w:p>
        </w:tc>
        <w:tc>
          <w:tcPr>
            <w:tcW w:type="dxa" w:w="1928"/>
          </w:tcPr>
          <w:p>
            <w:pPr>
              <w:spacing w:after="0"/>
            </w:pPr>
            <w:r>
              <w:rPr>
                <w:b w:val="0"/>
                <w:i w:val="0"/>
                <w:sz w:val="19"/>
              </w:rPr>
              <w:t>Misc. site expenses — Bharuch</w:t>
            </w:r>
          </w:p>
        </w:tc>
      </w:tr>
    </w:tbl>
    <w:p/>
    <w:p>
      <w:pPr>
        <w:jc w:val="both"/>
      </w:pPr>
      <w:r>
        <w:rPr>
          <w:b w:val="0"/>
          <w:i w:val="0"/>
        </w:rPr>
        <w:t>Vendor bank details for the transfers: M/s Giriraj Earthmovers, Account No. 60291044817523, IFSC KKBK0002611, Kotak Mahindra Bank, Bharuch Branch. The cash component will be handled separately; Paresh will be told the arrangement in person, not in writing.</w:t>
      </w:r>
    </w:p>
    <w:p>
      <w:pPr>
        <w:keepNext/>
        <w:spacing w:before="160"/>
      </w:pPr>
      <w:r>
        <w:rPr>
          <w:b/>
          <w:i w:val="0"/>
          <w:sz w:val="23"/>
        </w:rPr>
        <w:t>4. Acknowledgement</w:t>
      </w:r>
    </w:p>
    <w:p>
      <w:pPr>
        <w:jc w:val="both"/>
      </w:pPr>
      <w:r>
        <w:rPr>
          <w:b w:val="0"/>
          <w:i w:val="0"/>
        </w:rPr>
        <w:t>Kindly acknowledge receipt of this memo to me in person and not by e-mail. Once the three of us have read it, this copy is to be destroyed. If anybody outside this group asks about the Giriraj payments, the only answer is that they are routine site expenses being processed in the normal course.</w:t>
      </w:r>
    </w:p>
    <w:p>
      <w:pPr>
        <w:spacing w:after="283"/>
      </w:pPr>
    </w:p>
    <w:tbl>
      <w:tblPr>
        <w:tblW w:type="auto" w:w="0"/>
        <w:tblLook w:firstColumn="1" w:firstRow="1" w:lastColumn="0" w:lastRow="0" w:noHBand="0" w:noVBand="1" w:val="04A0"/>
      </w:tblPr>
      <w:tblGrid>
        <w:gridCol w:w="4649"/>
        <w:gridCol w:w="4649"/>
      </w:tblGrid>
      <w:tr>
        <w:tc>
          <w:tcPr>
            <w:tcW w:type="dxa" w:w="4649"/>
          </w:tcPr>
          <w:p>
            <w:pPr>
              <w:spacing w:after="0"/>
            </w:pPr>
            <w:r>
              <w:rPr>
                <w:b/>
                <w:i w:val="0"/>
              </w:rPr>
              <w:t>Issued by</w:t>
            </w:r>
          </w:p>
          <w:p>
            <w:pPr>
              <w:spacing w:after="0"/>
            </w:pPr>
          </w:p>
          <w:p>
            <w:pPr>
              <w:spacing w:after="0"/>
            </w:pPr>
          </w:p>
          <w:p>
            <w:pPr>
              <w:spacing w:after="0"/>
            </w:pPr>
            <w:r>
              <w:rPr>
                <w:b w:val="0"/>
                <w:i w:val="0"/>
                <w:sz w:val="21"/>
              </w:rPr>
              <w:t>______________________________</w:t>
            </w:r>
          </w:p>
          <w:p>
            <w:pPr>
              <w:spacing w:after="0"/>
            </w:pPr>
            <w:r>
              <w:rPr>
                <w:b w:val="0"/>
                <w:i w:val="0"/>
                <w:sz w:val="21"/>
              </w:rPr>
              <w:t>Hemal Vora</w:t>
            </w:r>
          </w:p>
          <w:p>
            <w:pPr>
              <w:spacing w:after="0"/>
            </w:pPr>
            <w:r>
              <w:rPr>
                <w:b w:val="0"/>
                <w:i w:val="0"/>
                <w:sz w:val="21"/>
              </w:rPr>
              <w:t>Finance Controller</w:t>
            </w:r>
          </w:p>
        </w:tc>
        <w:tc>
          <w:tcPr>
            <w:tcW w:type="dxa" w:w="4649"/>
          </w:tcPr>
          <w:p>
            <w:pPr>
              <w:spacing w:after="0"/>
            </w:pPr>
            <w:r>
              <w:rPr>
                <w:b/>
                <w:i w:val="0"/>
              </w:rPr>
              <w:t>On the instructions of</w:t>
            </w:r>
          </w:p>
          <w:p>
            <w:pPr>
              <w:spacing w:after="0"/>
            </w:pPr>
          </w:p>
          <w:p>
            <w:pPr>
              <w:spacing w:after="0"/>
            </w:pPr>
          </w:p>
          <w:p>
            <w:pPr>
              <w:spacing w:after="0"/>
            </w:pPr>
            <w:r>
              <w:rPr>
                <w:b w:val="0"/>
                <w:i w:val="0"/>
                <w:sz w:val="21"/>
              </w:rPr>
              <w:t>______________________________</w:t>
            </w:r>
          </w:p>
          <w:p>
            <w:pPr>
              <w:spacing w:after="0"/>
            </w:pPr>
            <w:r>
              <w:rPr>
                <w:b w:val="0"/>
                <w:i w:val="0"/>
                <w:sz w:val="21"/>
              </w:rPr>
              <w:t>(verbal)</w:t>
            </w:r>
          </w:p>
          <w:p>
            <w:pPr>
              <w:spacing w:after="0"/>
            </w:pPr>
            <w:r>
              <w:rPr>
                <w:b w:val="0"/>
                <w:i w:val="0"/>
                <w:sz w:val="21"/>
              </w:rPr>
              <w:t>Office of the Managing Director</w:t>
            </w:r>
          </w:p>
        </w:tc>
      </w:tr>
    </w:tbl>
    <w:p/>
    <w:sectPr w:rsidR="00FC693F" w:rsidRPr="0006063C" w:rsidSect="00034616">
      <w:headerReference w:type="default" r:id="rId9"/>
      <w:footerReference w:type="default" r:id="rId10"/>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606060"/>
        <w:sz w:val="16"/>
      </w:rPr>
      <w:t xml:space="preserve">CONFIDENTIAL — internal memo   |   </w:t>
    </w:r>
    <w:r>
      <w:rPr>
        <w:b w:val="0"/>
        <w:i w:val="0"/>
        <w:color w:val="606060"/>
        <w:sz w:val="16"/>
      </w:rPr>
      <w:t xml:space="preserve">Page </w:t>
    </w:r>
    <w:r>
      <w:rPr>
        <w:sz w:val="16"/>
      </w:rPr>
      <w:fldChar w:fldCharType="begin"/>
      <w:instrText xml:space="preserve"> PAGE </w:instrText>
      <w:fldChar w:fldCharType="end"/>
    </w:r>
    <w:r>
      <w:rPr>
        <w:b w:val="0"/>
        <w:i w:val="0"/>
        <w:color w:val="606060"/>
        <w:sz w:val="16"/>
      </w:rPr>
      <w:t xml:space="preserve"> of </w:t>
    </w:r>
    <w:r>
      <w:rPr>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Pr>
    <w:r>
      <w:rPr>
        <w:b/>
        <w:i w:val="0"/>
        <w:color w:val="B00000"/>
        <w:sz w:val="15"/>
      </w:rPr>
      <w:t>SYNTHETIC BENCHMARK DOCUMENT — NOT A GENUINE DOCUMENT — GENERATED FOR DETECTION TESTING ONLY</w:t>
    </w:r>
  </w:p>
  <w:p>
    <w:pPr>
      <w:jc w:val="center"/>
    </w:pPr>
    <w:r>
      <w:rPr>
        <w:b/>
        <w:i w:val="0"/>
        <w:color w:val="1F3864"/>
        <w:sz w:val="30"/>
      </w:rPr>
      <w:t>SHREEJI POLYMER WORKS PVT. LTD.</w:t>
    </w:r>
  </w:p>
  <w:p>
    <w:pPr>
      <w:spacing w:after="0"/>
      <w:jc w:val="center"/>
    </w:pPr>
    <w:r>
      <w:rPr>
        <w:b w:val="0"/>
        <w:i w:val="0"/>
        <w:color w:val="404040"/>
        <w:sz w:val="17"/>
      </w:rPr>
      <w:t>Internal Memorandum   ·   Finance &amp; Accounts Department   ·   Vatva / Bharuch</w:t>
    </w:r>
  </w:p>
  <w:p>
    <w:pPr>
      <w:spacing w:after="0"/>
      <w:jc w:val="center"/>
      <w:pBdr>
        <w:bottom w:val="single" w:sz="12" w:space="4" w:color="1F3864"/>
      </w:pBdr>
    </w:pPr>
    <w:r>
      <w:rPr>
        <w:b w:val="0"/>
        <w:i w:val="0"/>
        <w:color w:val="404040"/>
        <w:sz w:val="17"/>
      </w:rPr>
      <w:t>CONFIDENTIAL — for the addressees named below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mbria" w:hAnsi="Cambria" w:eastAsia="Cambria" w:cs="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Internal Memorandum</dc:title>
  <dc:subject>SYNTHETIC BENCHMARK — detection testing</dc:subject>
  <dc:creator>Finance &amp; Accounts</dc:creator>
  <cp:keywords>synthetic, benchmark, test</cp:keywords>
  <dc:description/>
  <cp:lastModifiedBy/>
  <cp:revision>1</cp:revision>
  <dcterms:created xsi:type="dcterms:W3CDTF">2013-12-23T23:15:00Z</dcterms:created>
  <dcterms:modified xsi:type="dcterms:W3CDTF">2013-12-23T23:15:00Z</dcterms:modified>
  <cp:category/>
</cp:coreProperties>
</file>