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3053" w14:textId="77777777" w:rsidR="006764E2" w:rsidRPr="006764E2" w:rsidRDefault="006764E2" w:rsidP="006764E2">
      <w:pPr>
        <w:shd w:val="clear" w:color="auto" w:fill="FFFFFF"/>
        <w:spacing w:after="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For this project option, you will investigate the effectiveness of the 50 States and the District of Columbia in combatting the spread of seasonal influenza (flu) in terms of flu vaccination coverage (and, perhaps, the effectiveness of the flu vaccine for each season) from the 2008-2009 season until the 2022-2023 (truncated) season. </w:t>
      </w:r>
      <w:hyperlink r:id="rId5" w:tgtFrame="_blank" w:history="1">
        <w:r w:rsidRPr="006764E2">
          <w:rPr>
            <w:rFonts w:ascii="Lato" w:eastAsia="Times New Roman" w:hAnsi="Lato" w:cs="Times New Roman"/>
            <w:color w:val="0000FF"/>
            <w:kern w:val="0"/>
            <w:sz w:val="24"/>
            <w:szCs w:val="24"/>
            <w:u w:val="single"/>
            <w14:ligatures w14:val="none"/>
          </w:rPr>
          <w:t>Putri et al. (</w:t>
        </w:r>
        <w:proofErr w:type="gramStart"/>
        <w:r w:rsidRPr="006764E2">
          <w:rPr>
            <w:rFonts w:ascii="Lato" w:eastAsia="Times New Roman" w:hAnsi="Lato" w:cs="Times New Roman"/>
            <w:color w:val="0000FF"/>
            <w:kern w:val="0"/>
            <w:sz w:val="24"/>
            <w:szCs w:val="24"/>
            <w:u w:val="single"/>
            <w14:ligatures w14:val="none"/>
          </w:rPr>
          <w:t>2018)</w:t>
        </w:r>
        <w:r w:rsidRPr="006764E2">
          <w:rPr>
            <w:rFonts w:ascii="Lato" w:eastAsia="Times New Roman" w:hAnsi="Lato" w:cs="Times New Roman"/>
            <w:color w:val="0000FF"/>
            <w:kern w:val="0"/>
            <w:sz w:val="24"/>
            <w:szCs w:val="24"/>
            <w:u w:val="single"/>
            <w:bdr w:val="none" w:sz="0" w:space="0" w:color="auto" w:frame="1"/>
            <w14:ligatures w14:val="none"/>
          </w:rPr>
          <w:t>Links</w:t>
        </w:r>
        <w:proofErr w:type="gram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6764E2">
        <w:rPr>
          <w:rFonts w:ascii="Lato" w:eastAsia="Times New Roman" w:hAnsi="Lato" w:cs="Times New Roman"/>
          <w:color w:val="2D3B45"/>
          <w:kern w:val="0"/>
          <w:sz w:val="24"/>
          <w:szCs w:val="24"/>
          <w14:ligatures w14:val="none"/>
        </w:rPr>
        <w:t xml:space="preserve"> estimates the annual economic burden of seasonal flu at around $11.2 billion in lost productivity in the United States. Thus, it is important to obtain research-supported managerial insights on past flu seasons and provide sound managerial recommendations for mitigating risks of productivity losses resulting from the seasonal flu. It is important to note, however, that the numbers and graphs derived from the datasets only provide rough </w:t>
      </w:r>
      <w:proofErr w:type="gramStart"/>
      <w:r w:rsidRPr="006764E2">
        <w:rPr>
          <w:rFonts w:ascii="Lato" w:eastAsia="Times New Roman" w:hAnsi="Lato" w:cs="Times New Roman"/>
          <w:color w:val="2D3B45"/>
          <w:kern w:val="0"/>
          <w:sz w:val="24"/>
          <w:szCs w:val="24"/>
          <w14:ligatures w14:val="none"/>
        </w:rPr>
        <w:t>estimates.</w:t>
      </w:r>
      <w:r w:rsidRPr="006764E2">
        <w:rPr>
          <w:rFonts w:ascii="Lato" w:eastAsia="Times New Roman" w:hAnsi="Lato" w:cs="Times New Roman"/>
          <w:color w:val="CC0033"/>
          <w:kern w:val="0"/>
          <w:sz w:val="18"/>
          <w:szCs w:val="18"/>
          <w:vertAlign w:val="superscript"/>
          <w14:ligatures w14:val="none"/>
        </w:rPr>
        <w:t>*</w:t>
      </w:r>
      <w:proofErr w:type="gramEnd"/>
    </w:p>
    <w:p w14:paraId="1579C05D" w14:textId="77777777" w:rsidR="006764E2" w:rsidRPr="006764E2" w:rsidRDefault="006764E2" w:rsidP="006764E2">
      <w:pPr>
        <w:shd w:val="clear" w:color="auto" w:fill="FFFFFF"/>
        <w:spacing w:after="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CC0033"/>
          <w:kern w:val="0"/>
          <w:sz w:val="18"/>
          <w:szCs w:val="18"/>
          <w:vertAlign w:val="superscript"/>
          <w14:ligatures w14:val="none"/>
        </w:rPr>
        <w:t>*</w:t>
      </w:r>
      <w:r w:rsidRPr="006764E2">
        <w:rPr>
          <w:rFonts w:ascii="Lato" w:eastAsia="Times New Roman" w:hAnsi="Lato" w:cs="Times New Roman"/>
          <w:i/>
          <w:iCs/>
          <w:color w:val="2D3B45"/>
          <w:kern w:val="0"/>
          <w:sz w:val="20"/>
          <w:szCs w:val="20"/>
          <w14:ligatures w14:val="none"/>
        </w:rPr>
        <w:t>Other researchers, such as </w:t>
      </w:r>
      <w:hyperlink r:id="rId6" w:tgtFrame="_blank" w:history="1">
        <w:r w:rsidRPr="006764E2">
          <w:rPr>
            <w:rFonts w:ascii="Lato" w:eastAsia="Times New Roman" w:hAnsi="Lato" w:cs="Times New Roman"/>
            <w:i/>
            <w:iCs/>
            <w:color w:val="0000FF"/>
            <w:kern w:val="0"/>
            <w:sz w:val="20"/>
            <w:szCs w:val="20"/>
            <w:u w:val="single"/>
            <w14:ligatures w14:val="none"/>
          </w:rPr>
          <w:t>Caldwell et al. (2020)</w:t>
        </w:r>
        <w:r w:rsidRPr="006764E2">
          <w:rPr>
            <w:rFonts w:ascii="Lato" w:eastAsia="Times New Roman" w:hAnsi="Lato" w:cs="Times New Roman"/>
            <w:i/>
            <w:iCs/>
            <w:color w:val="0000FF"/>
            <w:kern w:val="0"/>
            <w:sz w:val="20"/>
            <w:szCs w:val="20"/>
            <w:u w:val="single"/>
            <w:bdr w:val="none" w:sz="0" w:space="0" w:color="auto" w:frame="1"/>
            <w14:ligatures w14:val="none"/>
          </w:rPr>
          <w:t>Links to an external site.</w:t>
        </w:r>
      </w:hyperlink>
      <w:r w:rsidRPr="006764E2">
        <w:rPr>
          <w:rFonts w:ascii="Lato" w:eastAsia="Times New Roman" w:hAnsi="Lato" w:cs="Times New Roman"/>
          <w:i/>
          <w:iCs/>
          <w:color w:val="2D3B45"/>
          <w:kern w:val="0"/>
          <w:sz w:val="20"/>
          <w:szCs w:val="20"/>
          <w14:ligatures w14:val="none"/>
        </w:rPr>
        <w:t>, have proposed prediction models of flu incidence using influenza-like illness (ILI) incidence and the weekly number of web searches about the flu.</w:t>
      </w:r>
    </w:p>
    <w:p w14:paraId="7AD56BF3" w14:textId="77777777" w:rsidR="006764E2" w:rsidRPr="006764E2" w:rsidRDefault="006764E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You will use the following datasets:</w:t>
      </w:r>
    </w:p>
    <w:p w14:paraId="689B4402" w14:textId="77777777" w:rsidR="006764E2" w:rsidRPr="006764E2" w:rsidRDefault="006764E2"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7" w:tgtFrame="_blank" w:history="1">
        <w:r w:rsidRPr="006764E2">
          <w:rPr>
            <w:rFonts w:ascii="Lato" w:eastAsia="Times New Roman" w:hAnsi="Lato" w:cs="Times New Roman"/>
            <w:color w:val="0000FF"/>
            <w:kern w:val="0"/>
            <w:sz w:val="24"/>
            <w:szCs w:val="24"/>
            <w:u w:val="single"/>
            <w14:ligatures w14:val="none"/>
          </w:rPr>
          <w:t xml:space="preserve">Influenza Vaccination Coverage </w:t>
        </w:r>
        <w:proofErr w:type="spellStart"/>
        <w:r w:rsidRPr="006764E2">
          <w:rPr>
            <w:rFonts w:ascii="Lato" w:eastAsia="Times New Roman" w:hAnsi="Lato" w:cs="Times New Roman"/>
            <w:color w:val="0000FF"/>
            <w:kern w:val="0"/>
            <w:sz w:val="24"/>
            <w:szCs w:val="24"/>
            <w:u w:val="single"/>
            <w14:ligatures w14:val="none"/>
          </w:rPr>
          <w:t>Data</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6764E2">
        <w:rPr>
          <w:rFonts w:ascii="Lato" w:eastAsia="Times New Roman" w:hAnsi="Lato" w:cs="Times New Roman"/>
          <w:color w:val="2D3B45"/>
          <w:kern w:val="0"/>
          <w:sz w:val="24"/>
          <w:szCs w:val="24"/>
          <w14:ligatures w14:val="none"/>
        </w:rPr>
        <w:t> (data page available on </w:t>
      </w:r>
      <w:proofErr w:type="spellStart"/>
      <w:r w:rsidRPr="006764E2">
        <w:rPr>
          <w:rFonts w:ascii="Lato" w:eastAsia="Times New Roman" w:hAnsi="Lato" w:cs="Times New Roman"/>
          <w:color w:val="2D3B45"/>
          <w:kern w:val="0"/>
          <w:sz w:val="24"/>
          <w:szCs w:val="24"/>
          <w14:ligatures w14:val="none"/>
        </w:rPr>
        <w:fldChar w:fldCharType="begin"/>
      </w:r>
      <w:r w:rsidRPr="006764E2">
        <w:rPr>
          <w:rFonts w:ascii="Lato" w:eastAsia="Times New Roman" w:hAnsi="Lato" w:cs="Times New Roman"/>
          <w:color w:val="2D3B45"/>
          <w:kern w:val="0"/>
          <w:sz w:val="24"/>
          <w:szCs w:val="24"/>
          <w14:ligatures w14:val="none"/>
        </w:rPr>
        <w:instrText xml:space="preserve"> HYPERLINK "https://data.cdc.gov/Flu-Vaccinations/Influenza-Vaccination-Coverage-for-All-Ages-6-Mont/vh55-3he6" \t "_blank" </w:instrText>
      </w:r>
      <w:r w:rsidRPr="006764E2">
        <w:rPr>
          <w:rFonts w:ascii="Lato" w:eastAsia="Times New Roman" w:hAnsi="Lato" w:cs="Times New Roman"/>
          <w:color w:val="2D3B45"/>
          <w:kern w:val="0"/>
          <w:sz w:val="24"/>
          <w:szCs w:val="24"/>
          <w14:ligatures w14:val="none"/>
        </w:rPr>
        <w:fldChar w:fldCharType="separate"/>
      </w:r>
      <w:r w:rsidRPr="006764E2">
        <w:rPr>
          <w:rFonts w:ascii="Lato" w:eastAsia="Times New Roman" w:hAnsi="Lato" w:cs="Times New Roman"/>
          <w:color w:val="0000FF"/>
          <w:kern w:val="0"/>
          <w:sz w:val="24"/>
          <w:szCs w:val="24"/>
          <w:u w:val="single"/>
          <w14:ligatures w14:val="none"/>
        </w:rPr>
        <w:t>CDC.gov</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r w:rsidRPr="006764E2">
        <w:rPr>
          <w:rFonts w:ascii="Lato" w:eastAsia="Times New Roman" w:hAnsi="Lato" w:cs="Times New Roman"/>
          <w:color w:val="2D3B45"/>
          <w:kern w:val="0"/>
          <w:sz w:val="24"/>
          <w:szCs w:val="24"/>
          <w14:ligatures w14:val="none"/>
        </w:rPr>
        <w:fldChar w:fldCharType="end"/>
      </w:r>
      <w:r w:rsidRPr="006764E2">
        <w:rPr>
          <w:rFonts w:ascii="Lato" w:eastAsia="Times New Roman" w:hAnsi="Lato" w:cs="Times New Roman"/>
          <w:color w:val="2D3B45"/>
          <w:kern w:val="0"/>
          <w:sz w:val="24"/>
          <w:szCs w:val="24"/>
          <w14:ligatures w14:val="none"/>
        </w:rPr>
        <w:t>)</w:t>
      </w:r>
    </w:p>
    <w:p w14:paraId="278CEEF3" w14:textId="77777777" w:rsidR="006764E2" w:rsidRPr="006764E2" w:rsidRDefault="006764E2"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8" w:tgtFrame="_blank" w:history="1">
        <w:r w:rsidRPr="006764E2">
          <w:rPr>
            <w:rFonts w:ascii="Lato" w:eastAsia="Times New Roman" w:hAnsi="Lato" w:cs="Times New Roman"/>
            <w:color w:val="0000FF"/>
            <w:kern w:val="0"/>
            <w:sz w:val="24"/>
            <w:szCs w:val="24"/>
            <w:u w:val="single"/>
            <w14:ligatures w14:val="none"/>
          </w:rPr>
          <w:t xml:space="preserve">Influenza-like Illness (ILI) Activity </w:t>
        </w:r>
        <w:proofErr w:type="spellStart"/>
        <w:r w:rsidRPr="006764E2">
          <w:rPr>
            <w:rFonts w:ascii="Lato" w:eastAsia="Times New Roman" w:hAnsi="Lato" w:cs="Times New Roman"/>
            <w:color w:val="0000FF"/>
            <w:kern w:val="0"/>
            <w:sz w:val="24"/>
            <w:szCs w:val="24"/>
            <w:u w:val="single"/>
            <w14:ligatures w14:val="none"/>
          </w:rPr>
          <w:t>Data</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64B79B2B" w14:textId="77777777" w:rsidR="006764E2" w:rsidRPr="006764E2" w:rsidRDefault="006764E2"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9" w:tgtFrame="_blank" w:history="1">
        <w:r w:rsidRPr="006764E2">
          <w:rPr>
            <w:rFonts w:ascii="Lato" w:eastAsia="Times New Roman" w:hAnsi="Lato" w:cs="Times New Roman"/>
            <w:color w:val="0000FF"/>
            <w:kern w:val="0"/>
            <w:sz w:val="24"/>
            <w:szCs w:val="24"/>
            <w:u w:val="single"/>
            <w14:ligatures w14:val="none"/>
          </w:rPr>
          <w:t xml:space="preserve">State-level Outpatient Influenza-like Illness (ILI) Surveillance </w:t>
        </w:r>
        <w:proofErr w:type="spellStart"/>
        <w:r w:rsidRPr="006764E2">
          <w:rPr>
            <w:rFonts w:ascii="Lato" w:eastAsia="Times New Roman" w:hAnsi="Lato" w:cs="Times New Roman"/>
            <w:color w:val="0000FF"/>
            <w:kern w:val="0"/>
            <w:sz w:val="24"/>
            <w:szCs w:val="24"/>
            <w:u w:val="single"/>
            <w14:ligatures w14:val="none"/>
          </w:rPr>
          <w:t>Data</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72C8B7FB" w14:textId="77777777" w:rsidR="006764E2" w:rsidRPr="006764E2" w:rsidRDefault="006764E2"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10" w:tgtFrame="_blank" w:history="1">
        <w:r w:rsidRPr="006764E2">
          <w:rPr>
            <w:rFonts w:ascii="Lato" w:eastAsia="Times New Roman" w:hAnsi="Lato" w:cs="Times New Roman"/>
            <w:color w:val="0000FF"/>
            <w:kern w:val="0"/>
            <w:sz w:val="24"/>
            <w:szCs w:val="24"/>
            <w:u w:val="single"/>
            <w14:ligatures w14:val="none"/>
          </w:rPr>
          <w:t xml:space="preserve">Population [Projections] </w:t>
        </w:r>
        <w:proofErr w:type="spellStart"/>
        <w:r w:rsidRPr="006764E2">
          <w:rPr>
            <w:rFonts w:ascii="Lato" w:eastAsia="Times New Roman" w:hAnsi="Lato" w:cs="Times New Roman"/>
            <w:color w:val="0000FF"/>
            <w:kern w:val="0"/>
            <w:sz w:val="24"/>
            <w:szCs w:val="24"/>
            <w:u w:val="single"/>
            <w14:ligatures w14:val="none"/>
          </w:rPr>
          <w:t>Data</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946FF96" w14:textId="77777777" w:rsidR="006764E2" w:rsidRPr="006764E2" w:rsidRDefault="006764E2" w:rsidP="006764E2">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Other datasets that will enhance your </w:t>
      </w:r>
      <w:r w:rsidRPr="006764E2">
        <w:rPr>
          <w:rFonts w:ascii="Lato" w:eastAsia="Times New Roman" w:hAnsi="Lato" w:cs="Times New Roman"/>
          <w:b/>
          <w:bCs/>
          <w:color w:val="CC0033"/>
          <w:kern w:val="0"/>
          <w:sz w:val="24"/>
          <w:szCs w:val="24"/>
          <w:u w:val="single"/>
          <w14:ligatures w14:val="none"/>
        </w:rPr>
        <w:t>individual</w:t>
      </w:r>
      <w:r w:rsidRPr="006764E2">
        <w:rPr>
          <w:rFonts w:ascii="Lato" w:eastAsia="Times New Roman" w:hAnsi="Lato" w:cs="Times New Roman"/>
          <w:color w:val="2D3B45"/>
          <w:kern w:val="0"/>
          <w:sz w:val="24"/>
          <w:szCs w:val="24"/>
          <w14:ligatures w14:val="none"/>
        </w:rPr>
        <w:t> analyses (e.g., </w:t>
      </w:r>
      <w:hyperlink r:id="rId11" w:tgtFrame="_blank" w:history="1">
        <w:r w:rsidRPr="006764E2">
          <w:rPr>
            <w:rFonts w:ascii="Lato" w:eastAsia="Times New Roman" w:hAnsi="Lato" w:cs="Times New Roman"/>
            <w:color w:val="0000FF"/>
            <w:kern w:val="0"/>
            <w:sz w:val="24"/>
            <w:szCs w:val="24"/>
            <w:u w:val="single"/>
            <w14:ligatures w14:val="none"/>
          </w:rPr>
          <w:t xml:space="preserve">vaccine </w:t>
        </w:r>
        <w:proofErr w:type="spellStart"/>
        <w:r w:rsidRPr="006764E2">
          <w:rPr>
            <w:rFonts w:ascii="Lato" w:eastAsia="Times New Roman" w:hAnsi="Lato" w:cs="Times New Roman"/>
            <w:color w:val="0000FF"/>
            <w:kern w:val="0"/>
            <w:sz w:val="24"/>
            <w:szCs w:val="24"/>
            <w:u w:val="single"/>
            <w14:ligatures w14:val="none"/>
          </w:rPr>
          <w:t>effectiveness</w:t>
        </w:r>
        <w:r w:rsidRPr="006764E2">
          <w:rPr>
            <w:rFonts w:ascii="Lato" w:eastAsia="Times New Roman" w:hAnsi="Lato" w:cs="Times New Roman"/>
            <w:color w:val="0000FF"/>
            <w:kern w:val="0"/>
            <w:sz w:val="24"/>
            <w:szCs w:val="24"/>
            <w:u w:val="single"/>
            <w:bdr w:val="none" w:sz="0" w:space="0" w:color="auto" w:frame="1"/>
            <w14:ligatures w14:val="none"/>
          </w:rPr>
          <w:t>Links</w:t>
        </w:r>
        <w:proofErr w:type="spellEnd"/>
        <w:r w:rsidRPr="006764E2">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6764E2">
        <w:rPr>
          <w:rFonts w:ascii="Lato" w:eastAsia="Times New Roman" w:hAnsi="Lato" w:cs="Times New Roman"/>
          <w:color w:val="2D3B45"/>
          <w:kern w:val="0"/>
          <w:sz w:val="24"/>
          <w:szCs w:val="24"/>
          <w14:ligatures w14:val="none"/>
        </w:rPr>
        <w:t>, State- and week-specific weather data, and incidences of other communicable diseases, among others)</w:t>
      </w:r>
    </w:p>
    <w:p w14:paraId="53C7EA71" w14:textId="77777777" w:rsidR="006764E2" w:rsidRPr="006764E2" w:rsidRDefault="006764E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 </w:t>
      </w:r>
    </w:p>
    <w:p w14:paraId="3779DFCC" w14:textId="77777777" w:rsidR="006764E2" w:rsidRPr="006764E2" w:rsidRDefault="006764E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color w:val="2D3B45"/>
          <w:kern w:val="0"/>
          <w:sz w:val="24"/>
          <w:szCs w:val="24"/>
          <w14:ligatures w14:val="none"/>
        </w:rPr>
        <w:t>Example dashboards are shown below:</w:t>
      </w:r>
    </w:p>
    <w:p w14:paraId="598B5A6B" w14:textId="70E4954B" w:rsidR="006764E2" w:rsidRPr="006764E2" w:rsidRDefault="006764E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noProof/>
          <w:color w:val="2D3B45"/>
          <w:kern w:val="0"/>
          <w:sz w:val="24"/>
          <w:szCs w:val="24"/>
          <w14:ligatures w14:val="none"/>
        </w:rPr>
        <mc:AlternateContent>
          <mc:Choice Requires="wps">
            <w:drawing>
              <wp:inline distT="0" distB="0" distL="0" distR="0" wp14:anchorId="60CE91D5" wp14:editId="69A4C348">
                <wp:extent cx="304800" cy="304800"/>
                <wp:effectExtent l="0" t="0" r="0" b="0"/>
                <wp:docPr id="201872905" name="Rectangle 5" descr="Influenza-like Illness Level versus Flu Vaccination Percent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89EA9" id="Rectangle 5" o:spid="_x0000_s1026" alt="Influenza-like Illness Level versus Flu Vaccination Percent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64E2">
        <w:rPr>
          <w:rFonts w:ascii="Lato" w:eastAsia="Times New Roman" w:hAnsi="Lato" w:cs="Times New Roman"/>
          <w:noProof/>
          <w:color w:val="2D3B45"/>
          <w:kern w:val="0"/>
          <w:sz w:val="24"/>
          <w:szCs w:val="24"/>
          <w14:ligatures w14:val="none"/>
        </w:rPr>
        <mc:AlternateContent>
          <mc:Choice Requires="wps">
            <w:drawing>
              <wp:inline distT="0" distB="0" distL="0" distR="0" wp14:anchorId="6FBD8F70" wp14:editId="29683076">
                <wp:extent cx="304800" cy="304800"/>
                <wp:effectExtent l="0" t="0" r="0" b="0"/>
                <wp:docPr id="111978051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971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189562" w14:textId="78913C32" w:rsidR="006764E2" w:rsidRPr="006764E2" w:rsidRDefault="006764E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noProof/>
          <w:color w:val="2D3B45"/>
          <w:kern w:val="0"/>
          <w:sz w:val="24"/>
          <w:szCs w:val="24"/>
          <w14:ligatures w14:val="none"/>
        </w:rPr>
        <mc:AlternateContent>
          <mc:Choice Requires="wps">
            <w:drawing>
              <wp:inline distT="0" distB="0" distL="0" distR="0" wp14:anchorId="5634AD94" wp14:editId="465651E9">
                <wp:extent cx="304800" cy="304800"/>
                <wp:effectExtent l="0" t="0" r="0" b="0"/>
                <wp:docPr id="64891255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BA4A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64E2">
        <w:rPr>
          <w:rFonts w:ascii="Lato" w:eastAsia="Times New Roman" w:hAnsi="Lato" w:cs="Times New Roman"/>
          <w:noProof/>
          <w:color w:val="2D3B45"/>
          <w:kern w:val="0"/>
          <w:sz w:val="24"/>
          <w:szCs w:val="24"/>
          <w14:ligatures w14:val="none"/>
        </w:rPr>
        <mc:AlternateContent>
          <mc:Choice Requires="wps">
            <w:drawing>
              <wp:inline distT="0" distB="0" distL="0" distR="0" wp14:anchorId="3DF3E434" wp14:editId="136F3E1E">
                <wp:extent cx="304800" cy="304800"/>
                <wp:effectExtent l="0" t="0" r="0" b="0"/>
                <wp:docPr id="7074998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675F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27BAA1" w14:textId="43BA6536" w:rsidR="006764E2" w:rsidRPr="006764E2" w:rsidRDefault="006764E2" w:rsidP="006764E2">
      <w:pPr>
        <w:shd w:val="clear" w:color="auto" w:fill="FFFFFF"/>
        <w:spacing w:before="180" w:after="180" w:line="240" w:lineRule="auto"/>
        <w:rPr>
          <w:rFonts w:ascii="Lato" w:eastAsia="Times New Roman" w:hAnsi="Lato" w:cs="Times New Roman"/>
          <w:color w:val="2D3B45"/>
          <w:kern w:val="0"/>
          <w:sz w:val="24"/>
          <w:szCs w:val="24"/>
          <w14:ligatures w14:val="none"/>
        </w:rPr>
      </w:pPr>
      <w:r w:rsidRPr="006764E2">
        <w:rPr>
          <w:rFonts w:ascii="Lato" w:eastAsia="Times New Roman" w:hAnsi="Lato" w:cs="Times New Roman"/>
          <w:noProof/>
          <w:color w:val="2D3B45"/>
          <w:kern w:val="0"/>
          <w:sz w:val="24"/>
          <w:szCs w:val="24"/>
          <w14:ligatures w14:val="none"/>
        </w:rPr>
        <w:lastRenderedPageBreak/>
        <mc:AlternateContent>
          <mc:Choice Requires="wps">
            <w:drawing>
              <wp:inline distT="0" distB="0" distL="0" distR="0" wp14:anchorId="508665C6" wp14:editId="551C8F83">
                <wp:extent cx="9525000" cy="7620000"/>
                <wp:effectExtent l="0" t="0" r="0" b="0"/>
                <wp:docPr id="208260290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40887" id="Rectangle 1" o:spid="_x0000_s1026" style="width:75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8z1gEAAKADAAAOAAAAZHJzL2Uyb0RvYy54bWysU8Fu2zAMvQ/YPwi6L3aCpF2NOEXRosOA&#10;bivQ7QMUWYqF2aJGKnGyrx8lp0m23YZdBJGUHx8fn5e3+74TO4PkwNdyOimlMF5D4/ymlt++Pr57&#10;LwVF5RvVgTe1PBiSt6u3b5ZDqMwMWugag4JBPFVDqGUbY6iKgnRrekUTCMZz0QL2KnKIm6JBNTB6&#10;3xWzsrwqBsAmIGhDxNmHsShXGd9ao+MXa8lE0dWSucV8Yj7X6SxWS1VtUIXW6SMN9Q8seuU8Nz1B&#10;PaioxBbdX1C90wgENk409AVY67TJM/A00/KPaV5aFUyehcWhcJKJ/h+s/rx7Cc+YqFN4Av2dhIf7&#10;VvmNuaPA8vFS5TmFCENrVMMMpkm7YghUnTBSQIwm1sMnaHjbahshy7K32KcePLDYZ/UPJ/XNPgrN&#10;yZvFbFGWvCTNtesr3i4HqYeqXj8PSPGDgV6kSy2R+WV4tXuiOD59fZK6eXh0XZdX3PnfEoyZMpl+&#10;Ypz8QtUamgOzRxhtwrbmSwv4U4qBLVJL+rFVaKToPnpW4GY6nydP5WC+uJ5xgJeV9WVFec1QtYxS&#10;jNf7OPpwG9Bt2iz0yPGOVbMuz3NmdSTLNsiKHC2bfHYZ51fnH2v1CwAA//8DAFBLAwQUAAYACAAA&#10;ACEA8K0/udwAAAAHAQAADwAAAGRycy9kb3ducmV2LnhtbEyPQUvDQBCF70L/wzIFL9LuKiiSZlNK&#10;oVhEKKba8zY7JsHsbJrdJvHfO/VSL8M83vDeN+lydI3osQu1Jw33cwUCqfC2plLDx34zewYRoiFr&#10;Gk+o4QcDLLPJTWoS6wd6xz6PpeAQConRUMXYJlKGokJnwty3SOx9+c6ZyLIrpe3MwOGukQ9KPUln&#10;auKGyrS4rrD4zs9Ow1Ds+sP+7UXu7g5bT6ftaZ1/vmp9Ox1XCxARx3g9hgs+o0PGTEd/JhtEo4Ef&#10;iX/z4j0qxfrIG5cqkFkq//NnvwAAAP//AwBQSwECLQAUAAYACAAAACEAtoM4kv4AAADhAQAAEwAA&#10;AAAAAAAAAAAAAAAAAAAAW0NvbnRlbnRfVHlwZXNdLnhtbFBLAQItABQABgAIAAAAIQA4/SH/1gAA&#10;AJQBAAALAAAAAAAAAAAAAAAAAC8BAABfcmVscy8ucmVsc1BLAQItABQABgAIAAAAIQCiws8z1gEA&#10;AKADAAAOAAAAAAAAAAAAAAAAAC4CAABkcnMvZTJvRG9jLnhtbFBLAQItABQABgAIAAAAIQDwrT+5&#10;3AAAAAcBAAAPAAAAAAAAAAAAAAAAADAEAABkcnMvZG93bnJldi54bWxQSwUGAAAAAAQABADzAAAA&#10;OQUAAAAA&#10;" filled="f" stroked="f">
                <o:lock v:ext="edit" aspectratio="t"/>
                <w10:anchorlock/>
              </v:rect>
            </w:pict>
          </mc:Fallback>
        </mc:AlternateContent>
      </w:r>
    </w:p>
    <w:p w14:paraId="763BFEA7" w14:textId="77777777" w:rsidR="00B04480" w:rsidRDefault="00B04480"/>
    <w:sectPr w:rsidR="00B0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19"/>
    <w:multiLevelType w:val="multilevel"/>
    <w:tmpl w:val="3146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54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E2"/>
    <w:rsid w:val="006764E2"/>
    <w:rsid w:val="00B04480"/>
    <w:rsid w:val="00C5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359"/>
  <w15:chartTrackingRefBased/>
  <w15:docId w15:val="{10810095-E21A-4D36-B797-EB1FD781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64E2"/>
    <w:rPr>
      <w:color w:val="0000FF"/>
      <w:u w:val="single"/>
    </w:rPr>
  </w:style>
  <w:style w:type="character" w:customStyle="1" w:styleId="screenreader-only">
    <w:name w:val="screenreader-only"/>
    <w:basedOn w:val="DefaultParagraphFont"/>
    <w:rsid w:val="006764E2"/>
  </w:style>
  <w:style w:type="character" w:styleId="Emphasis">
    <w:name w:val="Emphasis"/>
    <w:basedOn w:val="DefaultParagraphFont"/>
    <w:uiPriority w:val="20"/>
    <w:qFormat/>
    <w:rsid w:val="006764E2"/>
    <w:rPr>
      <w:i/>
      <w:iCs/>
    </w:rPr>
  </w:style>
  <w:style w:type="character" w:styleId="Strong">
    <w:name w:val="Strong"/>
    <w:basedOn w:val="DefaultParagraphFont"/>
    <w:uiPriority w:val="22"/>
    <w:qFormat/>
    <w:rsid w:val="00676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flu/weekly/usmap.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dc.gov/api/views/vh55-3he6/rows.csv?accessType=DOWNLOAD&amp;bom=true&amp;format=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2196/14337" TargetMode="External"/><Relationship Id="rId11" Type="http://schemas.openxmlformats.org/officeDocument/2006/relationships/hyperlink" Target="https://www.cdc.gov/flu/vaccines-work/past-seasons-estimates.html" TargetMode="External"/><Relationship Id="rId5" Type="http://schemas.openxmlformats.org/officeDocument/2006/relationships/hyperlink" Target="https://doi.org/10.1016/j.vaccine.2018.05.057" TargetMode="External"/><Relationship Id="rId10" Type="http://schemas.openxmlformats.org/officeDocument/2006/relationships/hyperlink" Target="https://dataplanet-sagepub-com.proxy.libraries.rutgers.edu/dataset?view=AA0BXQAAgADBAQAAAAAAAAAA3_zMslwIJ8Ve1X%24GLcp7PrPxvZVf1VEI8N9eQXRnhttlZekajRXI05cmVxLw3YcToU4qT_aDA5DcS4Eb8QYONINZpU6SlavKieMsgwY%24wE6z64Nk0DuUzWjg%244NuxzQ59fEgER5N1JzpJAcI5KbJtQPc8dtX_8gIQRVKlPnPfW05aPX4Ryy%24CYx9fkhL0zFzBQxjCEIiFLBuUN5VLrmE5bXjhLDFMw0ExoWYZPmzHYxX%24SZSMI%24YPvSsezIctsO%24uPt0nly5jna0" TargetMode="External"/><Relationship Id="rId4" Type="http://schemas.openxmlformats.org/officeDocument/2006/relationships/webSettings" Target="webSettings.xml"/><Relationship Id="rId9" Type="http://schemas.openxmlformats.org/officeDocument/2006/relationships/hyperlink" Target="https://gis.cdc.gov/grasp/fluview/fluportal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Parkhi</dc:creator>
  <cp:keywords/>
  <dc:description/>
  <cp:lastModifiedBy>Disha Parkhi</cp:lastModifiedBy>
  <cp:revision>1</cp:revision>
  <dcterms:created xsi:type="dcterms:W3CDTF">2023-06-08T14:21:00Z</dcterms:created>
  <dcterms:modified xsi:type="dcterms:W3CDTF">2023-06-08T14:23:00Z</dcterms:modified>
</cp:coreProperties>
</file>