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A674" w14:textId="77777777" w:rsidR="005F584D" w:rsidRDefault="00000000">
      <w:pPr>
        <w:jc w:val="center"/>
      </w:pPr>
      <w:r>
        <w:rPr>
          <w:b/>
          <w:sz w:val="36"/>
        </w:rPr>
        <w:t>Pramaan AI: An Independent Proof-of-Recycling Verification System</w:t>
      </w:r>
    </w:p>
    <w:p w14:paraId="5D70A451" w14:textId="79FFE7F1" w:rsidR="008F76EC" w:rsidRDefault="00000000" w:rsidP="008F76EC">
      <w:pPr>
        <w:jc w:val="center"/>
      </w:pPr>
      <w:r>
        <w:t>Concept Note (</w:t>
      </w:r>
      <w:r w:rsidR="008F76EC">
        <w:t>Submitted by- DISHA PIRODIYA</w:t>
      </w:r>
      <w:r>
        <w:t>)</w:t>
      </w:r>
    </w:p>
    <w:p w14:paraId="035669A9" w14:textId="77777777" w:rsidR="005F584D" w:rsidRDefault="00000000">
      <w:r>
        <w:rPr>
          <w:b/>
          <w:color w:val="0F62FE"/>
        </w:rPr>
        <w:t>Executive Summary</w:t>
      </w:r>
    </w:p>
    <w:p w14:paraId="25201F6F" w14:textId="77777777" w:rsidR="005F584D" w:rsidRDefault="00000000">
      <w:r>
        <w:t>Pramaan AI is a proposed platform that helps verify whether plastic waste claimed as recycled under India's EPR system has actually been recycled. The idea is to create an independent verification layer that checks documents, detects suspicious claims, and improves transparency. Initial testing on synthetic data showed promising results in identifying fraudulent certificates while reducing manual review work.</w:t>
      </w:r>
    </w:p>
    <w:p w14:paraId="5C62B126" w14:textId="77777777" w:rsidR="005F584D" w:rsidRDefault="00000000">
      <w:r>
        <w:rPr>
          <w:b/>
          <w:color w:val="0F62FE"/>
        </w:rPr>
        <w:t>Introduction</w:t>
      </w:r>
    </w:p>
    <w:p w14:paraId="5132F81D" w14:textId="77777777" w:rsidR="005F584D" w:rsidRDefault="00000000">
      <w:r>
        <w:t>Extended Producer Responsibility (EPR) requires producers, importers, and brand owners to ensure that the plastic packaging they introduce into the market is recycled. However, the current system relies heavily on self-declared recycling claims. This creates opportunities for false reporting and invalid certificates. Pramaan AI aims to solve this issue by providing reliable verification of recycling evidence.</w:t>
      </w:r>
    </w:p>
    <w:p w14:paraId="2B654D4C" w14:textId="77777777" w:rsidR="005F584D" w:rsidRDefault="00000000">
      <w:r>
        <w:rPr>
          <w:b/>
          <w:color w:val="0F62FE"/>
        </w:rPr>
        <w:t>Problem Statement</w:t>
      </w:r>
    </w:p>
    <w:p w14:paraId="68533180" w14:textId="77777777" w:rsidR="005F584D" w:rsidRDefault="00000000">
      <w:r>
        <w:t>Many EPR certificates are issued without strong validation. Audits have revealed cases of invalid certificates and over-reporting of recycling capacity. Since real recycling is often more expensive than obtaining questionable certificates, some organizations may be tempted to misuse the system. There is currently no independent, large-scale mechanism that verifies recycling claims at the certificate level.</w:t>
      </w:r>
    </w:p>
    <w:p w14:paraId="5A9EF3FC" w14:textId="77777777" w:rsidR="005F584D" w:rsidRDefault="00000000">
      <w:r>
        <w:rPr>
          <w:b/>
          <w:color w:val="0F62FE"/>
        </w:rPr>
        <w:t>Proposed Solution</w:t>
      </w:r>
    </w:p>
    <w:p w14:paraId="1F02E763" w14:textId="77777777" w:rsidR="005F584D" w:rsidRDefault="00000000">
      <w:r>
        <w:t>Pramaan AI uses multiple AI agents to analyze documents such as invoices, weighbridge slips, transport records, and photographs. The system checks data consistency, plant capacity, material flow, and supporting evidence. It then generates a Proof-of-Recycling dossier with a confidence score and integrity rating for each processor.</w:t>
      </w:r>
    </w:p>
    <w:p w14:paraId="5AB765DE" w14:textId="33AE5752" w:rsidR="008F76EC" w:rsidRPr="008F76EC" w:rsidRDefault="008F76EC" w:rsidP="008F76EC">
      <w:pPr>
        <w:pStyle w:val="ListBullet"/>
        <w:spacing w:after="40" w:line="240" w:lineRule="auto"/>
        <w:rPr>
          <w:sz w:val="22"/>
        </w:rPr>
      </w:pPr>
      <w:r>
        <w:rPr>
          <w:b/>
          <w:sz w:val="20"/>
        </w:rPr>
        <w:t xml:space="preserve">Evidence Ingestion Agent — </w:t>
      </w:r>
      <w:proofErr w:type="spellStart"/>
      <w:r>
        <w:rPr>
          <w:sz w:val="20"/>
        </w:rPr>
        <w:t>normalises</w:t>
      </w:r>
      <w:proofErr w:type="spellEnd"/>
      <w:r>
        <w:rPr>
          <w:sz w:val="20"/>
        </w:rPr>
        <w:t xml:space="preserve"> weighbridge slips, GST e-way bills, invoices, registration papers and geotagged photographs — including scans and Hindi-language documents — into one canonical schema.</w:t>
      </w:r>
    </w:p>
    <w:p w14:paraId="02FB75E6" w14:textId="77777777" w:rsidR="008F76EC" w:rsidRPr="008F76EC" w:rsidRDefault="008F76EC" w:rsidP="008F76EC">
      <w:pPr>
        <w:pStyle w:val="ListBullet"/>
        <w:numPr>
          <w:ilvl w:val="0"/>
          <w:numId w:val="0"/>
        </w:numPr>
        <w:spacing w:after="40" w:line="240" w:lineRule="auto"/>
        <w:ind w:left="360"/>
        <w:rPr>
          <w:sz w:val="22"/>
        </w:rPr>
      </w:pPr>
    </w:p>
    <w:p w14:paraId="6DB60021" w14:textId="2204159F" w:rsidR="008F76EC" w:rsidRPr="008F76EC" w:rsidRDefault="008F76EC" w:rsidP="008F76EC">
      <w:pPr>
        <w:pStyle w:val="ListBullet"/>
        <w:spacing w:after="40" w:line="240" w:lineRule="auto"/>
        <w:rPr>
          <w:sz w:val="22"/>
        </w:rPr>
      </w:pPr>
      <w:r>
        <w:rPr>
          <w:b/>
          <w:sz w:val="20"/>
        </w:rPr>
        <w:t xml:space="preserve">Mass-Balance Agent — </w:t>
      </w:r>
      <w:r>
        <w:rPr>
          <w:sz w:val="20"/>
        </w:rPr>
        <w:t>reconstructs the input-to-output balance per facility per period. A plant cannot sell more pellets than its feedstock could yield, after category-specific recovery ceilings</w:t>
      </w:r>
      <w:r>
        <w:rPr>
          <w:sz w:val="20"/>
        </w:rPr>
        <w:t>.</w:t>
      </w:r>
    </w:p>
    <w:p w14:paraId="47B896B8" w14:textId="77777777" w:rsidR="008F76EC" w:rsidRPr="008F76EC" w:rsidRDefault="008F76EC" w:rsidP="008F76EC">
      <w:pPr>
        <w:pStyle w:val="ListBullet"/>
        <w:numPr>
          <w:ilvl w:val="0"/>
          <w:numId w:val="0"/>
        </w:numPr>
        <w:spacing w:after="40" w:line="240" w:lineRule="auto"/>
        <w:rPr>
          <w:sz w:val="22"/>
        </w:rPr>
      </w:pPr>
    </w:p>
    <w:p w14:paraId="0C850B18" w14:textId="534B6D1E" w:rsidR="008F76EC" w:rsidRPr="008F76EC" w:rsidRDefault="008F76EC" w:rsidP="008F76EC">
      <w:pPr>
        <w:pStyle w:val="ListBullet"/>
        <w:spacing w:after="40" w:line="240" w:lineRule="auto"/>
        <w:rPr>
          <w:sz w:val="22"/>
        </w:rPr>
      </w:pPr>
      <w:r w:rsidRPr="008F76EC">
        <w:rPr>
          <w:b/>
          <w:sz w:val="20"/>
        </w:rPr>
        <w:t xml:space="preserve">Capacity &amp; Anomaly Agent — </w:t>
      </w:r>
      <w:r w:rsidRPr="008F76EC">
        <w:rPr>
          <w:sz w:val="20"/>
        </w:rPr>
        <w:t>compares declared output against licensed throughput at certificate and facility-month level; hunts duplicate weights, templated weighbridge values and credit cycles (A→B→A) with no terminal buyer.</w:t>
      </w:r>
    </w:p>
    <w:p w14:paraId="21207574" w14:textId="77777777" w:rsidR="008F76EC" w:rsidRDefault="008F76EC" w:rsidP="008F76EC">
      <w:pPr>
        <w:pStyle w:val="ListParagraph"/>
      </w:pPr>
    </w:p>
    <w:p w14:paraId="4D737677" w14:textId="77777777" w:rsidR="005F584D" w:rsidRDefault="00000000">
      <w:r>
        <w:rPr>
          <w:b/>
          <w:color w:val="0F62FE"/>
        </w:rPr>
        <w:lastRenderedPageBreak/>
        <w:t>Objectives</w:t>
      </w:r>
    </w:p>
    <w:p w14:paraId="6194813B" w14:textId="77777777" w:rsidR="005F584D" w:rsidRDefault="00000000">
      <w:r>
        <w:t>The project aims to detect fraudulent recycling claims, automatically verify genuine certificates, reduce manual auditing efforts, and improve trust in the EPR ecosystem. Another goal is to provide regulators and companies with reliable evidence-based reports.</w:t>
      </w:r>
    </w:p>
    <w:p w14:paraId="30ED70D6" w14:textId="77777777" w:rsidR="008F76EC" w:rsidRDefault="008F76EC" w:rsidP="008F76EC">
      <w:r>
        <w:rPr>
          <w:sz w:val="20"/>
        </w:rPr>
        <w:t>SMART objectives (12-week pilot, measured against a sealed benchmark and a live partner portfolio):</w:t>
      </w:r>
    </w:p>
    <w:p w14:paraId="200E9E81" w14:textId="77777777" w:rsidR="008F76EC" w:rsidRDefault="008F76EC" w:rsidP="008F76EC">
      <w:pPr>
        <w:pStyle w:val="ListBullet"/>
        <w:spacing w:after="40" w:line="240" w:lineRule="auto"/>
      </w:pPr>
      <w:r>
        <w:rPr>
          <w:b/>
          <w:sz w:val="20"/>
        </w:rPr>
        <w:t xml:space="preserve">Detection — </w:t>
      </w:r>
      <w:r>
        <w:rPr>
          <w:sz w:val="20"/>
        </w:rPr>
        <w:t>recall on evidence-inconsistent fraud ≥95% (measured 99.3%); fraud surfaced at a 20% review budget ≥85% (91%).</w:t>
      </w:r>
    </w:p>
    <w:p w14:paraId="6BE38FC1" w14:textId="77777777" w:rsidR="008F76EC" w:rsidRDefault="008F76EC" w:rsidP="008F76EC">
      <w:pPr>
        <w:pStyle w:val="ListBullet"/>
        <w:spacing w:after="40" w:line="240" w:lineRule="auto"/>
      </w:pPr>
      <w:r>
        <w:rPr>
          <w:b/>
          <w:sz w:val="20"/>
        </w:rPr>
        <w:t xml:space="preserve">Efficiency — </w:t>
      </w:r>
      <w:r>
        <w:rPr>
          <w:sz w:val="20"/>
        </w:rPr>
        <w:t>false-positive rate ≤10% (9.2%); auto-clear rate ≥75% (76.1%).</w:t>
      </w:r>
    </w:p>
    <w:p w14:paraId="140ED79A" w14:textId="77777777" w:rsidR="008F76EC" w:rsidRDefault="008F76EC" w:rsidP="008F76EC">
      <w:pPr>
        <w:pStyle w:val="ListBullet"/>
        <w:spacing w:after="40" w:line="240" w:lineRule="auto"/>
      </w:pPr>
      <w:r>
        <w:rPr>
          <w:b/>
          <w:sz w:val="20"/>
        </w:rPr>
        <w:t xml:space="preserve">Unit cost — </w:t>
      </w:r>
      <w:r>
        <w:rPr>
          <w:sz w:val="20"/>
        </w:rPr>
        <w:t xml:space="preserve">cost per verified </w:t>
      </w:r>
      <w:proofErr w:type="spellStart"/>
      <w:r>
        <w:rPr>
          <w:sz w:val="20"/>
        </w:rPr>
        <w:t>tonne</w:t>
      </w:r>
      <w:proofErr w:type="spellEnd"/>
      <w:r>
        <w:rPr>
          <w:sz w:val="20"/>
        </w:rPr>
        <w:t xml:space="preserve"> ≤₹8 (₹7.50 modelled); time-to-verdict under 48 hours.</w:t>
      </w:r>
    </w:p>
    <w:p w14:paraId="3F126B93" w14:textId="77777777" w:rsidR="008F76EC" w:rsidRDefault="008F76EC"/>
    <w:p w14:paraId="192E91A6" w14:textId="77777777" w:rsidR="005F584D" w:rsidRDefault="00000000">
      <w:r>
        <w:rPr>
          <w:b/>
          <w:color w:val="0F62FE"/>
        </w:rPr>
        <w:t>Methodology</w:t>
      </w:r>
    </w:p>
    <w:p w14:paraId="2A963F49" w14:textId="77777777" w:rsidR="005F584D" w:rsidRDefault="00000000">
      <w:r>
        <w:t>The project follows five stages: requirement analysis, system development, benchmark testing, pilot implementation, and evaluation. AI models are combined with rule-based checks to ensure accuracy. Performance is measured using indicators such as recall, precision, false-positive rate, and processing cost.</w:t>
      </w:r>
    </w:p>
    <w:p w14:paraId="61068CEA" w14:textId="77777777" w:rsidR="005F584D" w:rsidRDefault="00000000">
      <w:r>
        <w:rPr>
          <w:b/>
          <w:color w:val="0F62FE"/>
        </w:rPr>
        <w:t>Stakeholders</w:t>
      </w:r>
    </w:p>
    <w:p w14:paraId="5358CC17" w14:textId="77777777" w:rsidR="005F584D" w:rsidRDefault="00000000">
      <w:r>
        <w:t>Key stakeholders include Producers, Importers and Brand Owners (PIBOs), Plastic Waste Processors (PWPs), Producer Responsibility Organizations (PROs), government regulators, auditors, banks, insurers, and waste workers.</w:t>
      </w:r>
    </w:p>
    <w:p w14:paraId="36677A34" w14:textId="77777777" w:rsidR="008F76EC" w:rsidRDefault="008F76EC" w:rsidP="008F76EC">
      <w:pPr>
        <w:pStyle w:val="ListBullet"/>
        <w:spacing w:after="40" w:line="240" w:lineRule="auto"/>
      </w:pPr>
      <w:r>
        <w:rPr>
          <w:b/>
          <w:sz w:val="20"/>
        </w:rPr>
        <w:t xml:space="preserve">PIBOs (FMCG, beverage, e-commerce, pharma) — </w:t>
      </w:r>
      <w:r>
        <w:rPr>
          <w:sz w:val="20"/>
        </w:rPr>
        <w:t>Primary payers; supply the certificate portfolio.</w:t>
      </w:r>
    </w:p>
    <w:p w14:paraId="3AC7E0B4" w14:textId="77777777" w:rsidR="008F76EC" w:rsidRDefault="008F76EC" w:rsidP="008F76EC">
      <w:pPr>
        <w:pStyle w:val="ListBullet"/>
        <w:spacing w:after="40" w:line="240" w:lineRule="auto"/>
      </w:pPr>
      <w:r>
        <w:rPr>
          <w:b/>
          <w:sz w:val="20"/>
        </w:rPr>
        <w:t xml:space="preserve">Registered processors (PWPs) and PROs — </w:t>
      </w:r>
      <w:r>
        <w:rPr>
          <w:sz w:val="20"/>
        </w:rPr>
        <w:t>Subject of verification; holders of the evidence trail.</w:t>
      </w:r>
    </w:p>
    <w:p w14:paraId="21041BA1" w14:textId="77777777" w:rsidR="008F76EC" w:rsidRDefault="008F76EC" w:rsidP="008F76EC">
      <w:pPr>
        <w:pStyle w:val="ListBullet"/>
        <w:spacing w:after="40" w:line="240" w:lineRule="auto"/>
      </w:pPr>
      <w:r>
        <w:rPr>
          <w:b/>
          <w:sz w:val="20"/>
        </w:rPr>
        <w:t xml:space="preserve">CPCB and State Pollution Control Boards — </w:t>
      </w:r>
      <w:r>
        <w:rPr>
          <w:sz w:val="20"/>
        </w:rPr>
        <w:t>Regulator; prospective user of enforcement analytics and dossier standards.</w:t>
      </w:r>
    </w:p>
    <w:p w14:paraId="35A4B8D8" w14:textId="77777777" w:rsidR="008F76EC" w:rsidRDefault="008F76EC" w:rsidP="008F76EC">
      <w:pPr>
        <w:pStyle w:val="ListBullet"/>
        <w:spacing w:after="40" w:line="240" w:lineRule="auto"/>
      </w:pPr>
      <w:r>
        <w:rPr>
          <w:b/>
          <w:sz w:val="20"/>
        </w:rPr>
        <w:t xml:space="preserve">Independent audit partner — </w:t>
      </w:r>
      <w:r>
        <w:rPr>
          <w:sz w:val="20"/>
        </w:rPr>
        <w:t>Adjudicates disagreements during the pilot.</w:t>
      </w:r>
    </w:p>
    <w:p w14:paraId="0B5409A5" w14:textId="77777777" w:rsidR="008F76EC" w:rsidRDefault="008F76EC" w:rsidP="008F76EC">
      <w:pPr>
        <w:pStyle w:val="ListBullet"/>
        <w:spacing w:after="40" w:line="240" w:lineRule="auto"/>
      </w:pPr>
      <w:r>
        <w:rPr>
          <w:b/>
          <w:sz w:val="20"/>
        </w:rPr>
        <w:t xml:space="preserve">Banks and insurers — </w:t>
      </w:r>
      <w:r>
        <w:rPr>
          <w:sz w:val="20"/>
        </w:rPr>
        <w:t>Downstream users of verified credit-stream data.</w:t>
      </w:r>
    </w:p>
    <w:p w14:paraId="1999A54F" w14:textId="77777777" w:rsidR="008F76EC" w:rsidRDefault="008F76EC"/>
    <w:p w14:paraId="109A7B74" w14:textId="77777777" w:rsidR="005F584D" w:rsidRDefault="00000000">
      <w:r>
        <w:rPr>
          <w:b/>
          <w:color w:val="0F62FE"/>
        </w:rPr>
        <w:t>Implementation Plan</w:t>
      </w:r>
    </w:p>
    <w:p w14:paraId="117ED69A" w14:textId="77777777" w:rsidR="005F584D" w:rsidRDefault="00000000">
      <w:r>
        <w:t>A 12-week pilot is proposed. The first phase focuses on research and data collection, followed by system development, testing with benchmark datasets, live verification trials, and final evaluation.</w:t>
      </w:r>
    </w:p>
    <w:p w14:paraId="1B757279" w14:textId="77777777" w:rsidR="008F76EC" w:rsidRDefault="008F76EC" w:rsidP="008F76EC">
      <w:pPr>
        <w:pStyle w:val="ListBullet"/>
        <w:spacing w:after="40" w:line="240" w:lineRule="auto"/>
      </w:pPr>
      <w:r>
        <w:rPr>
          <w:b/>
          <w:sz w:val="20"/>
        </w:rPr>
        <w:t xml:space="preserve">Weeks 1–2 · Discovery — </w:t>
      </w:r>
      <w:r>
        <w:rPr>
          <w:sz w:val="20"/>
        </w:rPr>
        <w:t>Assumption register, evidence artefact map, signed data-sharing terms.</w:t>
      </w:r>
    </w:p>
    <w:p w14:paraId="03B54009" w14:textId="77777777" w:rsidR="008F76EC" w:rsidRDefault="008F76EC" w:rsidP="008F76EC">
      <w:pPr>
        <w:pStyle w:val="ListBullet"/>
        <w:spacing w:after="40" w:line="240" w:lineRule="auto"/>
      </w:pPr>
      <w:r>
        <w:rPr>
          <w:b/>
          <w:sz w:val="20"/>
        </w:rPr>
        <w:t xml:space="preserve">Weeks 3–6 · Engine build — </w:t>
      </w:r>
      <w:r>
        <w:rPr>
          <w:sz w:val="20"/>
        </w:rPr>
        <w:t>Ingestion, mass-balance and capacity/anomaly agents; dossier export; hash-chained evidence store.</w:t>
      </w:r>
    </w:p>
    <w:p w14:paraId="5B6655F6" w14:textId="77777777" w:rsidR="008F76EC" w:rsidRDefault="008F76EC" w:rsidP="008F76EC">
      <w:pPr>
        <w:pStyle w:val="ListBullet"/>
        <w:spacing w:after="40" w:line="240" w:lineRule="auto"/>
      </w:pPr>
      <w:r>
        <w:rPr>
          <w:b/>
          <w:sz w:val="20"/>
        </w:rPr>
        <w:t xml:space="preserve">Weeks 7–8 · Benchmark and calibrate — </w:t>
      </w:r>
      <w:r>
        <w:rPr>
          <w:sz w:val="20"/>
        </w:rPr>
        <w:t>Sealed synthetic benchmark; published precision, recall and review-budget curve.</w:t>
      </w:r>
    </w:p>
    <w:p w14:paraId="7FFC9D26" w14:textId="77777777" w:rsidR="008F76EC" w:rsidRDefault="008F76EC" w:rsidP="008F76EC">
      <w:pPr>
        <w:pStyle w:val="ListBullet"/>
        <w:spacing w:after="40" w:line="240" w:lineRule="auto"/>
      </w:pPr>
      <w:r>
        <w:rPr>
          <w:b/>
          <w:sz w:val="20"/>
        </w:rPr>
        <w:lastRenderedPageBreak/>
        <w:t xml:space="preserve">Weeks 9–11 · Live pilot — </w:t>
      </w:r>
      <w:r>
        <w:rPr>
          <w:sz w:val="20"/>
        </w:rPr>
        <w:t xml:space="preserve">25,000 </w:t>
      </w:r>
      <w:proofErr w:type="spellStart"/>
      <w:r>
        <w:rPr>
          <w:sz w:val="20"/>
        </w:rPr>
        <w:t>tonnes</w:t>
      </w:r>
      <w:proofErr w:type="spellEnd"/>
      <w:r>
        <w:rPr>
          <w:sz w:val="20"/>
        </w:rPr>
        <w:t xml:space="preserve"> verified with 3 PIBOs and ~40 processors; 40+ integrity ratings issued.</w:t>
      </w:r>
    </w:p>
    <w:p w14:paraId="1925B265" w14:textId="77777777" w:rsidR="008F76EC" w:rsidRDefault="008F76EC" w:rsidP="008F76EC">
      <w:pPr>
        <w:pStyle w:val="ListBullet"/>
        <w:spacing w:after="40" w:line="240" w:lineRule="auto"/>
      </w:pPr>
      <w:r>
        <w:rPr>
          <w:b/>
          <w:sz w:val="20"/>
        </w:rPr>
        <w:t xml:space="preserve">Week 12 · Evaluation and handover — </w:t>
      </w:r>
      <w:r>
        <w:rPr>
          <w:sz w:val="20"/>
        </w:rPr>
        <w:t>Impact report, audited dossier pack, scale blueprint, open-sourced benchmark.</w:t>
      </w:r>
    </w:p>
    <w:p w14:paraId="775F3B5E" w14:textId="77777777" w:rsidR="008F76EC" w:rsidRDefault="008F76EC"/>
    <w:p w14:paraId="49FB9408" w14:textId="77777777" w:rsidR="005F584D" w:rsidRDefault="00000000">
      <w:r>
        <w:rPr>
          <w:b/>
          <w:color w:val="0F62FE"/>
        </w:rPr>
        <w:t>Expected Results</w:t>
      </w:r>
    </w:p>
    <w:p w14:paraId="536AD8B0" w14:textId="77777777" w:rsidR="005F584D" w:rsidRDefault="00000000">
      <w:r>
        <w:t>Testing on synthetic datasets showed high fraud detection capability and a strong auto-clear rate for valid certificates. The project expects to improve transparency, reduce compliance risks, and make the EPR system more trustworthy.</w:t>
      </w:r>
    </w:p>
    <w:p w14:paraId="4507B35A" w14:textId="77777777" w:rsidR="005F584D" w:rsidRDefault="00000000">
      <w:r>
        <w:rPr>
          <w:b/>
          <w:color w:val="0F62FE"/>
        </w:rPr>
        <w:t>Risks and Mitigation</w:t>
      </w:r>
    </w:p>
    <w:p w14:paraId="53784E40" w14:textId="77777777" w:rsidR="005F584D" w:rsidRDefault="00000000">
      <w:r>
        <w:t>Potential risks include limited access to data, false positives, legal concerns, and changes in fraudulent behavior. These risks can be reduced through independent audits, evidence-based reporting, human review mechanisms, and transparent methodologies.</w:t>
      </w:r>
    </w:p>
    <w:p w14:paraId="495EBCD3" w14:textId="77777777" w:rsidR="005F584D" w:rsidRDefault="00000000">
      <w:r>
        <w:rPr>
          <w:b/>
          <w:color w:val="0F62FE"/>
        </w:rPr>
        <w:t>Sustainability Plan</w:t>
      </w:r>
    </w:p>
    <w:p w14:paraId="527EC0BF" w14:textId="77777777" w:rsidR="005F584D" w:rsidRDefault="00000000">
      <w:r>
        <w:t>The business model is based on charging a verification fee per tonne of waste processed. Since EPR compliance is mandatory, demand for verification services is expected to continue in the future. The same framework may also be adapted for other environmental compliance systems.</w:t>
      </w:r>
    </w:p>
    <w:p w14:paraId="63B52DE9" w14:textId="77777777" w:rsidR="005F584D" w:rsidRDefault="00000000">
      <w:r>
        <w:rPr>
          <w:b/>
          <w:color w:val="0F62FE"/>
        </w:rPr>
        <w:t>Conclusion</w:t>
      </w:r>
    </w:p>
    <w:p w14:paraId="0584EA11" w14:textId="77777777" w:rsidR="008F76EC" w:rsidRPr="008F76EC" w:rsidRDefault="008F76EC" w:rsidP="008F76EC">
      <w:pPr>
        <w:rPr>
          <w:sz w:val="22"/>
          <w:szCs w:val="22"/>
        </w:rPr>
      </w:pPr>
      <w:r w:rsidRPr="008F76EC">
        <w:rPr>
          <w:sz w:val="22"/>
          <w:szCs w:val="22"/>
        </w:rPr>
        <w:t>India built the world's most ambitious plastic EPR regime and asked it to run on self-declaration. The result is a ₹2,500 crore credit market in which the cheapest way to comply is to buy a certificate for plastic that may never have been collected. What has been missing is not regulation — the 2026 Amendment Rules now require traceability and mandate verification. What has been missing is an independent verifier.</w:t>
      </w:r>
    </w:p>
    <w:p w14:paraId="38AF2B45" w14:textId="77777777" w:rsidR="005F584D" w:rsidRDefault="00000000">
      <w:proofErr w:type="spellStart"/>
      <w:r>
        <w:t>Pramaan</w:t>
      </w:r>
      <w:proofErr w:type="spellEnd"/>
      <w:r>
        <w:t xml:space="preserve"> AI proposes a practical solution to improve transparency in India's plastic recycling ecosystem. By combining artificial intelligence with document verification and auditing principles, it can help identify fraud, strengthen compliance, and support Sustainable Development Goal 12 related to responsible consumption and production.</w:t>
      </w:r>
    </w:p>
    <w:sectPr w:rsidR="005F58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285596">
    <w:abstractNumId w:val="8"/>
  </w:num>
  <w:num w:numId="2" w16cid:durableId="1663199138">
    <w:abstractNumId w:val="6"/>
  </w:num>
  <w:num w:numId="3" w16cid:durableId="459956646">
    <w:abstractNumId w:val="5"/>
  </w:num>
  <w:num w:numId="4" w16cid:durableId="530142594">
    <w:abstractNumId w:val="4"/>
  </w:num>
  <w:num w:numId="5" w16cid:durableId="1729836923">
    <w:abstractNumId w:val="7"/>
  </w:num>
  <w:num w:numId="6" w16cid:durableId="1986422480">
    <w:abstractNumId w:val="3"/>
  </w:num>
  <w:num w:numId="7" w16cid:durableId="1425953743">
    <w:abstractNumId w:val="2"/>
  </w:num>
  <w:num w:numId="8" w16cid:durableId="799346031">
    <w:abstractNumId w:val="1"/>
  </w:num>
  <w:num w:numId="9" w16cid:durableId="199841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84D"/>
    <w:rsid w:val="008F76EC"/>
    <w:rsid w:val="00AA1D8D"/>
    <w:rsid w:val="00B47730"/>
    <w:rsid w:val="00BD0032"/>
    <w:rsid w:val="00CB0664"/>
    <w:rsid w:val="00DB4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7C5C7"/>
  <w14:defaultImageDpi w14:val="300"/>
  <w15:docId w15:val="{00E6AB97-6DBA-4970-AAE9-4EA16B72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6EC"/>
  </w:style>
  <w:style w:type="paragraph" w:styleId="Heading1">
    <w:name w:val="heading 1"/>
    <w:basedOn w:val="Normal"/>
    <w:next w:val="Normal"/>
    <w:link w:val="Heading1Char"/>
    <w:uiPriority w:val="9"/>
    <w:qFormat/>
    <w:rsid w:val="008F76EC"/>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F76E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F76E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F76E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F76E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F76E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F76E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F76E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F76E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F76EC"/>
    <w:pPr>
      <w:spacing w:after="0" w:line="240" w:lineRule="auto"/>
    </w:pPr>
  </w:style>
  <w:style w:type="character" w:customStyle="1" w:styleId="Heading1Char">
    <w:name w:val="Heading 1 Char"/>
    <w:basedOn w:val="DefaultParagraphFont"/>
    <w:link w:val="Heading1"/>
    <w:uiPriority w:val="9"/>
    <w:rsid w:val="008F76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F76E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F76EC"/>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8F76EC"/>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8F76EC"/>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8F76EC"/>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8F76EC"/>
    <w:rPr>
      <w:color w:val="1F497D"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F76EC"/>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8F76EC"/>
    <w:rPr>
      <w:i/>
      <w:iCs/>
      <w:color w:val="76923C" w:themeColor="accent3" w:themeShade="BF"/>
      <w:sz w:val="24"/>
      <w:szCs w:val="24"/>
    </w:rPr>
  </w:style>
  <w:style w:type="character" w:customStyle="1" w:styleId="Heading4Char">
    <w:name w:val="Heading 4 Char"/>
    <w:basedOn w:val="DefaultParagraphFont"/>
    <w:link w:val="Heading4"/>
    <w:uiPriority w:val="9"/>
    <w:semiHidden/>
    <w:rsid w:val="008F76E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F76E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F76E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F76E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F76E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F76EC"/>
    <w:rPr>
      <w:b/>
      <w:bCs/>
      <w:i/>
      <w:iCs/>
    </w:rPr>
  </w:style>
  <w:style w:type="paragraph" w:styleId="Caption">
    <w:name w:val="caption"/>
    <w:basedOn w:val="Normal"/>
    <w:next w:val="Normal"/>
    <w:uiPriority w:val="35"/>
    <w:semiHidden/>
    <w:unhideWhenUsed/>
    <w:qFormat/>
    <w:rsid w:val="008F76EC"/>
    <w:pPr>
      <w:spacing w:line="240" w:lineRule="auto"/>
    </w:pPr>
    <w:rPr>
      <w:b/>
      <w:bCs/>
      <w:color w:val="404040" w:themeColor="text1" w:themeTint="BF"/>
      <w:sz w:val="16"/>
      <w:szCs w:val="16"/>
    </w:rPr>
  </w:style>
  <w:style w:type="character" w:styleId="Strong">
    <w:name w:val="Strong"/>
    <w:basedOn w:val="DefaultParagraphFont"/>
    <w:uiPriority w:val="22"/>
    <w:qFormat/>
    <w:rsid w:val="008F76EC"/>
    <w:rPr>
      <w:b/>
      <w:bCs/>
    </w:rPr>
  </w:style>
  <w:style w:type="character" w:styleId="Emphasis">
    <w:name w:val="Emphasis"/>
    <w:basedOn w:val="DefaultParagraphFont"/>
    <w:uiPriority w:val="20"/>
    <w:qFormat/>
    <w:rsid w:val="008F76EC"/>
    <w:rPr>
      <w:i/>
      <w:iCs/>
      <w:color w:val="000000" w:themeColor="text1"/>
    </w:rPr>
  </w:style>
  <w:style w:type="paragraph" w:styleId="IntenseQuote">
    <w:name w:val="Intense Quote"/>
    <w:basedOn w:val="Normal"/>
    <w:next w:val="Normal"/>
    <w:link w:val="IntenseQuoteChar"/>
    <w:uiPriority w:val="30"/>
    <w:qFormat/>
    <w:rsid w:val="008F76EC"/>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8F76EC"/>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8F76EC"/>
    <w:rPr>
      <w:i/>
      <w:iCs/>
      <w:color w:val="595959" w:themeColor="text1" w:themeTint="A6"/>
    </w:rPr>
  </w:style>
  <w:style w:type="character" w:styleId="IntenseEmphasis">
    <w:name w:val="Intense Emphasis"/>
    <w:basedOn w:val="DefaultParagraphFont"/>
    <w:uiPriority w:val="21"/>
    <w:qFormat/>
    <w:rsid w:val="008F76EC"/>
    <w:rPr>
      <w:b/>
      <w:bCs/>
      <w:i/>
      <w:iCs/>
      <w:color w:val="auto"/>
    </w:rPr>
  </w:style>
  <w:style w:type="character" w:styleId="SubtleReference">
    <w:name w:val="Subtle Reference"/>
    <w:basedOn w:val="DefaultParagraphFont"/>
    <w:uiPriority w:val="31"/>
    <w:qFormat/>
    <w:rsid w:val="008F76E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F76EC"/>
    <w:rPr>
      <w:b/>
      <w:bCs/>
      <w:caps w:val="0"/>
      <w:smallCaps/>
      <w:color w:val="auto"/>
      <w:spacing w:val="0"/>
      <w:u w:val="single"/>
    </w:rPr>
  </w:style>
  <w:style w:type="character" w:styleId="BookTitle">
    <w:name w:val="Book Title"/>
    <w:basedOn w:val="DefaultParagraphFont"/>
    <w:uiPriority w:val="33"/>
    <w:qFormat/>
    <w:rsid w:val="008F76EC"/>
    <w:rPr>
      <w:b/>
      <w:bCs/>
      <w:caps w:val="0"/>
      <w:smallCaps/>
      <w:spacing w:val="0"/>
    </w:rPr>
  </w:style>
  <w:style w:type="paragraph" w:styleId="TOCHeading">
    <w:name w:val="TOC Heading"/>
    <w:basedOn w:val="Heading1"/>
    <w:next w:val="Normal"/>
    <w:uiPriority w:val="39"/>
    <w:semiHidden/>
    <w:unhideWhenUsed/>
    <w:qFormat/>
    <w:rsid w:val="008F76E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Disha Pirodiya</cp:lastModifiedBy>
  <cp:revision>2</cp:revision>
  <dcterms:created xsi:type="dcterms:W3CDTF">2026-10-01T16:45:00Z</dcterms:created>
  <dcterms:modified xsi:type="dcterms:W3CDTF">2026-10-01T16:45:00Z</dcterms:modified>
  <cp:category/>
</cp:coreProperties>
</file>