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240"/>
      </w:pPr>
      <w:r>
        <w:rPr>
          <w:rFonts w:ascii="Times New Roman" w:hAnsi="Times New Roman"/>
          <w:b/>
          <w:color w:val="1E3A8A"/>
          <w:sz w:val="32"/>
        </w:rPr>
        <w:t>1.4 Existing System Analysis</w:t>
      </w:r>
    </w:p>
    <w:p>
      <w:pPr>
        <w:spacing w:line="276" w:lineRule="auto" w:after="160"/>
      </w:pPr>
      <w:r>
        <w:t>The current process of managing student mental health inquiries and session schedules within the university administration is predominantly paper-based and manual. When a student seeks counseling services, they must initiate a request through formal walk-ins, phone calls, or direct emails to the counseling center office. This request is received by administrative staff who manually check counselor calendars and shift timetables to verify availability. Once a slot is coordinated, details are recorded in physical ledgers or spreadsheet files, and confirmation is sent back to the student.</w:t>
      </w:r>
    </w:p>
    <w:p>
      <w:pPr>
        <w:spacing w:line="276" w:lineRule="auto" w:after="280"/>
      </w:pPr>
      <w:r>
        <w:t>During counseling sessions, counselors write down notes and assessments on physical intake forms. These records are then stored in locking filing cabinets in the department. Any follow-up appointments, escalations, or feedback questionnaires require manual triggers, which frequently lead to long delays, loss of documentation, and administrative overhead.</w:t>
      </w:r>
    </w:p>
    <w:p>
      <w:pPr>
        <w:keepNext/>
        <w:spacing w:before="280" w:after="160"/>
      </w:pPr>
      <w:r>
        <w:rPr>
          <w:rFonts w:ascii="Times New Roman" w:hAnsi="Times New Roman"/>
          <w:b/>
          <w:color w:val="2B6CB0"/>
          <w:sz w:val="26"/>
        </w:rPr>
        <w:t>1.4.1 Vulnerabilities and Bottlenecks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Limited Accessibility: </w:t>
      </w:r>
      <w:r>
        <w:rPr>
          <w:rFonts w:ascii="Times New Roman" w:hAnsi="Times New Roman"/>
          <w:sz w:val="24"/>
        </w:rPr>
        <w:t>Counseling services are constrained strictly to standard office hours (e.g., 9:00 AM to 4:00 PM). Students experiencing emotional stress or anxiety during late-night hours have no immediate means of connection or guidance.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Delayed Response Time: </w:t>
      </w:r>
      <w:r>
        <w:rPr>
          <w:rFonts w:ascii="Times New Roman" w:hAnsi="Times New Roman"/>
          <w:sz w:val="24"/>
        </w:rPr>
        <w:t>Because calendar coordination and counselor assignments are performed manually, the typical turnaround time between a request and an appointment ranges from two to five business days, which is critical in mental health situations.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Lack of Privacy &amp; Anonymity: </w:t>
      </w:r>
      <w:r>
        <w:rPr>
          <w:rFonts w:ascii="Times New Roman" w:hAnsi="Times New Roman"/>
          <w:sz w:val="24"/>
        </w:rPr>
        <w:t>Physically walking into the counseling center or sending emails using student accounts exposes students to social stigma. This lack of confidentiality deters a large demographic of students from seeking help.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Manual Record Management: </w:t>
      </w:r>
      <w:r>
        <w:rPr>
          <w:rFonts w:ascii="Times New Roman" w:hAnsi="Times New Roman"/>
          <w:sz w:val="24"/>
        </w:rPr>
        <w:t>Reliance on physical paper files and localized spreadsheets creates a risk of records being misplaced or lost. Furthermore, analyzing long-term student wellness metrics or generating compliance reports is highly inefficient.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No Real-Time Support or Triage: </w:t>
      </w:r>
      <w:r>
        <w:rPr>
          <w:rFonts w:ascii="Times New Roman" w:hAnsi="Times New Roman"/>
          <w:sz w:val="24"/>
        </w:rPr>
        <w:t>The current system treats all requests chronologically without an automated diagnostic system. This prevents administrators from immediately escalating critical or high-risk cases.</w:t>
      </w:r>
    </w:p>
    <w:p>
      <w:pPr>
        <w:keepNext/>
        <w:spacing w:before="320" w:after="200"/>
      </w:pPr>
      <w:r>
        <w:rPr>
          <w:rFonts w:ascii="Times New Roman" w:hAnsi="Times New Roman"/>
          <w:b/>
          <w:color w:val="2B6CB0"/>
          <w:sz w:val="26"/>
        </w:rPr>
        <w:t>1.4.2 Comparative Evaluation Matrix</w:t>
      </w:r>
    </w:p>
    <w:p>
      <w:pPr>
        <w:spacing w:line="276" w:lineRule="auto" w:after="240"/>
      </w:pPr>
      <w:r>
        <w:t>To address these systemic problems, the proposed digital system (MindSpace) introduces a three-tier automated structure. The table below outlines a comparison between the existing manual system and the proposed system across critical parameters: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Feature / Dimension</w:t>
            </w:r>
          </w:p>
        </w:tc>
        <w:tc>
          <w:tcPr>
            <w:tcW w:type="dxa" w:w="33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Existing Manual System</w:t>
            </w:r>
          </w:p>
        </w:tc>
        <w:tc>
          <w:tcPr>
            <w:tcW w:type="dxa" w:w="33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Proposed MindSpace System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Availability</w:t>
            </w:r>
          </w:p>
        </w:tc>
        <w:tc>
          <w:tcPr>
            <w:tcW w:type="dxa" w:w="33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/>
                <w:sz w:val="21"/>
              </w:rPr>
              <w:t>Restricted to physical office hours (Mon-Fri, 9am - 4pm).</w:t>
            </w:r>
          </w:p>
        </w:tc>
        <w:tc>
          <w:tcPr>
            <w:tcW w:type="dxa" w:w="33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/>
                <w:sz w:val="21"/>
              </w:rPr>
              <w:t>24/7 instantaneous availability via AI Chatbot and web portal.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Privacy &amp; Anonymity</w:t>
            </w:r>
          </w:p>
        </w:tc>
        <w:tc>
          <w:tcPr>
            <w:tcW w:type="dxa" w:w="33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/>
                <w:sz w:val="21"/>
              </w:rPr>
              <w:t>No anonymity; requires physical visits or academic email tracking, raising stigma concerns.</w:t>
            </w:r>
          </w:p>
        </w:tc>
        <w:tc>
          <w:tcPr>
            <w:tcW w:type="dxa" w:w="33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/>
                <w:sz w:val="21"/>
              </w:rPr>
              <w:t>Highly anonymous; secure JWT logins, encrypted logs, and peer-to-peer anonymous chats.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Booking &amp; Scheduling</w:t>
            </w:r>
          </w:p>
        </w:tc>
        <w:tc>
          <w:tcPr>
            <w:tcW w:type="dxa" w:w="33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/>
                <w:sz w:val="21"/>
              </w:rPr>
              <w:t>Manual booking via emails/phone, taking 2 to 5 days to resolve counselor matchings.</w:t>
            </w:r>
          </w:p>
        </w:tc>
        <w:tc>
          <w:tcPr>
            <w:tcW w:type="dxa" w:w="33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/>
                <w:sz w:val="21"/>
              </w:rPr>
              <w:t>Automated real-time booking showing counselor slots instantly with email confirmation.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Data Security</w:t>
            </w:r>
          </w:p>
        </w:tc>
        <w:tc>
          <w:tcPr>
            <w:tcW w:type="dxa" w:w="33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/>
                <w:sz w:val="21"/>
              </w:rPr>
              <w:t>Stored in physical folders and locking cabinets; high vulnerability to loss or physical damage.</w:t>
            </w:r>
          </w:p>
        </w:tc>
        <w:tc>
          <w:tcPr>
            <w:tcW w:type="dxa" w:w="33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/>
                <w:sz w:val="21"/>
              </w:rPr>
              <w:t>Secure cloud database (MongoDB) with role-based access controls and daily backups.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Crisis Triage &amp; Support</w:t>
            </w:r>
          </w:p>
        </w:tc>
        <w:tc>
          <w:tcPr>
            <w:tcW w:type="dxa" w:w="33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/>
                <w:sz w:val="21"/>
              </w:rPr>
              <w:t>No real-time severity check; cases processed chronologically regardless of stress severity.</w:t>
            </w:r>
          </w:p>
        </w:tc>
        <w:tc>
          <w:tcPr>
            <w:tcW w:type="dxa" w:w="33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/>
                <w:sz w:val="21"/>
              </w:rPr>
              <w:t>Automated Sentiment Analysis engine on chats to identify and flag high-risk cases for crisis escalation.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Analytical Insights</w:t>
            </w:r>
          </w:p>
        </w:tc>
        <w:tc>
          <w:tcPr>
            <w:tcW w:type="dxa" w:w="33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/>
                <w:sz w:val="21"/>
              </w:rPr>
              <w:t>Manual review of files to extract statistical data, resulting in poor administration tracking.</w:t>
            </w:r>
          </w:p>
        </w:tc>
        <w:tc>
          <w:tcPr>
            <w:tcW w:type="dxa" w:w="33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/>
                <w:sz w:val="21"/>
              </w:rPr>
              <w:t>Admin dashboard with wellness tracking logs and student statistics charts to audit support trends.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11827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