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60" w:before="200"/>
        <w:jc w:val="center"/>
      </w:pPr>
      <w:r>
        <w:rPr>
          <w:rFonts w:ascii="Calibri" w:cs="Calibri" w:eastAsia="Calibri" w:hAnsi="Calibri"/>
          <w:b/>
          <w:bCs/>
          <w:color w:val="122032"/>
          <w:sz w:val="22"/>
          <w:szCs w:val="22"/>
        </w:rPr>
        <w:t xml:space="preserve">RÉPUBLIQUE DU SÉNÉGAL</w:t>
      </w:r>
    </w:p>
    <w:p>
      <w:pPr>
        <w:spacing w:after="600"/>
        <w:jc w:val="center"/>
      </w:pPr>
      <w:r>
        <w:rPr>
          <w:rFonts w:ascii="Calibri" w:cs="Calibri" w:eastAsia="Calibri" w:hAnsi="Calibri"/>
          <w:b/>
          <w:bCs/>
          <w:color w:val="0B1622"/>
          <w:sz w:val="22"/>
          <w:szCs w:val="22"/>
        </w:rPr>
        <w:t xml:space="preserve">MINISTÈRE DE L'INDUSTRIE ET DU COMMERCE</w:t>
      </w:r>
    </w:p>
    <w:p>
      <w:pPr>
        <w:spacing w:after="100" w:before="800"/>
        <w:jc w:val="center"/>
      </w:pPr>
      <w:r>
        <w:rPr>
          <w:rFonts w:ascii="Calibri" w:cs="Calibri" w:eastAsia="Calibri" w:hAnsi="Calibri"/>
          <w:b/>
          <w:bCs/>
          <w:color w:val="122032"/>
          <w:sz w:val="64"/>
          <w:szCs w:val="64"/>
        </w:rPr>
        <w:t xml:space="preserve">GERM</w:t>
      </w:r>
    </w:p>
    <w:p>
      <w:pPr>
        <w:spacing w:after="500"/>
        <w:jc w:val="center"/>
      </w:pPr>
      <w:r>
        <w:rPr>
          <w:rFonts w:ascii="Calibri" w:cs="Calibri" w:eastAsia="Calibri" w:hAnsi="Calibri"/>
          <w:i/>
          <w:iCs/>
          <w:color w:val="B8862B"/>
          <w:sz w:val="26"/>
          <w:szCs w:val="26"/>
        </w:rPr>
        <w:t xml:space="preserve">Gestion des Ressources du Ministère</w:t>
      </w:r>
    </w:p>
    <w:p>
      <w:pPr>
        <w:spacing w:after="200" w:before="700"/>
        <w:jc w:val="center"/>
      </w:pPr>
      <w:r>
        <w:rPr>
          <w:rFonts w:ascii="Calibri" w:cs="Calibri" w:eastAsia="Calibri" w:hAnsi="Calibri"/>
          <w:b/>
          <w:bCs/>
          <w:color w:val="0B1622"/>
          <w:sz w:val="40"/>
          <w:szCs w:val="40"/>
        </w:rPr>
        <w:t xml:space="preserve">Documentation du projet</w:t>
      </w:r>
    </w:p>
    <w:p>
      <w:pPr>
        <w:spacing w:after="800"/>
        <w:jc w:val="center"/>
      </w:pPr>
      <w:r>
        <w:rPr>
          <w:rFonts w:ascii="Calibri" w:cs="Calibri" w:eastAsia="Calibri" w:hAnsi="Calibri"/>
          <w:color w:val="3C4450"/>
          <w:sz w:val="24"/>
          <w:szCs w:val="24"/>
        </w:rPr>
        <w:t xml:space="preserve">Contexte, problématiques et solution mise en œuvre</w:t>
      </w:r>
    </w:p>
    <w:p>
      <w:pPr>
        <w:spacing w:before="1600"/>
        <w:jc w:val="center"/>
      </w:pPr>
      <w:r>
        <w:rPr>
          <w:rFonts w:ascii="Calibri" w:cs="Calibri" w:eastAsia="Calibri" w:hAnsi="Calibri"/>
          <w:color w:val="3C4450"/>
          <w:sz w:val="20"/>
          <w:szCs w:val="20"/>
        </w:rPr>
        <w:t xml:space="preserve">Version 1.0 — Août 2026</w:t>
      </w:r>
    </w:p>
    <w:p>
      <w:r>
        <w:br w:type="page"/>
      </w:r>
    </w:p>
    <w:p>
      <w:pPr>
        <w:sectPr>
          <w:pgSz w:w="11906" w:h="16838" w:orient="portrait"/>
          <w:pgMar w:top="1300" w:right="1300" w:bottom="1300" w:left="1300" w:header="708" w:footer="708" w:gutter="0"/>
          <w:pgNumType/>
          <w:docGrid w:linePitch="360"/>
        </w:sectPr>
      </w:pPr>
    </w:p>
    <w:p>
      <w:pPr>
        <w:pStyle w:val="Heading1"/>
        <w:pBdr>
          <w:bottom w:val="single" w:color="B8862B" w:sz="8" w:space="4"/>
        </w:pBdr>
        <w:spacing w:after="200" w:before="360"/>
      </w:pPr>
      <w:r>
        <w:rPr>
          <w:rFonts w:ascii="Calibri" w:cs="Calibri" w:eastAsia="Calibri" w:hAnsi="Calibri"/>
          <w:b/>
          <w:bCs/>
          <w:color w:val="122032"/>
          <w:sz w:val="30"/>
          <w:szCs w:val="30"/>
        </w:rPr>
        <w:t xml:space="preserve">Sommaire</w:t>
      </w:r>
    </w:p>
    <w:p>
      <w:pPr>
        <w:spacing w:after="120"/>
        <w:jc w:val="both"/>
      </w:pPr>
      <w:r>
        <w:rPr>
          <w:rFonts w:ascii="Calibri" w:cs="Calibri" w:eastAsia="Calibri" w:hAnsi="Calibri"/>
          <w:color w:val="3C4450"/>
          <w:sz w:val="21"/>
          <w:szCs w:val="21"/>
        </w:rPr>
        <w:t xml:space="preserve">1. Introduction</w:t>
      </w:r>
    </w:p>
    <w:p>
      <w:pPr>
        <w:spacing w:after="120"/>
        <w:jc w:val="both"/>
      </w:pPr>
      <w:r>
        <w:rPr>
          <w:rFonts w:ascii="Calibri" w:cs="Calibri" w:eastAsia="Calibri" w:hAnsi="Calibri"/>
          <w:color w:val="3C4450"/>
          <w:sz w:val="21"/>
          <w:szCs w:val="21"/>
        </w:rPr>
        <w:t xml:space="preserve">2. Contexte : les problématiques rencontrées au Ministère</w:t>
      </w:r>
    </w:p>
    <w:p>
      <w:pPr>
        <w:spacing w:after="120"/>
        <w:jc w:val="both"/>
      </w:pPr>
      <w:r>
        <w:rPr>
          <w:rFonts w:ascii="Calibri" w:cs="Calibri" w:eastAsia="Calibri" w:hAnsi="Calibri"/>
          <w:color w:val="3C4450"/>
          <w:sz w:val="21"/>
          <w:szCs w:val="21"/>
        </w:rPr>
        <w:t xml:space="preserve">3. Objectifs du projet</w:t>
      </w:r>
    </w:p>
    <w:p>
      <w:pPr>
        <w:spacing w:after="120"/>
        <w:jc w:val="both"/>
      </w:pPr>
      <w:r>
        <w:rPr>
          <w:rFonts w:ascii="Calibri" w:cs="Calibri" w:eastAsia="Calibri" w:hAnsi="Calibri"/>
          <w:color w:val="3C4450"/>
          <w:sz w:val="21"/>
          <w:szCs w:val="21"/>
        </w:rPr>
        <w:t xml:space="preserve">4. Vue d’ensemble de la solution</w:t>
      </w:r>
    </w:p>
    <w:p>
      <w:pPr>
        <w:spacing w:after="120"/>
        <w:jc w:val="both"/>
      </w:pPr>
      <w:r>
        <w:rPr>
          <w:rFonts w:ascii="Calibri" w:cs="Calibri" w:eastAsia="Calibri" w:hAnsi="Calibri"/>
          <w:color w:val="3C4450"/>
          <w:sz w:val="21"/>
          <w:szCs w:val="21"/>
        </w:rPr>
        <w:t xml:space="preserve">5. Architecture technique</w:t>
      </w:r>
    </w:p>
    <w:p>
      <w:pPr>
        <w:spacing w:after="120"/>
        <w:jc w:val="both"/>
      </w:pPr>
      <w:r>
        <w:rPr>
          <w:rFonts w:ascii="Calibri" w:cs="Calibri" w:eastAsia="Calibri" w:hAnsi="Calibri"/>
          <w:color w:val="3C4450"/>
          <w:sz w:val="21"/>
          <w:szCs w:val="21"/>
        </w:rPr>
        <w:t xml:space="preserve">6. Modèle de rôles et sécurité</w:t>
      </w:r>
    </w:p>
    <w:p>
      <w:pPr>
        <w:spacing w:after="120"/>
        <w:jc w:val="both"/>
      </w:pPr>
      <w:r>
        <w:rPr>
          <w:rFonts w:ascii="Calibri" w:cs="Calibri" w:eastAsia="Calibri" w:hAnsi="Calibri"/>
          <w:color w:val="3C4450"/>
          <w:sz w:val="21"/>
          <w:szCs w:val="21"/>
        </w:rPr>
        <w:t xml:space="preserve">7. Périmètre fonctionnel par module</w:t>
      </w:r>
    </w:p>
    <w:p>
      <w:pPr>
        <w:spacing w:after="120"/>
        <w:jc w:val="both"/>
      </w:pPr>
      <w:r>
        <w:rPr>
          <w:rFonts w:ascii="Calibri" w:cs="Calibri" w:eastAsia="Calibri" w:hAnsi="Calibri"/>
          <w:color w:val="3C4450"/>
          <w:sz w:val="21"/>
          <w:szCs w:val="21"/>
        </w:rPr>
        <w:t xml:space="preserve">8. Workflows clés</w:t>
      </w:r>
    </w:p>
    <w:p>
      <w:pPr>
        <w:spacing w:after="120"/>
        <w:jc w:val="both"/>
      </w:pPr>
      <w:r>
        <w:rPr>
          <w:rFonts w:ascii="Calibri" w:cs="Calibri" w:eastAsia="Calibri" w:hAnsi="Calibri"/>
          <w:color w:val="3C4450"/>
          <w:sz w:val="21"/>
          <w:szCs w:val="21"/>
        </w:rPr>
        <w:t xml:space="preserve">9. Statuts et cycles de vie</w:t>
      </w:r>
    </w:p>
    <w:p>
      <w:pPr>
        <w:spacing w:after="120"/>
        <w:jc w:val="both"/>
      </w:pPr>
      <w:r>
        <w:rPr>
          <w:rFonts w:ascii="Calibri" w:cs="Calibri" w:eastAsia="Calibri" w:hAnsi="Calibri"/>
          <w:color w:val="3C4450"/>
          <w:sz w:val="21"/>
          <w:szCs w:val="21"/>
        </w:rPr>
        <w:t xml:space="preserve">10. Historique des évolutions du projet</w:t>
      </w:r>
    </w:p>
    <w:p>
      <w:pPr>
        <w:spacing w:after="120"/>
        <w:jc w:val="both"/>
      </w:pPr>
      <w:r>
        <w:rPr>
          <w:rFonts w:ascii="Calibri" w:cs="Calibri" w:eastAsia="Calibri" w:hAnsi="Calibri"/>
          <w:color w:val="3C4450"/>
          <w:sz w:val="21"/>
          <w:szCs w:val="21"/>
        </w:rPr>
        <w:t xml:space="preserve">11. Limites connues et pistes d’évolution</w:t>
      </w:r>
    </w:p>
    <w:p>
      <w:pPr>
        <w:spacing w:after="120"/>
        <w:jc w:val="both"/>
      </w:pPr>
      <w:r>
        <w:rPr>
          <w:rFonts w:ascii="Calibri" w:cs="Calibri" w:eastAsia="Calibri" w:hAnsi="Calibri"/>
          <w:color w:val="3C4450"/>
          <w:sz w:val="21"/>
          <w:szCs w:val="21"/>
        </w:rPr>
        <w:t xml:space="preserve">12. Glossaire</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1. Introduction</w:t>
      </w:r>
    </w:p>
    <w:p>
      <w:pPr>
        <w:spacing w:after="160" w:line="300"/>
        <w:jc w:val="both"/>
      </w:pPr>
      <w:r>
        <w:rPr>
          <w:rFonts w:ascii="Calibri" w:cs="Calibri" w:eastAsia="Calibri" w:hAnsi="Calibri"/>
          <w:color w:val="3C4450"/>
          <w:sz w:val="21"/>
          <w:szCs w:val="21"/>
        </w:rPr>
        <w:t xml:space="preserve">GERM (</w:t>
      </w:r>
      <w:r>
        <w:rPr>
          <w:rFonts w:ascii="Calibri" w:cs="Calibri" w:eastAsia="Calibri" w:hAnsi="Calibri"/>
          <w:b/>
          <w:bCs/>
          <w:color w:val="0B1622"/>
          <w:sz w:val="21"/>
          <w:szCs w:val="21"/>
        </w:rPr>
        <w:t xml:space="preserve">Gestion des Ressources du Ministère</w:t>
      </w:r>
      <w:r>
        <w:rPr>
          <w:rFonts w:ascii="Calibri" w:cs="Calibri" w:eastAsia="Calibri" w:hAnsi="Calibri"/>
          <w:color w:val="3C4450"/>
          <w:sz w:val="21"/>
          <w:szCs w:val="21"/>
        </w:rPr>
        <w:t xml:space="preserve">) est l’application interne développée pour le Ministère de l’Industrie et du Commerce (MinCom) afin de centraliser la gestion des ressources humaines, du parc informatique, du parc automobile et des démarches administratives des agents. Ce document décrit le contexte ayant motivé le projet, les problématiques qu’il adresse, son périmètre fonctionnel et son architecture technique.</w:t>
      </w:r>
    </w:p>
    <w:p>
      <w:pPr>
        <w:spacing w:after="160" w:line="300"/>
        <w:jc w:val="both"/>
      </w:pPr>
      <w:r>
        <w:rPr>
          <w:rFonts w:ascii="Calibri" w:cs="Calibri" w:eastAsia="Calibri" w:hAnsi="Calibri"/>
          <w:color w:val="3C4450"/>
          <w:sz w:val="21"/>
          <w:szCs w:val="21"/>
        </w:rPr>
        <w:t xml:space="preserve">Ce document est destiné aux responsables du Ministère, aux équipes de la Direction des Systèmes d’Information (DSI) ainsi qu’à toute personne souhaitant comprendre le fonctionnement et la logique métier de GERM. Il est complété par deux guides d’utilisation séparés : le </w:t>
      </w:r>
      <w:r>
        <w:rPr>
          <w:rFonts w:ascii="Calibri" w:cs="Calibri" w:eastAsia="Calibri" w:hAnsi="Calibri"/>
          <w:b/>
          <w:bCs/>
          <w:color w:val="0B1622"/>
          <w:sz w:val="21"/>
          <w:szCs w:val="21"/>
        </w:rPr>
        <w:t xml:space="preserve">Guide utilisateur — Version Web</w:t>
      </w:r>
      <w:r>
        <w:rPr>
          <w:rFonts w:ascii="Calibri" w:cs="Calibri" w:eastAsia="Calibri" w:hAnsi="Calibri"/>
          <w:color w:val="3C4450"/>
          <w:sz w:val="21"/>
          <w:szCs w:val="21"/>
        </w:rPr>
        <w:t xml:space="preserve"> et le </w:t>
      </w:r>
      <w:r>
        <w:rPr>
          <w:rFonts w:ascii="Calibri" w:cs="Calibri" w:eastAsia="Calibri" w:hAnsi="Calibri"/>
          <w:b/>
          <w:bCs/>
          <w:color w:val="0B1622"/>
          <w:sz w:val="21"/>
          <w:szCs w:val="21"/>
        </w:rPr>
        <w:t xml:space="preserve">Guide utilisateur — Version Mobile</w:t>
      </w:r>
      <w:r>
        <w:rPr>
          <w:rFonts w:ascii="Calibri" w:cs="Calibri" w:eastAsia="Calibri" w:hAnsi="Calibri"/>
          <w:color w:val="3C4450"/>
          <w:sz w:val="21"/>
          <w:szCs w:val="21"/>
        </w:rPr>
        <w:t xml:space="preserve">.</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Ce document est mis à jour à chaque évolution significative de l’application (nouveau module, nouveau workflow, changement de périmètre).</w:t>
      </w:r>
    </w:p>
    <w:p>
      <w:pPr>
        <w:pStyle w:val="Heading1"/>
        <w:pBdr>
          <w:bottom w:val="single" w:color="B8862B" w:sz="8" w:space="4"/>
        </w:pBdr>
        <w:spacing w:after="200" w:before="360"/>
      </w:pPr>
      <w:r>
        <w:rPr>
          <w:rFonts w:ascii="Calibri" w:cs="Calibri" w:eastAsia="Calibri" w:hAnsi="Calibri"/>
          <w:b/>
          <w:bCs/>
          <w:color w:val="122032"/>
          <w:sz w:val="30"/>
          <w:szCs w:val="30"/>
        </w:rPr>
        <w:t xml:space="preserve">2. Contexte : les problématiques rencontrées au Ministère</w:t>
      </w:r>
    </w:p>
    <w:p>
      <w:pPr>
        <w:spacing w:after="160" w:line="300"/>
        <w:jc w:val="both"/>
      </w:pPr>
      <w:r>
        <w:rPr>
          <w:rFonts w:ascii="Calibri" w:cs="Calibri" w:eastAsia="Calibri" w:hAnsi="Calibri"/>
          <w:color w:val="3C4450"/>
          <w:sz w:val="21"/>
          <w:szCs w:val="21"/>
        </w:rPr>
        <w:t xml:space="preserve">Avant la mise en place de GERM, la gestion des ressources du Ministère reposait sur des supports hétérogènes (fichiers Excel partagés, dossiers papier, échanges par courrier ou par mail) répartis entre plusieurs directions. Cette organisation posait plusieurs difficultés récurrentes, identifiées comme point de départ du projet :</w:t>
      </w:r>
    </w:p>
    <w:p>
      <w:pPr>
        <w:pStyle w:val="Heading2"/>
        <w:spacing w:after="140" w:before="280"/>
      </w:pPr>
      <w:r>
        <w:rPr>
          <w:rFonts w:ascii="Calibri" w:cs="Calibri" w:eastAsia="Calibri" w:hAnsi="Calibri"/>
          <w:b/>
          <w:bCs/>
          <w:color w:val="122032"/>
          <w:sz w:val="25"/>
          <w:szCs w:val="25"/>
        </w:rPr>
        <w:t xml:space="preserve">2.1 Gestion du personnel</w:t>
      </w:r>
    </w:p>
    <w:p>
      <w:pPr>
        <w:pStyle w:val="ListParagraph"/>
        <w:numPr>
          <w:ilvl w:val="0"/>
          <w:numId w:val="2"/>
        </w:numPr>
        <w:spacing w:after="90" w:line="280"/>
      </w:pPr>
      <w:r>
        <w:rPr>
          <w:rFonts w:ascii="Calibri" w:cs="Calibri" w:eastAsia="Calibri" w:hAnsi="Calibri"/>
          <w:color w:val="3C4450"/>
          <w:sz w:val="21"/>
          <w:szCs w:val="21"/>
        </w:rPr>
        <w:t xml:space="preserve">Fiches agents dispersées, sans historique fiable des mouvements de carrière (nominations, mutations, promotions).</w:t>
      </w:r>
    </w:p>
    <w:p>
      <w:pPr>
        <w:pStyle w:val="ListParagraph"/>
        <w:numPr>
          <w:ilvl w:val="0"/>
          <w:numId w:val="2"/>
        </w:numPr>
        <w:spacing w:after="90" w:line="280"/>
      </w:pPr>
      <w:r>
        <w:rPr>
          <w:rFonts w:ascii="Calibri" w:cs="Calibri" w:eastAsia="Calibri" w:hAnsi="Calibri"/>
          <w:color w:val="3C4450"/>
          <w:sz w:val="21"/>
          <w:szCs w:val="21"/>
        </w:rPr>
        <w:t xml:space="preserve">Aucune vue consolidée par direction/service, ni de suivi des types de contrat (fonctionnaire, contractuel, stagiaire, consultant).</w:t>
      </w:r>
    </w:p>
    <w:p>
      <w:pPr>
        <w:pStyle w:val="ListParagraph"/>
        <w:numPr>
          <w:ilvl w:val="0"/>
          <w:numId w:val="2"/>
        </w:numPr>
        <w:spacing w:after="90" w:line="280"/>
      </w:pPr>
      <w:r>
        <w:rPr>
          <w:rFonts w:ascii="Calibri" w:cs="Calibri" w:eastAsia="Calibri" w:hAnsi="Calibri"/>
          <w:color w:val="3C4450"/>
          <w:sz w:val="21"/>
          <w:szCs w:val="21"/>
        </w:rPr>
        <w:t xml:space="preserve">Documents administratifs des agents (CNI, diplômes, contrats, actes) archivés de façon dispersée, avec un risque de perte et aucune alerte sur les pièces arrivant à expiration.</w:t>
      </w:r>
    </w:p>
    <w:p>
      <w:pPr>
        <w:pStyle w:val="Heading2"/>
        <w:spacing w:after="140" w:before="280"/>
      </w:pPr>
      <w:r>
        <w:rPr>
          <w:rFonts w:ascii="Calibri" w:cs="Calibri" w:eastAsia="Calibri" w:hAnsi="Calibri"/>
          <w:b/>
          <w:bCs/>
          <w:color w:val="122032"/>
          <w:sz w:val="25"/>
          <w:szCs w:val="25"/>
        </w:rPr>
        <w:t xml:space="preserve">2.2 Cartes professionnelles</w:t>
      </w:r>
    </w:p>
    <w:p>
      <w:pPr>
        <w:pStyle w:val="ListParagraph"/>
        <w:numPr>
          <w:ilvl w:val="0"/>
          <w:numId w:val="2"/>
        </w:numPr>
        <w:spacing w:after="90" w:line="280"/>
      </w:pPr>
      <w:r>
        <w:rPr>
          <w:rFonts w:ascii="Calibri" w:cs="Calibri" w:eastAsia="Calibri" w:hAnsi="Calibri"/>
          <w:color w:val="3C4450"/>
          <w:sz w:val="21"/>
          <w:szCs w:val="21"/>
        </w:rPr>
        <w:t xml:space="preserve">Suivi manuel des délivrances et renouvellements de cartes professionnelles, sans visibilité sur les cartes arrivant à expiration.</w:t>
      </w:r>
    </w:p>
    <w:p>
      <w:pPr>
        <w:pStyle w:val="ListParagraph"/>
        <w:numPr>
          <w:ilvl w:val="0"/>
          <w:numId w:val="2"/>
        </w:numPr>
        <w:spacing w:after="90" w:line="280"/>
      </w:pPr>
      <w:r>
        <w:rPr>
          <w:rFonts w:ascii="Calibri" w:cs="Calibri" w:eastAsia="Calibri" w:hAnsi="Calibri"/>
          <w:color w:val="3C4450"/>
          <w:sz w:val="21"/>
          <w:szCs w:val="21"/>
        </w:rPr>
        <w:t xml:space="preserve">Aucune traçabilité formelle des déclarations de perte ou de vol.</w:t>
      </w:r>
    </w:p>
    <w:p>
      <w:pPr>
        <w:pStyle w:val="ListParagraph"/>
        <w:numPr>
          <w:ilvl w:val="0"/>
          <w:numId w:val="2"/>
        </w:numPr>
        <w:spacing w:after="90" w:line="280"/>
      </w:pPr>
      <w:r>
        <w:rPr>
          <w:rFonts w:ascii="Calibri" w:cs="Calibri" w:eastAsia="Calibri" w:hAnsi="Calibri"/>
          <w:color w:val="3C4450"/>
          <w:sz w:val="21"/>
          <w:szCs w:val="21"/>
        </w:rPr>
        <w:t xml:space="preserve">Processus de validation peu structuré, sans séparation claire entre instruction du dossier et décision finale.</w:t>
      </w:r>
    </w:p>
    <w:p>
      <w:pPr>
        <w:pStyle w:val="Heading2"/>
        <w:spacing w:after="140" w:before="280"/>
      </w:pPr>
      <w:r>
        <w:rPr>
          <w:rFonts w:ascii="Calibri" w:cs="Calibri" w:eastAsia="Calibri" w:hAnsi="Calibri"/>
          <w:b/>
          <w:bCs/>
          <w:color w:val="122032"/>
          <w:sz w:val="25"/>
          <w:szCs w:val="25"/>
        </w:rPr>
        <w:t xml:space="preserve">2.3 Congés</w:t>
      </w:r>
    </w:p>
    <w:p>
      <w:pPr>
        <w:pStyle w:val="ListParagraph"/>
        <w:numPr>
          <w:ilvl w:val="0"/>
          <w:numId w:val="2"/>
        </w:numPr>
        <w:spacing w:after="90" w:line="280"/>
      </w:pPr>
      <w:r>
        <w:rPr>
          <w:rFonts w:ascii="Calibri" w:cs="Calibri" w:eastAsia="Calibri" w:hAnsi="Calibri"/>
          <w:color w:val="3C4450"/>
          <w:sz w:val="21"/>
          <w:szCs w:val="21"/>
        </w:rPr>
        <w:t xml:space="preserve">Décisions de congé annuel et demandes de jouissance traitées sur papier, avec un risque d’erreur sur les décisions encore valides.</w:t>
      </w:r>
    </w:p>
    <w:p>
      <w:pPr>
        <w:pStyle w:val="ListParagraph"/>
        <w:numPr>
          <w:ilvl w:val="0"/>
          <w:numId w:val="2"/>
        </w:numPr>
        <w:spacing w:after="90" w:line="280"/>
      </w:pPr>
      <w:r>
        <w:rPr>
          <w:rFonts w:ascii="Calibri" w:cs="Calibri" w:eastAsia="Calibri" w:hAnsi="Calibri"/>
          <w:color w:val="3C4450"/>
          <w:sz w:val="21"/>
          <w:szCs w:val="21"/>
        </w:rPr>
        <w:t xml:space="preserve">Absence de vue d’ensemble des agents en congé à un instant donné.</w:t>
      </w:r>
    </w:p>
    <w:p>
      <w:pPr>
        <w:pStyle w:val="Heading2"/>
        <w:spacing w:after="140" w:before="280"/>
      </w:pPr>
      <w:r>
        <w:rPr>
          <w:rFonts w:ascii="Calibri" w:cs="Calibri" w:eastAsia="Calibri" w:hAnsi="Calibri"/>
          <w:b/>
          <w:bCs/>
          <w:color w:val="122032"/>
          <w:sz w:val="25"/>
          <w:szCs w:val="25"/>
        </w:rPr>
        <w:t xml:space="preserve">2.4 Parc informatique et parc automobile</w:t>
      </w:r>
    </w:p>
    <w:p>
      <w:pPr>
        <w:pStyle w:val="ListParagraph"/>
        <w:numPr>
          <w:ilvl w:val="0"/>
          <w:numId w:val="2"/>
        </w:numPr>
        <w:spacing w:after="90" w:line="280"/>
      </w:pPr>
      <w:r>
        <w:rPr>
          <w:rFonts w:ascii="Calibri" w:cs="Calibri" w:eastAsia="Calibri" w:hAnsi="Calibri"/>
          <w:color w:val="3C4450"/>
          <w:sz w:val="21"/>
          <w:szCs w:val="21"/>
        </w:rPr>
        <w:t xml:space="preserve">Inventaire du matériel informatique et des véhicules incomplet ou non centralisé (numéros d’inventaire, affectations, états).</w:t>
      </w:r>
    </w:p>
    <w:p>
      <w:pPr>
        <w:pStyle w:val="ListParagraph"/>
        <w:numPr>
          <w:ilvl w:val="0"/>
          <w:numId w:val="2"/>
        </w:numPr>
        <w:spacing w:after="90" w:line="280"/>
      </w:pPr>
      <w:r>
        <w:rPr>
          <w:rFonts w:ascii="Calibri" w:cs="Calibri" w:eastAsia="Calibri" w:hAnsi="Calibri"/>
          <w:color w:val="3C4450"/>
          <w:sz w:val="21"/>
          <w:szCs w:val="21"/>
        </w:rPr>
        <w:t xml:space="preserve">Échéances critiques (assurance, visite technique, garanties) suivies manuellement, avec un risque de rupture de couverture non anticipée.</w:t>
      </w:r>
    </w:p>
    <w:p>
      <w:pPr>
        <w:pStyle w:val="ListParagraph"/>
        <w:numPr>
          <w:ilvl w:val="0"/>
          <w:numId w:val="2"/>
        </w:numPr>
        <w:spacing w:after="90" w:line="280"/>
      </w:pPr>
      <w:r>
        <w:rPr>
          <w:rFonts w:ascii="Calibri" w:cs="Calibri" w:eastAsia="Calibri" w:hAnsi="Calibri"/>
          <w:color w:val="3C4450"/>
          <w:sz w:val="21"/>
          <w:szCs w:val="21"/>
        </w:rPr>
        <w:t xml:space="preserve">Aucun outil pour déclarer un incident informatique, en suivre la résolution ni mesurer les délais de traitement.</w:t>
      </w:r>
    </w:p>
    <w:p>
      <w:pPr>
        <w:pStyle w:val="ListParagraph"/>
        <w:numPr>
          <w:ilvl w:val="0"/>
          <w:numId w:val="2"/>
        </w:numPr>
        <w:spacing w:after="90" w:line="280"/>
      </w:pPr>
      <w:r>
        <w:rPr>
          <w:rFonts w:ascii="Calibri" w:cs="Calibri" w:eastAsia="Calibri" w:hAnsi="Calibri"/>
          <w:color w:val="3C4450"/>
          <w:sz w:val="21"/>
          <w:szCs w:val="21"/>
        </w:rPr>
        <w:t xml:space="preserve">Maintenance préventive et corrective non planifiée, non historisée par matériel.</w:t>
      </w:r>
    </w:p>
    <w:p>
      <w:pPr>
        <w:pStyle w:val="ListParagraph"/>
        <w:numPr>
          <w:ilvl w:val="0"/>
          <w:numId w:val="2"/>
        </w:numPr>
        <w:spacing w:after="90" w:line="280"/>
      </w:pPr>
      <w:r>
        <w:rPr>
          <w:rFonts w:ascii="Calibri" w:cs="Calibri" w:eastAsia="Calibri" w:hAnsi="Calibri"/>
          <w:color w:val="3C4450"/>
          <w:sz w:val="21"/>
          <w:szCs w:val="21"/>
        </w:rPr>
        <w:t xml:space="preserve">Licences logicielles (systèmes d’exploitation, suites bureautiques, antivirus) non recensées, avec un risque de dépassement du nombre de postes couverts ou d’expiration non anticipée.</w:t>
      </w:r>
    </w:p>
    <w:p>
      <w:pPr>
        <w:pStyle w:val="Heading2"/>
        <w:spacing w:after="140" w:before="280"/>
      </w:pPr>
      <w:r>
        <w:rPr>
          <w:rFonts w:ascii="Calibri" w:cs="Calibri" w:eastAsia="Calibri" w:hAnsi="Calibri"/>
          <w:b/>
          <w:bCs/>
          <w:color w:val="122032"/>
          <w:sz w:val="25"/>
          <w:szCs w:val="25"/>
        </w:rPr>
        <w:t xml:space="preserve">2.5 Organisation et continuité de service</w:t>
      </w:r>
    </w:p>
    <w:p>
      <w:pPr>
        <w:pStyle w:val="ListParagraph"/>
        <w:numPr>
          <w:ilvl w:val="0"/>
          <w:numId w:val="2"/>
        </w:numPr>
        <w:spacing w:after="90" w:line="280"/>
      </w:pPr>
      <w:r>
        <w:rPr>
          <w:rFonts w:ascii="Calibri" w:cs="Calibri" w:eastAsia="Calibri" w:hAnsi="Calibri"/>
          <w:color w:val="3C4450"/>
          <w:sz w:val="21"/>
          <w:szCs w:val="21"/>
        </w:rPr>
        <w:t xml:space="preserve">Aucun mécanisme de délégation lorsqu’un responsable RH est absent, ce qui bloque les validations en attente.</w:t>
      </w:r>
    </w:p>
    <w:p>
      <w:pPr>
        <w:pStyle w:val="ListParagraph"/>
        <w:numPr>
          <w:ilvl w:val="0"/>
          <w:numId w:val="2"/>
        </w:numPr>
        <w:spacing w:after="90" w:line="280"/>
      </w:pPr>
      <w:r>
        <w:rPr>
          <w:rFonts w:ascii="Calibri" w:cs="Calibri" w:eastAsia="Calibri" w:hAnsi="Calibri"/>
          <w:color w:val="3C4450"/>
          <w:sz w:val="21"/>
          <w:szCs w:val="21"/>
        </w:rPr>
        <w:t xml:space="preserve">Séparation des tâches difficile à faire respecter sur des circuits papier (une même personne pouvant instruire et valider un dossier).</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Ces constats ont structuré la conception de GERM : chaque module de l’application répond directement à l’une de ces problématiques (voir section 7).</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3. Objectifs du projet</w:t>
      </w:r>
    </w:p>
    <w:p>
      <w:pPr>
        <w:spacing w:after="160" w:line="300"/>
        <w:jc w:val="both"/>
      </w:pPr>
      <w:r>
        <w:rPr>
          <w:rFonts w:ascii="Calibri" w:cs="Calibri" w:eastAsia="Calibri" w:hAnsi="Calibri"/>
          <w:color w:val="3C4450"/>
          <w:sz w:val="21"/>
          <w:szCs w:val="21"/>
        </w:rPr>
        <w:t xml:space="preserve">GERM poursuit les objectifs suivants :</w:t>
      </w:r>
    </w:p>
    <w:p>
      <w:pPr>
        <w:tabs>
          <w:tab w:val="left" w:pos="400"/>
        </w:tabs>
        <w:spacing w:after="90" w:line="280"/>
        <w:ind w:left="400" w:hanging="320"/>
      </w:pPr>
      <w:r>
        <w:rPr>
          <w:rFonts w:ascii="Calibri" w:cs="Calibri" w:eastAsia="Calibri" w:hAnsi="Calibri"/>
          <w:b/>
          <w:bCs/>
          <w:color w:val="122032"/>
          <w:sz w:val="21"/>
          <w:szCs w:val="21"/>
        </w:rPr>
        <w:t xml:space="preserve">1.	</w:t>
      </w:r>
      <w:r>
        <w:rPr>
          <w:rFonts w:ascii="Calibri" w:cs="Calibri" w:eastAsia="Calibri" w:hAnsi="Calibri"/>
          <w:color w:val="3C4450"/>
          <w:sz w:val="21"/>
          <w:szCs w:val="21"/>
        </w:rPr>
        <w:t xml:space="preserve">Centraliser dans un système unique les données de personnel, de matériel informatique, de véhicules, de cartes professionnelles et de congés.</w:t>
      </w:r>
    </w:p>
    <w:p>
      <w:pPr>
        <w:tabs>
          <w:tab w:val="left" w:pos="400"/>
        </w:tabs>
        <w:spacing w:after="90" w:line="280"/>
        <w:ind w:left="400" w:hanging="320"/>
      </w:pPr>
      <w:r>
        <w:rPr>
          <w:rFonts w:ascii="Calibri" w:cs="Calibri" w:eastAsia="Calibri" w:hAnsi="Calibri"/>
          <w:b/>
          <w:bCs/>
          <w:color w:val="122032"/>
          <w:sz w:val="21"/>
          <w:szCs w:val="21"/>
        </w:rPr>
        <w:t xml:space="preserve">2.	</w:t>
      </w:r>
      <w:r>
        <w:rPr>
          <w:rFonts w:ascii="Calibri" w:cs="Calibri" w:eastAsia="Calibri" w:hAnsi="Calibri"/>
          <w:color w:val="3C4450"/>
          <w:sz w:val="21"/>
          <w:szCs w:val="21"/>
        </w:rPr>
        <w:t xml:space="preserve">Fiabiliser les processus par des workflows de validation à plusieurs niveaux, avec séparation des tâches entre instruction et décision.</w:t>
      </w:r>
    </w:p>
    <w:p>
      <w:pPr>
        <w:tabs>
          <w:tab w:val="left" w:pos="400"/>
        </w:tabs>
        <w:spacing w:after="90" w:line="280"/>
        <w:ind w:left="400" w:hanging="320"/>
      </w:pPr>
      <w:r>
        <w:rPr>
          <w:rFonts w:ascii="Calibri" w:cs="Calibri" w:eastAsia="Calibri" w:hAnsi="Calibri"/>
          <w:b/>
          <w:bCs/>
          <w:color w:val="122032"/>
          <w:sz w:val="21"/>
          <w:szCs w:val="21"/>
        </w:rPr>
        <w:t xml:space="preserve">3.	</w:t>
      </w:r>
      <w:r>
        <w:rPr>
          <w:rFonts w:ascii="Calibri" w:cs="Calibri" w:eastAsia="Calibri" w:hAnsi="Calibri"/>
          <w:color w:val="3C4450"/>
          <w:sz w:val="21"/>
          <w:szCs w:val="21"/>
        </w:rPr>
        <w:t xml:space="preserve">Donner de la visibilité aux responsables via des tableaux de bord et des alertes automatiques sur les échéances (garanties, assurances, visites techniques, expirations de cartes et de licences).</w:t>
      </w:r>
    </w:p>
    <w:p>
      <w:pPr>
        <w:tabs>
          <w:tab w:val="left" w:pos="400"/>
        </w:tabs>
        <w:spacing w:after="90" w:line="280"/>
        <w:ind w:left="400" w:hanging="320"/>
      </w:pPr>
      <w:r>
        <w:rPr>
          <w:rFonts w:ascii="Calibri" w:cs="Calibri" w:eastAsia="Calibri" w:hAnsi="Calibri"/>
          <w:b/>
          <w:bCs/>
          <w:color w:val="122032"/>
          <w:sz w:val="21"/>
          <w:szCs w:val="21"/>
        </w:rPr>
        <w:t xml:space="preserve">4.	</w:t>
      </w:r>
      <w:r>
        <w:rPr>
          <w:rFonts w:ascii="Calibri" w:cs="Calibri" w:eastAsia="Calibri" w:hAnsi="Calibri"/>
          <w:color w:val="3C4450"/>
          <w:sz w:val="21"/>
          <w:szCs w:val="21"/>
        </w:rPr>
        <w:t xml:space="preserve">Offrir aux agents un espace en libre-service (« Mon espace ») pour consulter leurs informations et déposer leurs demandes sans passer par un circuit papier.</w:t>
      </w:r>
    </w:p>
    <w:p>
      <w:pPr>
        <w:tabs>
          <w:tab w:val="left" w:pos="400"/>
        </w:tabs>
        <w:spacing w:after="90" w:line="280"/>
        <w:ind w:left="400" w:hanging="320"/>
      </w:pPr>
      <w:r>
        <w:rPr>
          <w:rFonts w:ascii="Calibri" w:cs="Calibri" w:eastAsia="Calibri" w:hAnsi="Calibri"/>
          <w:b/>
          <w:bCs/>
          <w:color w:val="122032"/>
          <w:sz w:val="21"/>
          <w:szCs w:val="21"/>
        </w:rPr>
        <w:t xml:space="preserve">5.	</w:t>
      </w:r>
      <w:r>
        <w:rPr>
          <w:rFonts w:ascii="Calibri" w:cs="Calibri" w:eastAsia="Calibri" w:hAnsi="Calibri"/>
          <w:color w:val="3C4450"/>
          <w:sz w:val="21"/>
          <w:szCs w:val="21"/>
        </w:rPr>
        <w:t xml:space="preserve">Assurer la continuité de service grâce à la délégation temporaire de rôles en cas d’absence.</w:t>
      </w:r>
    </w:p>
    <w:p>
      <w:pPr>
        <w:tabs>
          <w:tab w:val="left" w:pos="400"/>
        </w:tabs>
        <w:spacing w:after="90" w:line="280"/>
        <w:ind w:left="400" w:hanging="320"/>
      </w:pPr>
      <w:r>
        <w:rPr>
          <w:rFonts w:ascii="Calibri" w:cs="Calibri" w:eastAsia="Calibri" w:hAnsi="Calibri"/>
          <w:b/>
          <w:bCs/>
          <w:color w:val="122032"/>
          <w:sz w:val="21"/>
          <w:szCs w:val="21"/>
        </w:rPr>
        <w:t xml:space="preserve">6.	</w:t>
      </w:r>
      <w:r>
        <w:rPr>
          <w:rFonts w:ascii="Calibri" w:cs="Calibri" w:eastAsia="Calibri" w:hAnsi="Calibri"/>
          <w:color w:val="3C4450"/>
          <w:sz w:val="21"/>
          <w:szCs w:val="21"/>
        </w:rPr>
        <w:t xml:space="preserve">Permettre un accès mobile pour les usages courants (consultation, demandes, tickets) en complément du poste de travail.</w:t>
      </w:r>
    </w:p>
    <w:p>
      <w:pPr>
        <w:pStyle w:val="Heading1"/>
        <w:pBdr>
          <w:bottom w:val="single" w:color="B8862B" w:sz="8" w:space="4"/>
        </w:pBdr>
        <w:spacing w:after="200" w:before="360"/>
      </w:pPr>
      <w:r>
        <w:rPr>
          <w:rFonts w:ascii="Calibri" w:cs="Calibri" w:eastAsia="Calibri" w:hAnsi="Calibri"/>
          <w:b/>
          <w:bCs/>
          <w:color w:val="122032"/>
          <w:sz w:val="30"/>
          <w:szCs w:val="30"/>
        </w:rPr>
        <w:t xml:space="preserve">4. Vue d’ensemble de la solution</w:t>
      </w:r>
    </w:p>
    <w:p>
      <w:pPr>
        <w:spacing w:after="160" w:line="300"/>
        <w:jc w:val="both"/>
      </w:pPr>
      <w:r>
        <w:rPr>
          <w:rFonts w:ascii="Calibri" w:cs="Calibri" w:eastAsia="Calibri" w:hAnsi="Calibri"/>
          <w:color w:val="3C4450"/>
          <w:sz w:val="21"/>
          <w:szCs w:val="21"/>
        </w:rPr>
        <w:t xml:space="preserve">GERM se compose de deux volets complémentaires, accessibles avec le même compte selon les droits de l’utilisateur :</w:t>
      </w:r>
    </w:p>
    <w:p>
      <w:pPr>
        <w:pStyle w:val="ListParagraph"/>
        <w:numPr>
          <w:ilvl w:val="0"/>
          <w:numId w:val="2"/>
        </w:numPr>
        <w:spacing w:after="90" w:line="280"/>
      </w:pPr>
      <w:r>
        <w:rPr>
          <w:rFonts w:ascii="Calibri" w:cs="Calibri" w:eastAsia="Calibri" w:hAnsi="Calibri"/>
          <w:b/>
          <w:bCs/>
          <w:color w:val="0B1622"/>
          <w:sz w:val="21"/>
          <w:szCs w:val="21"/>
        </w:rPr>
        <w:t xml:space="preserve">« Mon espace » (libre-service) : </w:t>
      </w:r>
      <w:r>
        <w:rPr>
          <w:rFonts w:ascii="Calibri" w:cs="Calibri" w:eastAsia="Calibri" w:hAnsi="Calibri"/>
          <w:color w:val="3C4450"/>
          <w:sz w:val="21"/>
          <w:szCs w:val="21"/>
        </w:rPr>
        <w:t xml:space="preserve">chaque agent authentifié consulte son profil, sa carrière, le matériel et le véhicule qui lui sont affectés, dépose ses demandes (congé, carte professionnelle, ticket informatique) et suit leur traitement.</w:t>
      </w:r>
    </w:p>
    <w:p>
      <w:pPr>
        <w:pStyle w:val="ListParagraph"/>
        <w:numPr>
          <w:ilvl w:val="0"/>
          <w:numId w:val="2"/>
        </w:numPr>
        <w:spacing w:after="90" w:line="280"/>
      </w:pPr>
      <w:r>
        <w:rPr>
          <w:rFonts w:ascii="Calibri" w:cs="Calibri" w:eastAsia="Calibri" w:hAnsi="Calibri"/>
          <w:b/>
          <w:bCs/>
          <w:color w:val="0B1622"/>
          <w:sz w:val="21"/>
          <w:szCs w:val="21"/>
        </w:rPr>
        <w:t xml:space="preserve">« Administration » (back-office métier) : </w:t>
      </w:r>
      <w:r>
        <w:rPr>
          <w:rFonts w:ascii="Calibri" w:cs="Calibri" w:eastAsia="Calibri" w:hAnsi="Calibri"/>
          <w:color w:val="3C4450"/>
          <w:sz w:val="21"/>
          <w:szCs w:val="21"/>
        </w:rPr>
        <w:t xml:space="preserve">accessible selon le ou les rôles attribués à l’utilisateur (RH Personnel, RH Congé, RH Carte Pro, RH Admin, IT Stock, IT Tickets, IT Responsable), avec des tableaux de bord et des écrans de gestion et de traitement des demandes.</w:t>
      </w:r>
    </w:p>
    <w:p>
      <w:pPr>
        <w:spacing w:after="160" w:line="300"/>
        <w:jc w:val="both"/>
      </w:pPr>
      <w:r>
        <w:rPr>
          <w:rFonts w:ascii="Calibri" w:cs="Calibri" w:eastAsia="Calibri" w:hAnsi="Calibri"/>
          <w:color w:val="3C4450"/>
          <w:sz w:val="21"/>
          <w:szCs w:val="21"/>
        </w:rPr>
        <w:t xml:space="preserve">L’application est disponible en version web (navigateur, poste de travail) et en version mobile (application installée sur smartphone), avec un périmètre équivalent pour la partie « Mon espace ». Une bascule en un clic permet aux utilisateurs disposant de droits d’administration de passer de leur espace personnel à l’interface de gestion.</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5. Architecture technique</w:t>
      </w:r>
    </w:p>
    <w:p>
      <w:pPr>
        <w:pStyle w:val="Heading2"/>
        <w:spacing w:after="140" w:before="280"/>
      </w:pPr>
      <w:r>
        <w:rPr>
          <w:rFonts w:ascii="Calibri" w:cs="Calibri" w:eastAsia="Calibri" w:hAnsi="Calibri"/>
          <w:b/>
          <w:bCs/>
          <w:color w:val="122032"/>
          <w:sz w:val="25"/>
          <w:szCs w:val="25"/>
        </w:rPr>
        <w:t xml:space="preserve">5.1 Composants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Composant</w:t>
            </w:r>
          </w:p>
        </w:tc>
        <w:tc>
          <w:tcPr>
            <w:tcW w:type="dxa" w:w="34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Technologie</w:t>
            </w:r>
          </w:p>
        </w:tc>
        <w:tc>
          <w:tcPr>
            <w:tcW w:type="dxa" w:w="30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Rôle</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Back-end / API</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Symfony 7 (PHP) + API Platform</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Logique métier, workflows, sécurité, génération des PDF (carte professionnelle), stockage des fichiers.</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Base de données</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MySQL / MariaDB</w:t>
            </w:r>
          </w:p>
        </w:tc>
        <w:tc>
          <w:tcPr>
            <w:tcW w:type="dxa" w:w="30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Persistance des données métier (Doctrine ORM).</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Front-end Web</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Angular 17 (autonome, sans framework CSS externe)</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Interface utilisateur web, consommant l’API REST.</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Application mobile</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Angular + Capacitor (empaquetage natif iOS)</w:t>
            </w:r>
          </w:p>
        </w:tc>
        <w:tc>
          <w:tcPr>
            <w:tcW w:type="dxa" w:w="30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Même code applicatif que le web, empaqueté en application native pour l’usage mobile.</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Stockage de fichiers</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SFTP</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Photos, pièces justificatives, documents administratifs, PDF de cartes professionnelles.</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Authentification</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Session (cookie), Symfony Security</w:t>
            </w:r>
          </w:p>
        </w:tc>
        <w:tc>
          <w:tcPr>
            <w:tcW w:type="dxa" w:w="30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Connexion par email + mot de passe, session partagée entre le back-office Twig et l’API Angular.</w:t>
            </w:r>
          </w:p>
        </w:tc>
      </w:tr>
    </w:tbl>
    <w:p>
      <w:pPr>
        <w:spacing w:after="120"/>
      </w:pPr>
    </w:p>
    <w:p>
      <w:pPr>
        <w:pStyle w:val="Heading2"/>
        <w:spacing w:after="140" w:before="280"/>
      </w:pPr>
      <w:r>
        <w:rPr>
          <w:rFonts w:ascii="Calibri" w:cs="Calibri" w:eastAsia="Calibri" w:hAnsi="Calibri"/>
          <w:b/>
          <w:bCs/>
          <w:color w:val="122032"/>
          <w:sz w:val="25"/>
          <w:szCs w:val="25"/>
        </w:rPr>
        <w:t xml:space="preserve">5.2 Interface d’administration historique (Twig)</w:t>
      </w:r>
    </w:p>
    <w:p>
      <w:pPr>
        <w:spacing w:after="160" w:line="300"/>
        <w:jc w:val="both"/>
      </w:pPr>
      <w:r>
        <w:rPr>
          <w:rFonts w:ascii="Calibri" w:cs="Calibri" w:eastAsia="Calibri" w:hAnsi="Calibri"/>
          <w:color w:val="3C4450"/>
          <w:sz w:val="21"/>
          <w:szCs w:val="21"/>
        </w:rPr>
        <w:t xml:space="preserve">Une interface Twig/Bootstrap, développée en tout début de projet et réservée au compte superadministrateur, reste disponible en secours (`/admin`). L’essentiel de l’usage quotidien passe désormais par le front-office Angular, plus riche fonctionnellement (workflows, tableaux de bord, libre-service agent).</w:t>
      </w:r>
    </w:p>
    <w:p>
      <w:pPr>
        <w:pStyle w:val="Heading2"/>
        <w:spacing w:after="140" w:before="280"/>
      </w:pPr>
      <w:r>
        <w:rPr>
          <w:rFonts w:ascii="Calibri" w:cs="Calibri" w:eastAsia="Calibri" w:hAnsi="Calibri"/>
          <w:b/>
          <w:bCs/>
          <w:color w:val="122032"/>
          <w:sz w:val="25"/>
          <w:szCs w:val="25"/>
        </w:rPr>
        <w:t xml:space="preserve">5.3 Import de données</w:t>
      </w:r>
    </w:p>
    <w:p>
      <w:pPr>
        <w:spacing w:after="160" w:line="300"/>
        <w:jc w:val="both"/>
      </w:pPr>
      <w:r>
        <w:rPr>
          <w:rFonts w:ascii="Calibri" w:cs="Calibri" w:eastAsia="Calibri" w:hAnsi="Calibri"/>
          <w:color w:val="3C4450"/>
          <w:sz w:val="21"/>
          <w:szCs w:val="21"/>
        </w:rPr>
        <w:t xml:space="preserve">Un module d’import permet d’alimenter en masse le Personnel, le Parc informatique, le Parc automobile, les Services et les Directions à partir de fichiers Excel (.xlsx) ou d’un classeur Google Sheets synchronisable en un clic, avec un compte-rendu ligne par ligne (créés, mis à jour, en erreur).</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6. Modèle de rôles et sécurité</w:t>
      </w:r>
    </w:p>
    <w:p>
      <w:pPr>
        <w:spacing w:after="160" w:line="300"/>
        <w:jc w:val="both"/>
      </w:pPr>
      <w:r>
        <w:rPr>
          <w:rFonts w:ascii="Calibri" w:cs="Calibri" w:eastAsia="Calibri" w:hAnsi="Calibri"/>
          <w:color w:val="3C4450"/>
          <w:sz w:val="21"/>
          <w:szCs w:val="21"/>
        </w:rPr>
        <w:t xml:space="preserve">L’accès aux différentes rubriques de GERM est déterminé par les rôles attribués au compte de l’agent. Un même compte peut cumuler plusieurs rôles. Le rôle de base ROLE_AGENT donne accès à « Mon espace » ; les autres rôles donnent accès à des rubriques d’administration ciblées.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00"/>
      </w:tblGrid>
      <w:tr>
        <w:trPr>
          <w:tblHeader/>
        </w:trPr>
        <w:tc>
          <w:tcPr>
            <w:tcW w:type="dxa" w:w="23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Rôle</w:t>
            </w:r>
          </w:p>
        </w:tc>
        <w:tc>
          <w:tcPr>
            <w:tcW w:type="dxa" w:w="26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Domaine</w:t>
            </w:r>
          </w:p>
        </w:tc>
        <w:tc>
          <w:tcPr>
            <w:tcW w:type="dxa" w:w="41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Droits</w:t>
            </w:r>
          </w:p>
        </w:tc>
      </w:tr>
      <w:tr>
        <w:tc>
          <w:tcPr>
            <w:tcW w:type="dxa" w:w="23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ROLE_AGENT</w:t>
            </w:r>
          </w:p>
        </w:tc>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Tous les comptes</w:t>
            </w:r>
          </w:p>
        </w:tc>
        <w:tc>
          <w:tcPr>
            <w:tcW w:type="dxa" w:w="41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Accès à « Mon espace » : profil, carrière, matériel et véhicule affectés, demandes (congé, carte pro, ticket).</w:t>
            </w:r>
          </w:p>
        </w:tc>
      </w:tr>
      <w:tr>
        <w:tc>
          <w:tcPr>
            <w:tcW w:type="dxa" w:w="23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ROLE_RH_PERSONNEL</w:t>
            </w:r>
          </w:p>
        </w:tc>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Ressources humaines</w:t>
            </w:r>
          </w:p>
        </w:tc>
        <w:tc>
          <w:tcPr>
            <w:tcW w:type="dxa" w:w="41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Gestion du Personnel, des carrières et des documents administratifs.</w:t>
            </w:r>
          </w:p>
        </w:tc>
      </w:tr>
      <w:tr>
        <w:tc>
          <w:tcPr>
            <w:tcW w:type="dxa" w:w="23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ROLE_RH_CONGE</w:t>
            </w:r>
          </w:p>
        </w:tc>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Ressources humaines</w:t>
            </w:r>
          </w:p>
        </w:tc>
        <w:tc>
          <w:tcPr>
            <w:tcW w:type="dxa" w:w="41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Gestion des congés : décisions de congé, traitement des demandes de décision et de jouissance.</w:t>
            </w:r>
          </w:p>
        </w:tc>
      </w:tr>
      <w:tr>
        <w:tc>
          <w:tcPr>
            <w:tcW w:type="dxa" w:w="23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ROLE_RH_CARTE_PRO</w:t>
            </w:r>
          </w:p>
        </w:tc>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Ressources humaines</w:t>
            </w:r>
          </w:p>
        </w:tc>
        <w:tc>
          <w:tcPr>
            <w:tcW w:type="dxa" w:w="41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Gestion des cartes professionnelles et instruction des demandes (transmission ou rejet).</w:t>
            </w:r>
          </w:p>
        </w:tc>
      </w:tr>
      <w:tr>
        <w:tc>
          <w:tcPr>
            <w:tcW w:type="dxa" w:w="23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ROLE_ADMIN_RH</w:t>
            </w:r>
          </w:p>
        </w:tc>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Ressources humaines (transversal)</w:t>
            </w:r>
          </w:p>
        </w:tc>
        <w:tc>
          <w:tcPr>
            <w:tcW w:type="dxa" w:w="41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Cumule les trois rôles RH ci-dessus, approuve les demandes de carte transmises et gère les délégations.</w:t>
            </w:r>
          </w:p>
        </w:tc>
      </w:tr>
      <w:tr>
        <w:tc>
          <w:tcPr>
            <w:tcW w:type="dxa" w:w="23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ROLE_IT_STOCK</w:t>
            </w:r>
          </w:p>
        </w:tc>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Informatique</w:t>
            </w:r>
          </w:p>
        </w:tc>
        <w:tc>
          <w:tcPr>
            <w:tcW w:type="dxa" w:w="41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Parc informatique, affectations, maintenance, licences logicielles.</w:t>
            </w:r>
          </w:p>
        </w:tc>
      </w:tr>
      <w:tr>
        <w:tc>
          <w:tcPr>
            <w:tcW w:type="dxa" w:w="23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ROLE_IT_TICKETS</w:t>
            </w:r>
          </w:p>
        </w:tc>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Informatique</w:t>
            </w:r>
          </w:p>
        </w:tc>
        <w:tc>
          <w:tcPr>
            <w:tcW w:type="dxa" w:w="41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Traitement des tickets d’incident (prise en charge, résolution, refus).</w:t>
            </w:r>
          </w:p>
        </w:tc>
      </w:tr>
      <w:tr>
        <w:tc>
          <w:tcPr>
            <w:tcW w:type="dxa" w:w="23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ROLE_IT_RESPONSABLE</w:t>
            </w:r>
          </w:p>
        </w:tc>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Informatique (transversal)</w:t>
            </w:r>
          </w:p>
        </w:tc>
        <w:tc>
          <w:tcPr>
            <w:tcW w:type="dxa" w:w="41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Cumule Stock et Tickets, valide/rouvre/escalade/assigne les tickets.</w:t>
            </w:r>
          </w:p>
        </w:tc>
      </w:tr>
      <w:tr>
        <w:tc>
          <w:tcPr>
            <w:tcW w:type="dxa" w:w="23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ROLE_SUPERADMIN</w:t>
            </w:r>
          </w:p>
        </w:tc>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Technique</w:t>
            </w:r>
          </w:p>
        </w:tc>
        <w:tc>
          <w:tcPr>
            <w:tcW w:type="dxa" w:w="41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Accès complet, y compris l’interface Twig de secours et la gestion des comptes.</w:t>
            </w:r>
          </w:p>
        </w:tc>
      </w:tr>
    </w:tbl>
    <w:p>
      <w:pPr>
        <w:spacing w:after="120"/>
      </w:pP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La séparation des tâches est appliquée par construction : par exemple, le RH Carte Pro instruit une demande de carte (transmet ou rejette) mais seul le RH Admin peut l’approuver ; côté informatique, le technicien traite un ticket mais seul le responsable informatique le valide ou le rouvre.</w:t>
      </w:r>
    </w:p>
    <w:p>
      <w:pPr>
        <w:pStyle w:val="Heading2"/>
        <w:spacing w:after="140" w:before="280"/>
      </w:pPr>
      <w:r>
        <w:rPr>
          <w:rFonts w:ascii="Calibri" w:cs="Calibri" w:eastAsia="Calibri" w:hAnsi="Calibri"/>
          <w:b/>
          <w:bCs/>
          <w:color w:val="122032"/>
          <w:sz w:val="25"/>
          <w:szCs w:val="25"/>
        </w:rPr>
        <w:t xml:space="preserve">6.1 Délégation temporaire</w:t>
      </w:r>
    </w:p>
    <w:p>
      <w:pPr>
        <w:spacing w:after="160" w:line="300"/>
        <w:jc w:val="both"/>
      </w:pPr>
      <w:r>
        <w:rPr>
          <w:rFonts w:ascii="Calibri" w:cs="Calibri" w:eastAsia="Calibri" w:hAnsi="Calibri"/>
          <w:color w:val="3C4450"/>
          <w:sz w:val="21"/>
          <w:szCs w:val="21"/>
        </w:rPr>
        <w:t xml:space="preserve">En cas d’absence, un titulaire d’un rôle RH (Admin RH, RH Personnel, RH Congé, RH Carte Pro) peut déléguer temporairement ce rôle à un collègue, pour une période donnée. Le rôle délégué s’ajoute aux droits du délégataire sans retirer aucun droit à qui que ce soit ; il peut être révoqué à tout moment par le délégant.</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7. Périmètre fonctionnel par module</w:t>
      </w:r>
    </w:p>
    <w:p>
      <w:pPr>
        <w:pStyle w:val="Heading3"/>
        <w:spacing w:after="100" w:before="220"/>
      </w:pPr>
      <w:r>
        <w:rPr>
          <w:rFonts w:ascii="Calibri" w:cs="Calibri" w:eastAsia="Calibri" w:hAnsi="Calibri"/>
          <w:b/>
          <w:bCs/>
          <w:color w:val="0B1622"/>
          <w:sz w:val="22"/>
          <w:szCs w:val="22"/>
        </w:rPr>
        <w:t xml:space="preserve">7.1 Personnel</w:t>
      </w:r>
    </w:p>
    <w:p>
      <w:pPr>
        <w:spacing w:after="160" w:line="300"/>
        <w:jc w:val="both"/>
      </w:pPr>
      <w:r>
        <w:rPr>
          <w:rFonts w:ascii="Calibri" w:cs="Calibri" w:eastAsia="Calibri" w:hAnsi="Calibri"/>
          <w:color w:val="3C4450"/>
          <w:sz w:val="21"/>
          <w:szCs w:val="21"/>
        </w:rPr>
        <w:t xml:space="preserve">Fiches agents (état civil, fonction, grade, type de contrat, service de rattachement, statut), historique de carrière (nominations, mutations, promotions) et documents administratifs archivés (CNI, diplômes, contrats, actes de naissance...) avec suivi des dates d’expiration.</w:t>
      </w:r>
    </w:p>
    <w:p>
      <w:pPr>
        <w:pStyle w:val="Heading3"/>
        <w:spacing w:after="100" w:before="220"/>
      </w:pPr>
      <w:r>
        <w:rPr>
          <w:rFonts w:ascii="Calibri" w:cs="Calibri" w:eastAsia="Calibri" w:hAnsi="Calibri"/>
          <w:b/>
          <w:bCs/>
          <w:color w:val="0B1622"/>
          <w:sz w:val="22"/>
          <w:szCs w:val="22"/>
        </w:rPr>
        <w:t xml:space="preserve">7.2 Cartes professionnelles</w:t>
      </w:r>
    </w:p>
    <w:p>
      <w:pPr>
        <w:spacing w:after="160" w:line="300"/>
        <w:jc w:val="both"/>
      </w:pPr>
      <w:r>
        <w:rPr>
          <w:rFonts w:ascii="Calibri" w:cs="Calibri" w:eastAsia="Calibri" w:hAnsi="Calibri"/>
          <w:color w:val="3C4450"/>
          <w:sz w:val="21"/>
          <w:szCs w:val="21"/>
        </w:rPr>
        <w:t xml:space="preserve">Délivrance, renouvellement et déclaration de perte/vol des cartes professionnelles, avec génération automatique du PDF (avec QR code de vérification), suivi des dates d’expiration (validité de 5 ans) et alerte avant échéance.</w:t>
      </w:r>
    </w:p>
    <w:p>
      <w:pPr>
        <w:pStyle w:val="Heading3"/>
        <w:spacing w:after="100" w:before="220"/>
      </w:pPr>
      <w:r>
        <w:rPr>
          <w:rFonts w:ascii="Calibri" w:cs="Calibri" w:eastAsia="Calibri" w:hAnsi="Calibri"/>
          <w:b/>
          <w:bCs/>
          <w:color w:val="0B1622"/>
          <w:sz w:val="22"/>
          <w:szCs w:val="22"/>
        </w:rPr>
        <w:t xml:space="preserve">7.3 Congés</w:t>
      </w:r>
    </w:p>
    <w:p>
      <w:pPr>
        <w:spacing w:after="160" w:line="300"/>
        <w:jc w:val="both"/>
      </w:pPr>
      <w:r>
        <w:rPr>
          <w:rFonts w:ascii="Calibri" w:cs="Calibri" w:eastAsia="Calibri" w:hAnsi="Calibri"/>
          <w:color w:val="3C4450"/>
          <w:sz w:val="21"/>
          <w:szCs w:val="21"/>
        </w:rPr>
        <w:t xml:space="preserve">Décisions de congé annuel (autorisations formelles avec période de validité) et demandes de jouissance (prise effective de jours de congé annuel, maladie, maternité/paternité, sans solde ou autre), avec pièces justificatives.</w:t>
      </w:r>
    </w:p>
    <w:p>
      <w:pPr>
        <w:pStyle w:val="Heading3"/>
        <w:spacing w:after="100" w:before="220"/>
      </w:pPr>
      <w:r>
        <w:rPr>
          <w:rFonts w:ascii="Calibri" w:cs="Calibri" w:eastAsia="Calibri" w:hAnsi="Calibri"/>
          <w:b/>
          <w:bCs/>
          <w:color w:val="0B1622"/>
          <w:sz w:val="22"/>
          <w:szCs w:val="22"/>
        </w:rPr>
        <w:t xml:space="preserve">7.4 Parc informatique</w:t>
      </w:r>
    </w:p>
    <w:p>
      <w:pPr>
        <w:spacing w:after="160" w:line="300"/>
        <w:jc w:val="both"/>
      </w:pPr>
      <w:r>
        <w:rPr>
          <w:rFonts w:ascii="Calibri" w:cs="Calibri" w:eastAsia="Calibri" w:hAnsi="Calibri"/>
          <w:color w:val="3C4450"/>
          <w:sz w:val="21"/>
          <w:szCs w:val="21"/>
        </w:rPr>
        <w:t xml:space="preserve">Inventaire du matériel (ordinateurs, imprimantes, réseau...), affectation aux agents, suivi des logiciels installés (système d’exploitation, suite bureautique, antivirus) rattachés à des licences enregistrées, maintenance préventive et corrective, et gestion des licences logicielles.</w:t>
      </w:r>
    </w:p>
    <w:p>
      <w:pPr>
        <w:pStyle w:val="Heading3"/>
        <w:spacing w:after="100" w:before="220"/>
      </w:pPr>
      <w:r>
        <w:rPr>
          <w:rFonts w:ascii="Calibri" w:cs="Calibri" w:eastAsia="Calibri" w:hAnsi="Calibri"/>
          <w:b/>
          <w:bCs/>
          <w:color w:val="0B1622"/>
          <w:sz w:val="22"/>
          <w:szCs w:val="22"/>
        </w:rPr>
        <w:t xml:space="preserve">7.5 Tickets d’incident informatique</w:t>
      </w:r>
    </w:p>
    <w:p>
      <w:pPr>
        <w:spacing w:after="160" w:line="300"/>
        <w:jc w:val="both"/>
      </w:pPr>
      <w:r>
        <w:rPr>
          <w:rFonts w:ascii="Calibri" w:cs="Calibri" w:eastAsia="Calibri" w:hAnsi="Calibri"/>
          <w:color w:val="3C4450"/>
          <w:sz w:val="21"/>
          <w:szCs w:val="21"/>
        </w:rPr>
        <w:t xml:space="preserve">Déclaration d’incidents par les agents sur le matériel qui leur est affecté, traitement par le support informatique selon un modèle de support à paliers inspiré d’ITIL (N1/N2/N3), avec priorités et délais cibles de résolution (SLA).</w:t>
      </w:r>
    </w:p>
    <w:p>
      <w:pPr>
        <w:pStyle w:val="Heading3"/>
        <w:spacing w:after="100" w:before="220"/>
      </w:pPr>
      <w:r>
        <w:rPr>
          <w:rFonts w:ascii="Calibri" w:cs="Calibri" w:eastAsia="Calibri" w:hAnsi="Calibri"/>
          <w:b/>
          <w:bCs/>
          <w:color w:val="0B1622"/>
          <w:sz w:val="22"/>
          <w:szCs w:val="22"/>
        </w:rPr>
        <w:t xml:space="preserve">7.6 Parc automobile</w:t>
      </w:r>
    </w:p>
    <w:p>
      <w:pPr>
        <w:spacing w:after="160" w:line="300"/>
        <w:jc w:val="both"/>
      </w:pPr>
      <w:r>
        <w:rPr>
          <w:rFonts w:ascii="Calibri" w:cs="Calibri" w:eastAsia="Calibri" w:hAnsi="Calibri"/>
          <w:color w:val="3C4450"/>
          <w:sz w:val="21"/>
          <w:szCs w:val="21"/>
        </w:rPr>
        <w:t xml:space="preserve">Inventaire des véhicules, affectation aux chauffeurs, suivi du kilométrage, de l’assurance et de la visite technique.</w:t>
      </w:r>
    </w:p>
    <w:p>
      <w:pPr>
        <w:pStyle w:val="Heading3"/>
        <w:spacing w:after="100" w:before="220"/>
      </w:pPr>
      <w:r>
        <w:rPr>
          <w:rFonts w:ascii="Calibri" w:cs="Calibri" w:eastAsia="Calibri" w:hAnsi="Calibri"/>
          <w:b/>
          <w:bCs/>
          <w:color w:val="0B1622"/>
          <w:sz w:val="22"/>
          <w:szCs w:val="22"/>
        </w:rPr>
        <w:t xml:space="preserve">7.7 Documents administratifs et paramétrage</w:t>
      </w:r>
    </w:p>
    <w:p>
      <w:pPr>
        <w:spacing w:after="160" w:line="300"/>
        <w:jc w:val="both"/>
      </w:pPr>
      <w:r>
        <w:rPr>
          <w:rFonts w:ascii="Calibri" w:cs="Calibri" w:eastAsia="Calibri" w:hAnsi="Calibri"/>
          <w:color w:val="3C4450"/>
          <w:sz w:val="21"/>
          <w:szCs w:val="21"/>
        </w:rPr>
        <w:t xml:space="preserve">Archivage des documents des agents et gestion des listes de valeurs paramétrables (types de matériel, états, types de contrat, types de document, priorités de ticket...) sans intervention technique.</w:t>
      </w:r>
    </w:p>
    <w:p>
      <w:pPr>
        <w:pStyle w:val="Heading3"/>
        <w:spacing w:after="100" w:before="220"/>
      </w:pPr>
      <w:r>
        <w:rPr>
          <w:rFonts w:ascii="Calibri" w:cs="Calibri" w:eastAsia="Calibri" w:hAnsi="Calibri"/>
          <w:b/>
          <w:bCs/>
          <w:color w:val="0B1622"/>
          <w:sz w:val="22"/>
          <w:szCs w:val="22"/>
        </w:rPr>
        <w:t xml:space="preserve">7.8 Tableaux de bord</w:t>
      </w:r>
    </w:p>
    <w:p>
      <w:pPr>
        <w:spacing w:after="160" w:line="300"/>
        <w:jc w:val="both"/>
      </w:pPr>
      <w:r>
        <w:rPr>
          <w:rFonts w:ascii="Calibri" w:cs="Calibri" w:eastAsia="Calibri" w:hAnsi="Calibri"/>
          <w:color w:val="3C4450"/>
          <w:sz w:val="21"/>
          <w:szCs w:val="21"/>
        </w:rPr>
        <w:t xml:space="preserve">Quatre tableaux de bord dédiés (Personnel, Congés, Cartes professionnelles, Informatique) avec indicateurs clés, graphiques et alertes sur les échéances à venir.</w:t>
      </w:r>
    </w:p>
    <w:p>
      <w:pPr>
        <w:pStyle w:val="Heading3"/>
        <w:spacing w:after="100" w:before="220"/>
      </w:pPr>
      <w:r>
        <w:rPr>
          <w:rFonts w:ascii="Calibri" w:cs="Calibri" w:eastAsia="Calibri" w:hAnsi="Calibri"/>
          <w:b/>
          <w:bCs/>
          <w:color w:val="0B1622"/>
          <w:sz w:val="22"/>
          <w:szCs w:val="22"/>
        </w:rPr>
        <w:t xml:space="preserve">7.9 Notifications</w:t>
      </w:r>
    </w:p>
    <w:p>
      <w:pPr>
        <w:spacing w:after="160" w:line="300"/>
        <w:jc w:val="both"/>
      </w:pPr>
      <w:r>
        <w:rPr>
          <w:rFonts w:ascii="Calibri" w:cs="Calibri" w:eastAsia="Calibri" w:hAnsi="Calibri"/>
          <w:color w:val="3C4450"/>
          <w:sz w:val="21"/>
          <w:szCs w:val="21"/>
        </w:rPr>
        <w:t xml:space="preserve">Chaque agent reçoit une notification interne lors d’un événement le concernant (traitement d’une demande, changement de statut d’un ticket...), visible dans une cloche de notifications sur le web comme sur mobile.</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8. Workflows clés</w:t>
      </w:r>
    </w:p>
    <w:p>
      <w:pPr>
        <w:pStyle w:val="Heading2"/>
        <w:spacing w:after="140" w:before="280"/>
      </w:pPr>
      <w:r>
        <w:rPr>
          <w:rFonts w:ascii="Calibri" w:cs="Calibri" w:eastAsia="Calibri" w:hAnsi="Calibri"/>
          <w:b/>
          <w:bCs/>
          <w:color w:val="122032"/>
          <w:sz w:val="25"/>
          <w:szCs w:val="25"/>
        </w:rPr>
        <w:t xml:space="preserve">8.1 Demande de carte professionnelle</w:t>
      </w:r>
    </w:p>
    <w:p>
      <w:pPr>
        <w:spacing w:after="160" w:line="300"/>
        <w:jc w:val="both"/>
      </w:pPr>
      <w:r>
        <w:rPr>
          <w:rFonts w:ascii="Calibri" w:cs="Calibri" w:eastAsia="Calibri" w:hAnsi="Calibri"/>
          <w:color w:val="3C4450"/>
          <w:sz w:val="21"/>
          <w:szCs w:val="21"/>
        </w:rPr>
        <w:t xml:space="preserve">L’agent (ou le RH Carte Pro pour son compte) dépose une demande : nouvelle carte, renouvellement ou déclaration de perte/vol (la carte de référence est alors obligatoire).</w:t>
      </w:r>
    </w:p>
    <w:p>
      <w:pPr>
        <w:tabs>
          <w:tab w:val="left" w:pos="400"/>
        </w:tabs>
        <w:spacing w:after="90" w:line="280"/>
        <w:ind w:left="400" w:hanging="320"/>
      </w:pPr>
      <w:r>
        <w:rPr>
          <w:rFonts w:ascii="Calibri" w:cs="Calibri" w:eastAsia="Calibri" w:hAnsi="Calibri"/>
          <w:b/>
          <w:bCs/>
          <w:color w:val="122032"/>
          <w:sz w:val="21"/>
          <w:szCs w:val="21"/>
        </w:rPr>
        <w:t xml:space="preserve">1.	</w:t>
      </w:r>
      <w:r>
        <w:rPr>
          <w:rFonts w:ascii="Calibri" w:cs="Calibri" w:eastAsia="Calibri" w:hAnsi="Calibri"/>
          <w:color w:val="3C4450"/>
          <w:sz w:val="21"/>
          <w:szCs w:val="21"/>
        </w:rPr>
        <w:t xml:space="preserve">Le RH Carte Pro instruit la demande : il transmet le dossier au RH Admin ou le rejette directement (motif consigné).</w:t>
      </w:r>
    </w:p>
    <w:p>
      <w:pPr>
        <w:tabs>
          <w:tab w:val="left" w:pos="400"/>
        </w:tabs>
        <w:spacing w:after="90" w:line="280"/>
        <w:ind w:left="400" w:hanging="320"/>
      </w:pPr>
      <w:r>
        <w:rPr>
          <w:rFonts w:ascii="Calibri" w:cs="Calibri" w:eastAsia="Calibri" w:hAnsi="Calibri"/>
          <w:b/>
          <w:bCs/>
          <w:color w:val="122032"/>
          <w:sz w:val="21"/>
          <w:szCs w:val="21"/>
        </w:rPr>
        <w:t xml:space="preserve">2.	</w:t>
      </w:r>
      <w:r>
        <w:rPr>
          <w:rFonts w:ascii="Calibri" w:cs="Calibri" w:eastAsia="Calibri" w:hAnsi="Calibri"/>
          <w:color w:val="3C4450"/>
          <w:sz w:val="21"/>
          <w:szCs w:val="21"/>
        </w:rPr>
        <w:t xml:space="preserve">Le RH Admin approuve ou rejette la demande transmise. L’approbation crée et valide en une seule étape la carte professionnelle (cachet et signature apposés), aussitôt téléchargeable par l’agent.</w:t>
      </w:r>
    </w:p>
    <w:p>
      <w:pPr>
        <w:pStyle w:val="Heading2"/>
        <w:spacing w:after="140" w:before="280"/>
      </w:pPr>
      <w:r>
        <w:rPr>
          <w:rFonts w:ascii="Calibri" w:cs="Calibri" w:eastAsia="Calibri" w:hAnsi="Calibri"/>
          <w:b/>
          <w:bCs/>
          <w:color w:val="122032"/>
          <w:sz w:val="25"/>
          <w:szCs w:val="25"/>
        </w:rPr>
        <w:t xml:space="preserve">8.2 Congé — décision puis jouissance</w:t>
      </w:r>
    </w:p>
    <w:p>
      <w:pPr>
        <w:spacing w:after="160" w:line="300"/>
        <w:jc w:val="both"/>
      </w:pPr>
      <w:r>
        <w:rPr>
          <w:rFonts w:ascii="Calibri" w:cs="Calibri" w:eastAsia="Calibri" w:hAnsi="Calibri"/>
          <w:color w:val="3C4450"/>
          <w:sz w:val="21"/>
          <w:szCs w:val="21"/>
        </w:rPr>
        <w:t xml:space="preserve">Deux étapes distinctes gèrent le congé annuel :</w:t>
      </w:r>
    </w:p>
    <w:p>
      <w:pPr>
        <w:tabs>
          <w:tab w:val="left" w:pos="400"/>
        </w:tabs>
        <w:spacing w:after="90" w:line="280"/>
        <w:ind w:left="400" w:hanging="320"/>
      </w:pPr>
      <w:r>
        <w:rPr>
          <w:rFonts w:ascii="Calibri" w:cs="Calibri" w:eastAsia="Calibri" w:hAnsi="Calibri"/>
          <w:b/>
          <w:bCs/>
          <w:color w:val="122032"/>
          <w:sz w:val="21"/>
          <w:szCs w:val="21"/>
        </w:rPr>
        <w:t xml:space="preserve">1.	</w:t>
      </w:r>
      <w:r>
        <w:rPr>
          <w:rFonts w:ascii="Calibri" w:cs="Calibri" w:eastAsia="Calibri" w:hAnsi="Calibri"/>
          <w:color w:val="3C4450"/>
          <w:sz w:val="21"/>
          <w:szCs w:val="21"/>
        </w:rPr>
        <w:t xml:space="preserve">Demande de décision : l’agent (ou le RH Congé) sollicite l’octroi d’une décision de congé. Son approbation crée une décision de congé, valable pour une période donnée.</w:t>
      </w:r>
    </w:p>
    <w:p>
      <w:pPr>
        <w:tabs>
          <w:tab w:val="left" w:pos="400"/>
        </w:tabs>
        <w:spacing w:after="90" w:line="280"/>
        <w:ind w:left="400" w:hanging="320"/>
      </w:pPr>
      <w:r>
        <w:rPr>
          <w:rFonts w:ascii="Calibri" w:cs="Calibri" w:eastAsia="Calibri" w:hAnsi="Calibri"/>
          <w:b/>
          <w:bCs/>
          <w:color w:val="122032"/>
          <w:sz w:val="21"/>
          <w:szCs w:val="21"/>
        </w:rPr>
        <w:t xml:space="preserve">2.	</w:t>
      </w:r>
      <w:r>
        <w:rPr>
          <w:rFonts w:ascii="Calibri" w:cs="Calibri" w:eastAsia="Calibri" w:hAnsi="Calibri"/>
          <w:color w:val="3C4450"/>
          <w:sz w:val="21"/>
          <w:szCs w:val="21"/>
        </w:rPr>
        <w:t xml:space="preserve">Demande de jouissance : l’agent sollicite la prise effective de jours, en s’appuyant sur une décision encore valide (obligatoire pour un congé annuel, non requis pour maladie, maternité/paternité, sans solde ou autre). Son approbation crée le congé effectif.</w:t>
      </w:r>
    </w:p>
    <w:p>
      <w:pPr>
        <w:pStyle w:val="Heading2"/>
        <w:spacing w:after="140" w:before="280"/>
      </w:pPr>
      <w:r>
        <w:rPr>
          <w:rFonts w:ascii="Calibri" w:cs="Calibri" w:eastAsia="Calibri" w:hAnsi="Calibri"/>
          <w:b/>
          <w:bCs/>
          <w:color w:val="122032"/>
          <w:sz w:val="25"/>
          <w:szCs w:val="25"/>
        </w:rPr>
        <w:t xml:space="preserve">8.3 Ticket d’incident informatique (modèle à paliers N1/N2/N3)</w:t>
      </w:r>
    </w:p>
    <w:p>
      <w:pPr>
        <w:spacing w:after="160" w:line="300"/>
        <w:jc w:val="both"/>
      </w:pPr>
      <w:r>
        <w:rPr>
          <w:rFonts w:ascii="Calibri" w:cs="Calibri" w:eastAsia="Calibri" w:hAnsi="Calibri"/>
          <w:color w:val="3C4450"/>
          <w:sz w:val="21"/>
          <w:szCs w:val="21"/>
        </w:rPr>
        <w:t xml:space="preserve">L’agent déclare un incident sur un matériel qui lui est affecté (ou le RH/IT le crée pour son compte).</w:t>
      </w:r>
    </w:p>
    <w:p>
      <w:pPr>
        <w:tabs>
          <w:tab w:val="left" w:pos="400"/>
        </w:tabs>
        <w:spacing w:after="90" w:line="280"/>
        <w:ind w:left="400" w:hanging="320"/>
      </w:pPr>
      <w:r>
        <w:rPr>
          <w:rFonts w:ascii="Calibri" w:cs="Calibri" w:eastAsia="Calibri" w:hAnsi="Calibri"/>
          <w:b/>
          <w:bCs/>
          <w:color w:val="122032"/>
          <w:sz w:val="21"/>
          <w:szCs w:val="21"/>
        </w:rPr>
        <w:t xml:space="preserve">1.	</w:t>
      </w:r>
      <w:r>
        <w:rPr>
          <w:rFonts w:ascii="Calibri" w:cs="Calibri" w:eastAsia="Calibri" w:hAnsi="Calibri"/>
          <w:color w:val="3C4450"/>
          <w:sz w:val="21"/>
          <w:szCs w:val="21"/>
        </w:rPr>
        <w:t xml:space="preserve">Le support informatique (ROLE_IT_TICKETS) prend en charge le ticket, puis le résout ou le refuse (motif consigné).</w:t>
      </w:r>
    </w:p>
    <w:p>
      <w:pPr>
        <w:tabs>
          <w:tab w:val="left" w:pos="400"/>
        </w:tabs>
        <w:spacing w:after="90" w:line="280"/>
        <w:ind w:left="400" w:hanging="320"/>
      </w:pPr>
      <w:r>
        <w:rPr>
          <w:rFonts w:ascii="Calibri" w:cs="Calibri" w:eastAsia="Calibri" w:hAnsi="Calibri"/>
          <w:b/>
          <w:bCs/>
          <w:color w:val="122032"/>
          <w:sz w:val="21"/>
          <w:szCs w:val="21"/>
        </w:rPr>
        <w:t xml:space="preserve">2.	</w:t>
      </w:r>
      <w:r>
        <w:rPr>
          <w:rFonts w:ascii="Calibri" w:cs="Calibri" w:eastAsia="Calibri" w:hAnsi="Calibri"/>
          <w:color w:val="3C4450"/>
          <w:sz w:val="21"/>
          <w:szCs w:val="21"/>
        </w:rPr>
        <w:t xml:space="preserve">Un ticket peut être escaladé vers un palier supérieur (N1 → N2 → N3) lorsqu’il dépasse la compétence du palier courant ; chaque escalade est historisée.</w:t>
      </w:r>
    </w:p>
    <w:p>
      <w:pPr>
        <w:tabs>
          <w:tab w:val="left" w:pos="400"/>
        </w:tabs>
        <w:spacing w:after="90" w:line="280"/>
        <w:ind w:left="400" w:hanging="320"/>
      </w:pPr>
      <w:r>
        <w:rPr>
          <w:rFonts w:ascii="Calibri" w:cs="Calibri" w:eastAsia="Calibri" w:hAnsi="Calibri"/>
          <w:b/>
          <w:bCs/>
          <w:color w:val="122032"/>
          <w:sz w:val="21"/>
          <w:szCs w:val="21"/>
        </w:rPr>
        <w:t xml:space="preserve">3.	</w:t>
      </w:r>
      <w:r>
        <w:rPr>
          <w:rFonts w:ascii="Calibri" w:cs="Calibri" w:eastAsia="Calibri" w:hAnsi="Calibri"/>
          <w:color w:val="3C4450"/>
          <w:sz w:val="21"/>
          <w:szCs w:val="21"/>
        </w:rPr>
        <w:t xml:space="preserve">Le responsable informatique (ROLE_IT_RESPONSABLE) valide et clôture un ticket résolu, ou le rouvre s’il n’est pas satisfait de la résolution proposée.</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Un délai cible de résolution (SLA) est calculé automatiquement selon la priorité du ticket (critique : 4h, haute : 24h, normale : 72h, basse : 120h) et affiché au technicien comme au responsable.</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9. Statuts et cycles de vie</w:t>
      </w:r>
    </w:p>
    <w:p>
      <w:pPr>
        <w:pStyle w:val="Heading2"/>
        <w:spacing w:after="140" w:before="280"/>
      </w:pPr>
      <w:r>
        <w:rPr>
          <w:rFonts w:ascii="Calibri" w:cs="Calibri" w:eastAsia="Calibri" w:hAnsi="Calibri"/>
          <w:b/>
          <w:bCs/>
          <w:color w:val="122032"/>
          <w:sz w:val="25"/>
          <w:szCs w:val="25"/>
        </w:rPr>
        <w:t xml:space="preserve">9.1 Demande de carte professionnelle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Statut</w:t>
            </w:r>
          </w:p>
        </w:tc>
        <w:tc>
          <w:tcPr>
            <w:tcW w:type="dxa" w:w="59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Signification</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En attente</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Demande déposée, non encore instruite par le RH Carte Pro.</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Transmise au RH Admin</w:t>
            </w:r>
          </w:p>
        </w:tc>
        <w:tc>
          <w:tcPr>
            <w:tcW w:type="dxa" w:w="59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Instruite favorablement par le RH Carte Pro, en attente d’approbation.</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Approuvée</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Validée par le RH Admin ; la carte professionnelle a été créée.</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Refusée</w:t>
            </w:r>
          </w:p>
        </w:tc>
        <w:tc>
          <w:tcPr>
            <w:tcW w:type="dxa" w:w="59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Rejetée (par le RH Carte Pro ou le RH Admin), aucune carte créée.</w:t>
            </w:r>
          </w:p>
        </w:tc>
      </w:tr>
    </w:tbl>
    <w:p>
      <w:pPr>
        <w:spacing w:after="120"/>
      </w:pPr>
    </w:p>
    <w:p>
      <w:pPr>
        <w:pStyle w:val="Heading2"/>
        <w:spacing w:after="140" w:before="280"/>
      </w:pPr>
      <w:r>
        <w:rPr>
          <w:rFonts w:ascii="Calibri" w:cs="Calibri" w:eastAsia="Calibri" w:hAnsi="Calibri"/>
          <w:b/>
          <w:bCs/>
          <w:color w:val="122032"/>
          <w:sz w:val="25"/>
          <w:szCs w:val="25"/>
        </w:rPr>
        <w:t xml:space="preserve">9.2 Demandes de décision et de jouissance de congé</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Statut</w:t>
            </w:r>
          </w:p>
        </w:tc>
        <w:tc>
          <w:tcPr>
            <w:tcW w:type="dxa" w:w="59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Signification</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En attente</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Demande déposée, non encore traitée.</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Approuvée</w:t>
            </w:r>
          </w:p>
        </w:tc>
        <w:tc>
          <w:tcPr>
            <w:tcW w:type="dxa" w:w="59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Approuvée ; la décision ou le congé correspondant a été créé.</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Refusée</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Rejetée, aucune décision ni congé créé.</w:t>
            </w:r>
          </w:p>
        </w:tc>
      </w:tr>
    </w:tbl>
    <w:p>
      <w:pPr>
        <w:spacing w:after="120"/>
      </w:pPr>
    </w:p>
    <w:p>
      <w:pPr>
        <w:pStyle w:val="Heading2"/>
        <w:spacing w:after="140" w:before="280"/>
      </w:pPr>
      <w:r>
        <w:rPr>
          <w:rFonts w:ascii="Calibri" w:cs="Calibri" w:eastAsia="Calibri" w:hAnsi="Calibri"/>
          <w:b/>
          <w:bCs/>
          <w:color w:val="122032"/>
          <w:sz w:val="25"/>
          <w:szCs w:val="25"/>
        </w:rPr>
        <w:t xml:space="preserve">9.3 Carte professionnelle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Statut</w:t>
            </w:r>
          </w:p>
        </w:tc>
        <w:tc>
          <w:tcPr>
            <w:tcW w:type="dxa" w:w="59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Signification</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Valide</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Carte en cours de validité (5 ans à compter de la délivrance).</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Expire bientôt</w:t>
            </w:r>
          </w:p>
        </w:tc>
        <w:tc>
          <w:tcPr>
            <w:tcW w:type="dxa" w:w="59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Valide mais expire dans moins de 60 jours (calculé, pas stocké).</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Expirée</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Date d’expiration dépassée.</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Perdue / Volée</w:t>
            </w:r>
          </w:p>
        </w:tc>
        <w:tc>
          <w:tcPr>
            <w:tcW w:type="dxa" w:w="59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Déclarée perdue ou volée par l’agent.</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Annulée</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Annulée par le RH.</w:t>
            </w:r>
          </w:p>
        </w:tc>
      </w:tr>
    </w:tbl>
    <w:p>
      <w:pPr>
        <w:spacing w:after="120"/>
      </w:pPr>
    </w:p>
    <w:p>
      <w:pPr>
        <w:pStyle w:val="Heading2"/>
        <w:spacing w:after="140" w:before="280"/>
      </w:pPr>
      <w:r>
        <w:rPr>
          <w:rFonts w:ascii="Calibri" w:cs="Calibri" w:eastAsia="Calibri" w:hAnsi="Calibri"/>
          <w:b/>
          <w:bCs/>
          <w:color w:val="122032"/>
          <w:sz w:val="25"/>
          <w:szCs w:val="25"/>
        </w:rPr>
        <w:t xml:space="preserve">9.4 Ticket d’incident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Statut</w:t>
            </w:r>
          </w:p>
        </w:tc>
        <w:tc>
          <w:tcPr>
            <w:tcW w:type="dxa" w:w="59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Signification</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Ouvert</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Ticket créé, non encore pris en charge.</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En cours</w:t>
            </w:r>
          </w:p>
        </w:tc>
        <w:tc>
          <w:tcPr>
            <w:tcW w:type="dxa" w:w="59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Pris en charge par le support informatique.</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Résolu</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Résolu par le technicien, en attente de validation du responsable.</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Clôturé</w:t>
            </w:r>
          </w:p>
        </w:tc>
        <w:tc>
          <w:tcPr>
            <w:tcW w:type="dxa" w:w="59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Validé et clos par le responsable informatique.</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Refusé</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Refusé par le technicien (motif consigné).</w:t>
            </w:r>
          </w:p>
        </w:tc>
      </w:tr>
    </w:tbl>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10. Historique des évolutions du projet</w:t>
      </w:r>
    </w:p>
    <w:p>
      <w:pPr>
        <w:spacing w:after="160" w:line="300"/>
        <w:jc w:val="both"/>
      </w:pPr>
      <w:r>
        <w:rPr>
          <w:rFonts w:ascii="Calibri" w:cs="Calibri" w:eastAsia="Calibri" w:hAnsi="Calibri"/>
          <w:color w:val="3C4450"/>
          <w:sz w:val="21"/>
          <w:szCs w:val="21"/>
        </w:rPr>
        <w:t xml:space="preserve">GERM est un projet en évolution continue. Les grandes étapes de sa construction sont résumées ci-dessous, de la première mise en service au périmètre actuel ; cette section est complétée à chaque évolution majeure.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Étape</w:t>
            </w:r>
          </w:p>
        </w:tc>
        <w:tc>
          <w:tcPr>
            <w:tcW w:type="dxa" w:w="65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Contenu</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Fondations</w:t>
            </w:r>
          </w:p>
        </w:tc>
        <w:tc>
          <w:tcPr>
            <w:tcW w:type="dxa" w:w="65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Application superadministrateur : hiérarchie Direction/Service, listes de valeurs paramétrables, tableau de bord avec import CSV/XLSX en masse.</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Carrière &amp; congés</w:t>
            </w:r>
          </w:p>
        </w:tc>
        <w:tc>
          <w:tcPr>
            <w:tcW w:type="dxa" w:w="65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Suivi de l’historique de carrière, gestion des congés, des cartes professionnelles, hiérarchie des rôles RH et délégation temporaire.</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Front-office Angular</w:t>
            </w:r>
          </w:p>
        </w:tc>
        <w:tc>
          <w:tcPr>
            <w:tcW w:type="dxa" w:w="65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Fondation Angular/API Platform, stockage SFTP, génération du PDF de carte professionnelle.</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Libre-service agent</w:t>
            </w:r>
          </w:p>
        </w:tc>
        <w:tc>
          <w:tcPr>
            <w:tcW w:type="dxa" w:w="65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Bascule du libre-service RH vers Angular, workflow de validation RH, demandes et notifications pour les agents.</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Documents &amp; finitions</w:t>
            </w:r>
          </w:p>
        </w:tc>
        <w:tc>
          <w:tcPr>
            <w:tcW w:type="dxa" w:w="65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Gestion des documents administratifs, mise en cohérence du thème visuel de l’application (Gentelella/Bootstrap).</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Volet informatique</w:t>
            </w:r>
          </w:p>
        </w:tc>
        <w:tc>
          <w:tcPr>
            <w:tcW w:type="dxa" w:w="65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Gestion du parc informatique (matériel, affectations, maintenance), tickets d’incident, tableaux de bord d’activité, séparation des profils IT Stock / IT Tickets, escalade ITIL N1/N2/N3.</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Consolidation du parc IT</w:t>
            </w:r>
          </w:p>
        </w:tc>
        <w:tc>
          <w:tcPr>
            <w:tcW w:type="dxa" w:w="65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Rattachement des logiciels installés à des licences précises, planification de la maintenance préventive.</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Refonte de l’interface &amp; import</w:t>
            </w:r>
          </w:p>
        </w:tc>
        <w:tc>
          <w:tcPr>
            <w:tcW w:type="dxa" w:w="65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Refonte de l’interface Angular (tableaux dynamiques, gestion de fichiers, navigation, profil), génération de modèles d’import Excel natifs, import depuis Google Sheets.</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Tableaux de bord interactifs</w:t>
            </w:r>
          </w:p>
        </w:tc>
        <w:tc>
          <w:tcPr>
            <w:tcW w:type="dxa" w:w="65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Graphiques interactifs sur les tableaux de bord et fiabilisation de la session utilisateur.</w:t>
            </w:r>
          </w:p>
        </w:tc>
      </w:tr>
    </w:tbl>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11. Limites connues et pistes d’évolution</w:t>
      </w:r>
    </w:p>
    <w:p>
      <w:pPr>
        <w:pStyle w:val="ListParagraph"/>
        <w:numPr>
          <w:ilvl w:val="0"/>
          <w:numId w:val="2"/>
        </w:numPr>
        <w:spacing w:after="90" w:line="280"/>
      </w:pPr>
      <w:r>
        <w:rPr>
          <w:rFonts w:ascii="Calibri" w:cs="Calibri" w:eastAsia="Calibri" w:hAnsi="Calibri"/>
          <w:color w:val="3C4450"/>
          <w:sz w:val="21"/>
          <w:szCs w:val="21"/>
        </w:rPr>
        <w:t xml:space="preserve">L’adresse du serveur utilisée par l’application mobile doit être configurée par la DSI avant toute distribution à grande échelle (certificat et domaine public du back-end).</w:t>
      </w:r>
    </w:p>
    <w:p>
      <w:pPr>
        <w:pStyle w:val="ListParagraph"/>
        <w:numPr>
          <w:ilvl w:val="0"/>
          <w:numId w:val="2"/>
        </w:numPr>
        <w:spacing w:after="90" w:line="280"/>
      </w:pPr>
      <w:r>
        <w:rPr>
          <w:rFonts w:ascii="Calibri" w:cs="Calibri" w:eastAsia="Calibri" w:hAnsi="Calibri"/>
          <w:color w:val="3C4450"/>
          <w:sz w:val="21"/>
          <w:szCs w:val="21"/>
        </w:rPr>
        <w:t xml:space="preserve">Le parc automobile n’est pas encore couvert par un workflow de demande/validation comparable aux congés ou aux cartes professionnelles : la gestion reste administrative (CRUD).</w:t>
      </w:r>
    </w:p>
    <w:p>
      <w:pPr>
        <w:pStyle w:val="ListParagraph"/>
        <w:numPr>
          <w:ilvl w:val="0"/>
          <w:numId w:val="2"/>
        </w:numPr>
        <w:spacing w:after="90" w:line="280"/>
      </w:pPr>
      <w:r>
        <w:rPr>
          <w:rFonts w:ascii="Calibri" w:cs="Calibri" w:eastAsia="Calibri" w:hAnsi="Calibri"/>
          <w:color w:val="3C4450"/>
          <w:sz w:val="21"/>
          <w:szCs w:val="21"/>
        </w:rPr>
        <w:t xml:space="preserve">L’interface superadministrateur historique (Twig) n’est conservée qu’en secours technique ; l’essentiel des évolutions futures porte sur le front-office Angular.</w:t>
      </w:r>
    </w:p>
    <w:p>
      <w:pPr>
        <w:pStyle w:val="ListParagraph"/>
        <w:numPr>
          <w:ilvl w:val="0"/>
          <w:numId w:val="2"/>
        </w:numPr>
        <w:spacing w:after="90" w:line="280"/>
      </w:pPr>
      <w:r>
        <w:rPr>
          <w:rFonts w:ascii="Calibri" w:cs="Calibri" w:eastAsia="Calibri" w:hAnsi="Calibri"/>
          <w:color w:val="3C4450"/>
          <w:sz w:val="21"/>
          <w:szCs w:val="21"/>
        </w:rPr>
        <w:t xml:space="preserve">Pistes envisageables : export PDF/Excel enrichi des listes, journalisation détaillée des actions d’administration (audit trail), extension du modèle de workflow au parc automobile.</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12. Glossaire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Terme</w:t>
            </w:r>
          </w:p>
        </w:tc>
        <w:tc>
          <w:tcPr>
            <w:tcW w:type="dxa" w:w="65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Définition</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Agent</w:t>
            </w:r>
          </w:p>
        </w:tc>
        <w:tc>
          <w:tcPr>
            <w:tcW w:type="dxa" w:w="65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Personnel du Ministère, avec ou sans compte de connexion à GERM.</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Décision de congé</w:t>
            </w:r>
          </w:p>
        </w:tc>
        <w:tc>
          <w:tcPr>
            <w:tcW w:type="dxa" w:w="65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Autorisation formelle de congé annuel, valable pour une période donnée.</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Demande de jouissance</w:t>
            </w:r>
          </w:p>
        </w:tc>
        <w:tc>
          <w:tcPr>
            <w:tcW w:type="dxa" w:w="65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Demande de prise effective de jours de congé, éventuellement adossée à une décision.</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ITIL</w:t>
            </w:r>
          </w:p>
        </w:tc>
        <w:tc>
          <w:tcPr>
            <w:tcW w:type="dxa" w:w="65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Référentiel de bonnes pratiques de gestion des services informatiques (ici, modèle de support à paliers N1/N2/N3).</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Liste de valeurs</w:t>
            </w:r>
          </w:p>
        </w:tc>
        <w:tc>
          <w:tcPr>
            <w:tcW w:type="dxa" w:w="65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Liste paramétrable (types, états, priorités...) modifiable par le superadministrateur sans développement.</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Mon espace</w:t>
            </w:r>
          </w:p>
        </w:tc>
        <w:tc>
          <w:tcPr>
            <w:tcW w:type="dxa" w:w="65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Espace personnel en libre-service de chaque agent connecté.</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SLA</w:t>
            </w:r>
          </w:p>
        </w:tc>
        <w:tc>
          <w:tcPr>
            <w:tcW w:type="dxa" w:w="65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Délai cible de résolution d’un ticket, calculé selon sa priorité.</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Superadministrateur</w:t>
            </w:r>
          </w:p>
        </w:tc>
        <w:tc>
          <w:tcPr>
            <w:tcW w:type="dxa" w:w="65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Compte technique disposant de tous les droits, y compris l’accès à l’interface Twig de secours.</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C4450"/>
        <w:sz w:val="16"/>
        <w:szCs w:val="16"/>
      </w:rPr>
      <w:t xml:space="preserve">GERM — Ministère de l'Industrie et du Commerce</w:t>
    </w:r>
    <w:r>
      <w:rPr>
        <w:rFonts w:ascii="Calibri" w:cs="Calibri" w:eastAsia="Calibri" w:hAnsi="Calibri"/>
        <w:color w:val="3C4450"/>
        <w:sz w:val="16"/>
        <w:szCs w:val="16"/>
      </w:rPr>
      <w:t xml:space="preserve">   |   Page </w:t>
    </w:r>
    <w:r>
      <w:rPr>
        <w:rFonts w:ascii="Calibri" w:cs="Calibri" w:eastAsia="Calibri" w:hAnsi="Calibri"/>
        <w:color w:val="3C4450"/>
        <w:sz w:val="16"/>
        <w:szCs w:val="16"/>
      </w:rPr>
      <w:fldChar w:fldCharType="begin"/>
      <w:instrText xml:space="preserve">PAGE</w:instrText>
      <w:fldChar w:fldCharType="separate"/>
      <w:fldChar w:fldCharType="end"/>
    </w:r>
    <w:r>
      <w:rPr>
        <w:rFonts w:ascii="Calibri" w:cs="Calibri" w:eastAsia="Calibri" w:hAnsi="Calibri"/>
        <w:color w:val="3C4450"/>
        <w:sz w:val="16"/>
        <w:szCs w:val="16"/>
      </w:rPr>
      <w:t xml:space="preserve"> / </w:t>
    </w:r>
    <w:r>
      <w:rPr>
        <w:rFonts w:ascii="Calibri" w:cs="Calibri" w:eastAsia="Calibri" w:hAnsi="Calibri"/>
        <w:color w:val="3C445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1" w:sz="4" w:space="4"/>
      </w:pBdr>
      <w:jc w:val="right"/>
    </w:pPr>
    <w:r>
      <w:rPr>
        <w:rFonts w:ascii="Calibri" w:cs="Calibri" w:eastAsia="Calibri" w:hAnsi="Calibri"/>
        <w:i/>
        <w:iCs/>
        <w:color w:val="3C4450"/>
        <w:sz w:val="16"/>
        <w:szCs w:val="16"/>
      </w:rPr>
      <w:t xml:space="preserve">Documentation du projet GERM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bbde1a076aeaa1819b0c6b4c8adef5106c639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2026-08-16T21:23:36.959Z</dcterms:created>
  <dcterms:modified xsi:type="dcterms:W3CDTF">2026-08-16T21:23:36.959Z</dcterms:modified>
</cp:coreProperties>
</file>

<file path=docProps/custom.xml><?xml version="1.0" encoding="utf-8"?>
<Properties xmlns="http://schemas.openxmlformats.org/officeDocument/2006/custom-properties" xmlns:vt="http://schemas.openxmlformats.org/officeDocument/2006/docPropsVTypes"/>
</file>