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pPr>
      <w:r>
        <w:t xml:space="preserve"/>
      </w:r>
    </w:p>
    <w:p>
      <w:pPr>
        <w:spacing w:line="360" w:lineRule="auto"/>
      </w:pPr>
      <w:r>
        <w:t xml:space="preserve"/>
      </w:r>
    </w:p>
    <w:p>
      <w:pPr>
        <w:spacing w:line="360" w:lineRule="auto"/>
      </w:pPr>
      <w:r>
        <w:t xml:space="preserve"/>
      </w:r>
    </w:p>
    <w:p>
      <w:pPr>
        <w:spacing w:after="240" w:before="0" w:line="360" w:lineRule="auto"/>
        <w:jc w:val="center"/>
      </w:pPr>
      <w:r>
        <w:rPr>
          <w:rFonts w:ascii="Times New Roman" w:cs="Times New Roman" w:eastAsia="Times New Roman" w:hAnsi="Times New Roman"/>
          <w:sz w:val="28"/>
          <w:szCs w:val="28"/>
        </w:rPr>
        <w:t xml:space="preserve">CITY College,</w:t>
      </w:r>
    </w:p>
    <w:p>
      <w:pPr>
        <w:spacing w:after="240" w:before="0" w:line="360" w:lineRule="auto"/>
        <w:jc w:val="center"/>
      </w:pPr>
      <w:r>
        <w:rPr>
          <w:rFonts w:ascii="Times New Roman" w:cs="Times New Roman" w:eastAsia="Times New Roman" w:hAnsi="Times New Roman"/>
          <w:sz w:val="28"/>
          <w:szCs w:val="28"/>
        </w:rPr>
        <w:t xml:space="preserve">University of York Europe Campus</w:t>
      </w:r>
    </w:p>
    <w:p>
      <w:pPr>
        <w:spacing w:line="360" w:lineRule="auto"/>
      </w:pPr>
      <w:r>
        <w:t xml:space="preserve"/>
      </w:r>
    </w:p>
    <w:p>
      <w:pPr>
        <w:spacing w:line="360" w:lineRule="auto"/>
      </w:pPr>
      <w:r>
        <w:t xml:space="preserve"/>
      </w:r>
    </w:p>
    <w:p>
      <w:pPr>
        <w:spacing w:after="240" w:before="0" w:line="360" w:lineRule="auto"/>
        <w:jc w:val="center"/>
      </w:pPr>
      <w:r>
        <w:rPr>
          <w:rFonts w:ascii="Times New Roman" w:cs="Times New Roman" w:eastAsia="Times New Roman" w:hAnsi="Times New Roman"/>
          <w:sz w:val="28"/>
          <w:szCs w:val="28"/>
        </w:rPr>
        <w:t xml:space="preserve">Computer Science Department</w:t>
      </w:r>
    </w:p>
    <w:p>
      <w:pPr>
        <w:spacing w:line="360" w:lineRule="auto"/>
      </w:pPr>
      <w:r>
        <w:t xml:space="preserve"/>
      </w:r>
    </w:p>
    <w:p>
      <w:pPr>
        <w:spacing w:line="360" w:lineRule="auto"/>
      </w:pPr>
      <w:r>
        <w:t xml:space="preserve"/>
      </w:r>
    </w:p>
    <w:p>
      <w:pPr>
        <w:spacing w:line="360" w:lineRule="auto"/>
      </w:pPr>
      <w:r>
        <w:t xml:space="preserve"/>
      </w:r>
    </w:p>
    <w:p>
      <w:pPr>
        <w:spacing w:after="240" w:before="0" w:line="360" w:lineRule="auto"/>
        <w:jc w:val="center"/>
      </w:pPr>
      <w:r>
        <w:rPr>
          <w:rFonts w:ascii="Times New Roman" w:cs="Times New Roman" w:eastAsia="Times New Roman" w:hAnsi="Times New Roman"/>
          <w:sz w:val="28"/>
          <w:szCs w:val="28"/>
        </w:rPr>
        <w:t xml:space="preserve">UNDERGRADUATE INDIVIDUAL PROJECT</w:t>
      </w:r>
    </w:p>
    <w:p>
      <w:pPr>
        <w:spacing w:line="360" w:lineRule="auto"/>
      </w:pPr>
      <w:r>
        <w:t xml:space="preserve"/>
      </w:r>
    </w:p>
    <w:p>
      <w:pPr>
        <w:spacing w:line="360" w:lineRule="auto"/>
      </w:pPr>
      <w:r>
        <w:t xml:space="preserve"/>
      </w:r>
    </w:p>
    <w:p>
      <w:pPr>
        <w:spacing w:after="240" w:before="0" w:line="360" w:lineRule="auto"/>
        <w:jc w:val="center"/>
      </w:pPr>
      <w:r>
        <w:rPr>
          <w:rFonts w:ascii="Times New Roman" w:cs="Times New Roman" w:eastAsia="Times New Roman" w:hAnsi="Times New Roman"/>
          <w:b/>
          <w:bCs/>
          <w:sz w:val="36"/>
          <w:szCs w:val="36"/>
        </w:rPr>
        <w:t xml:space="preserve">SnapPark: An Intelligent Microservices-Based</w:t>
      </w:r>
    </w:p>
    <w:p>
      <w:pPr>
        <w:spacing w:after="240" w:before="0" w:line="360" w:lineRule="auto"/>
        <w:jc w:val="center"/>
      </w:pPr>
      <w:r>
        <w:rPr>
          <w:rFonts w:ascii="Times New Roman" w:cs="Times New Roman" w:eastAsia="Times New Roman" w:hAnsi="Times New Roman"/>
          <w:b/>
          <w:bCs/>
          <w:sz w:val="36"/>
          <w:szCs w:val="36"/>
        </w:rPr>
        <w:t xml:space="preserve">Parking Violation Detection System</w:t>
      </w:r>
    </w:p>
    <w:p>
      <w:pPr>
        <w:spacing w:line="360" w:lineRule="auto"/>
      </w:pPr>
      <w:r>
        <w:t xml:space="preserve"/>
      </w:r>
    </w:p>
    <w:p>
      <w:pPr>
        <w:spacing w:line="360" w:lineRule="auto"/>
      </w:pPr>
      <w:r>
        <w:t xml:space="preserve"/>
      </w:r>
    </w:p>
    <w:p>
      <w:pPr>
        <w:spacing w:line="360" w:lineRule="auto"/>
      </w:pPr>
      <w:r>
        <w:t xml:space="preserve"/>
      </w:r>
    </w:p>
    <w:p>
      <w:pPr>
        <w:spacing w:after="240" w:before="0" w:line="360" w:lineRule="auto"/>
        <w:jc w:val="center"/>
      </w:pPr>
      <w:r>
        <w:rPr>
          <w:rFonts w:ascii="Times New Roman" w:cs="Times New Roman" w:eastAsia="Times New Roman" w:hAnsi="Times New Roman"/>
          <w:sz w:val="24"/>
          <w:szCs w:val="24"/>
        </w:rPr>
        <w:t xml:space="preserve">This report is submitted in partial fulfilment of the requirement</w:t>
      </w:r>
    </w:p>
    <w:p>
      <w:pPr>
        <w:spacing w:after="240" w:before="0" w:line="360" w:lineRule="auto"/>
        <w:jc w:val="center"/>
      </w:pPr>
      <w:r>
        <w:rPr>
          <w:rFonts w:ascii="Times New Roman" w:cs="Times New Roman" w:eastAsia="Times New Roman" w:hAnsi="Times New Roman"/>
          <w:sz w:val="24"/>
          <w:szCs w:val="24"/>
        </w:rPr>
        <w:t xml:space="preserve">for the degree of Bachelors in Computer Science with Honours by</w:t>
      </w:r>
    </w:p>
    <w:p>
      <w:pPr>
        <w:spacing w:line="360" w:lineRule="auto"/>
      </w:pPr>
      <w:r>
        <w:t xml:space="preserve"/>
      </w:r>
    </w:p>
    <w:p>
      <w:pPr>
        <w:spacing w:line="360" w:lineRule="auto"/>
      </w:pPr>
      <w:r>
        <w:t xml:space="preserve"/>
      </w:r>
    </w:p>
    <w:p>
      <w:pPr>
        <w:spacing w:after="240" w:before="0" w:line="360" w:lineRule="auto"/>
        <w:jc w:val="center"/>
      </w:pPr>
      <w:r>
        <w:rPr>
          <w:rFonts w:ascii="Times New Roman" w:cs="Times New Roman" w:eastAsia="Times New Roman" w:hAnsi="Times New Roman"/>
          <w:b/>
          <w:bCs/>
          <w:sz w:val="32"/>
          <w:szCs w:val="32"/>
        </w:rPr>
        <w:t xml:space="preserve">Drin Ismaili</w:t>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240" w:before="0" w:line="360" w:lineRule="auto"/>
        <w:jc w:val="center"/>
      </w:pPr>
      <w:r>
        <w:rPr>
          <w:rFonts w:ascii="Times New Roman" w:cs="Times New Roman" w:eastAsia="Times New Roman" w:hAnsi="Times New Roman"/>
          <w:sz w:val="24"/>
          <w:szCs w:val="24"/>
        </w:rPr>
        <w:t xml:space="preserve">May, 2026</w:t>
      </w:r>
    </w:p>
    <w:p>
      <w:pPr>
        <w:spacing w:line="360" w:lineRule="auto"/>
      </w:pPr>
      <w:r>
        <w:t xml:space="preserve"/>
      </w:r>
    </w:p>
    <w:p>
      <w:pPr>
        <w:spacing w:line="360" w:lineRule="auto"/>
      </w:pPr>
      <w:r>
        <w:t xml:space="preserve"/>
      </w:r>
    </w:p>
    <w:p>
      <w:pPr>
        <w:spacing w:after="240" w:before="0" w:line="360" w:lineRule="auto"/>
        <w:jc w:val="center"/>
      </w:pPr>
      <w:r>
        <w:rPr>
          <w:rFonts w:ascii="Times New Roman" w:cs="Times New Roman" w:eastAsia="Times New Roman" w:hAnsi="Times New Roman"/>
          <w:sz w:val="24"/>
          <w:szCs w:val="24"/>
        </w:rPr>
        <w:t xml:space="preserve">Supervised by Dr. Simeon Veloudis</w:t>
      </w:r>
    </w:p>
    <w:p>
      <w:pPr>
        <w:pageBreakBefore/>
        <w:spacing w:after="360" w:before="0"/>
        <w:jc w:val="left"/>
      </w:pPr>
      <w:r>
        <w:rPr>
          <w:rFonts w:ascii="Times New Roman" w:cs="Times New Roman" w:eastAsia="Times New Roman" w:hAnsi="Times New Roman"/>
          <w:b/>
          <w:bCs/>
          <w:sz w:val="36"/>
          <w:szCs w:val="36"/>
        </w:rPr>
        <w:t xml:space="preserve">Abstract</w:t>
      </w:r>
    </w:p>
    <w:p>
      <w:pPr>
        <w:spacing w:after="180" w:line="360" w:lineRule="auto"/>
        <w:jc w:val="both"/>
      </w:pPr>
      <w:r>
        <w:rPr>
          <w:rFonts w:ascii="Times New Roman" w:cs="Times New Roman" w:eastAsia="Times New Roman" w:hAnsi="Times New Roman"/>
          <w:sz w:val="24"/>
          <w:szCs w:val="24"/>
        </w:rPr>
        <w:t xml:space="preserve">Urban environments are experiencing an unprecedented growth in vehicle density that has, in turn, produced a corresponding rise in the incidence of illegally parked cars: vehicles obstructing pedestrian crossings, sidewalks, bus stops, and emergency-vehicle access routes. Traditional enforcement, which depends on the physical presence of traffic wardens, is structurally limited by manpower, by time of day, and by geographical reach. This dissertation presents SnapPark, a microservices-based platform that empowers citizens to report suspected parking violations by uploading a photograph from their mobile or desktop device, after which the image is automatically analysed by a vision-capable Large Language Model and a structured, human-readable verdict is returned. The platform is constructed around three independent microservices — Authentication, Violation Analysis, and Notification — that sit behind a single API Gateway, follow the Database-per-Service pattern, and communicate asynchronously through a RabbitMQ topic exchange so that the user-facing analysis flow is decoupled from auxiliary processes such as notification dispatch and audit logging. The Violation Analysis Service is further hardened by an orchestrated Saga that persists state at every step and runs compensating actions in reverse on failure, while a pgvector-backed semantic similarity index allows past cases with similar AI verdicts to be retrieved through cosine distance. A Next.js web client gives citizens a responsive interface for reporting and reviewing cases, and a separate administrative view supports report-to-authority workflows. The present report begins by examining the literature underpinning the architectural decisions, formalises the functional and non-functional requirements, and then documents the incremental delivery of the system across four well-bounded increments. The final chapters provide an evaluation of the system against the objectives stated at the outset, supported by a complete IEEE-982 coverage analysis across all four metrics, and conclude with a discussion of the principal challenges encountered, the lessons learned, and a roadmap for future work. The project demonstrates that a modern microservices architecture, combined with a generative AI back-end, is a viable, well-engineered, and extensible foundation for a civic-technology platform of practical relevance.</w:t>
      </w:r>
    </w:p>
    <w:p>
      <w:pPr>
        <w:pageBreakBefore/>
        <w:spacing w:after="360" w:before="0"/>
        <w:jc w:val="left"/>
      </w:pPr>
      <w:r>
        <w:rPr>
          <w:rFonts w:ascii="Times New Roman" w:cs="Times New Roman" w:eastAsia="Times New Roman" w:hAnsi="Times New Roman"/>
          <w:b/>
          <w:bCs/>
          <w:sz w:val="36"/>
          <w:szCs w:val="36"/>
        </w:rPr>
        <w:t xml:space="preserve">Declaration</w:t>
      </w:r>
    </w:p>
    <w:p>
      <w:pPr>
        <w:spacing w:after="180" w:line="360" w:lineRule="auto"/>
        <w:jc w:val="both"/>
      </w:pPr>
      <w:r>
        <w:rPr>
          <w:rFonts w:ascii="Times New Roman" w:cs="Times New Roman" w:eastAsia="Times New Roman" w:hAnsi="Times New Roman"/>
          <w:sz w:val="24"/>
          <w:szCs w:val="24"/>
        </w:rPr>
        <w:t xml:space="preserve">All sentences or passages quoted in this dissertation from other people's work have been specifically acknowledged by clear cross-referencing to author, work and page(s). I understand that failure to do this amounts to plagiarism and will be considered grounds for failure in this dissertation and the degree examination as a whole.</w:t>
      </w:r>
    </w:p>
    <w:p>
      <w:pPr>
        <w:spacing w:line="360" w:lineRule="auto"/>
      </w:pPr>
      <w:r>
        <w:t xml:space="preserve"/>
      </w:r>
    </w:p>
    <w:p>
      <w:pPr>
        <w:spacing w:after="180" w:line="360" w:lineRule="auto"/>
        <w:jc w:val="both"/>
      </w:pPr>
      <w:r>
        <w:rPr>
          <w:rFonts w:ascii="Times New Roman" w:cs="Times New Roman" w:eastAsia="Times New Roman" w:hAnsi="Times New Roman"/>
          <w:sz w:val="24"/>
          <w:szCs w:val="24"/>
        </w:rPr>
        <w:t xml:space="preserve">I have completed and submitted this work by myself without assistance from or communication with another person, either external or fellow student. I understand that not working on my own will be considered grounds for unfair means and will result in a fail mark for this work and might invoke disciplinary actions.</w:t>
      </w:r>
    </w:p>
    <w:p>
      <w:pPr>
        <w:spacing w:line="360" w:lineRule="auto"/>
      </w:pPr>
      <w:r>
        <w:t xml:space="preserve"/>
      </w:r>
    </w:p>
    <w:p>
      <w:pPr>
        <w:spacing w:after="180" w:line="360" w:lineRule="auto"/>
        <w:jc w:val="both"/>
      </w:pPr>
      <w:r>
        <w:rPr>
          <w:rFonts w:ascii="Times New Roman" w:cs="Times New Roman" w:eastAsia="Times New Roman" w:hAnsi="Times New Roman"/>
          <w:sz w:val="24"/>
          <w:szCs w:val="24"/>
        </w:rPr>
        <w:t xml:space="preserve">I agree that my dissertation can be used as a model/example by future undergraduate students, for educational purposes only.</w:t>
      </w:r>
    </w:p>
    <w:p>
      <w:pPr>
        <w:spacing w:line="360" w:lineRule="auto"/>
      </w:pPr>
      <w:r>
        <w:t xml:space="preserve"/>
      </w:r>
    </w:p>
    <w:p>
      <w:pPr>
        <w:spacing w:line="360" w:lineRule="auto"/>
      </w:pPr>
      <w:r>
        <w:t xml:space="preserve"/>
      </w:r>
    </w:p>
    <w:p>
      <w:pPr>
        <w:spacing w:after="180" w:line="360" w:lineRule="auto"/>
        <w:jc w:val="both"/>
      </w:pPr>
      <w:r>
        <w:rPr>
          <w:rFonts w:ascii="Times New Roman" w:cs="Times New Roman" w:eastAsia="Times New Roman" w:hAnsi="Times New Roman"/>
          <w:sz w:val="24"/>
          <w:szCs w:val="24"/>
        </w:rPr>
        <w:t xml:space="preserve">Name: Drin Ismaili</w:t>
      </w:r>
    </w:p>
    <w:p>
      <w:pPr>
        <w:spacing w:line="360" w:lineRule="auto"/>
      </w:pPr>
      <w:r>
        <w:t xml:space="preserve"/>
      </w:r>
    </w:p>
    <w:p>
      <w:pPr>
        <w:spacing w:line="360" w:lineRule="auto"/>
      </w:pPr>
      <w:r>
        <w:t xml:space="preserve"/>
      </w:r>
    </w:p>
    <w:p>
      <w:pPr>
        <w:spacing w:after="180" w:line="360" w:lineRule="auto"/>
        <w:jc w:val="both"/>
      </w:pPr>
      <w:r>
        <w:rPr>
          <w:rFonts w:ascii="Times New Roman" w:cs="Times New Roman" w:eastAsia="Times New Roman" w:hAnsi="Times New Roman"/>
          <w:sz w:val="24"/>
          <w:szCs w:val="24"/>
        </w:rPr>
        <w:t xml:space="preserve">Signed: ____________________     Date: _____________</w:t>
      </w:r>
    </w:p>
    <w:p>
      <w:pPr>
        <w:pageBreakBefore/>
        <w:spacing w:after="360" w:before="0"/>
        <w:jc w:val="left"/>
      </w:pPr>
      <w:r>
        <w:rPr>
          <w:rFonts w:ascii="Times New Roman" w:cs="Times New Roman" w:eastAsia="Times New Roman" w:hAnsi="Times New Roman"/>
          <w:b/>
          <w:bCs/>
          <w:sz w:val="36"/>
          <w:szCs w:val="36"/>
        </w:rPr>
        <w:t xml:space="preserve">Acknowledgments</w:t>
      </w:r>
    </w:p>
    <w:p>
      <w:pPr>
        <w:spacing w:after="180" w:line="360" w:lineRule="auto"/>
        <w:jc w:val="both"/>
      </w:pPr>
      <w:r>
        <w:rPr>
          <w:rFonts w:ascii="Times New Roman" w:cs="Times New Roman" w:eastAsia="Times New Roman" w:hAnsi="Times New Roman"/>
          <w:sz w:val="24"/>
          <w:szCs w:val="24"/>
        </w:rPr>
        <w:t xml:space="preserve">First and foremost, I would like to express my sincere appreciation to my supervisor, Dr. Simeon Veloudis, whose consistent guidance, professional expertise, and thoughtful feedback have shaped this project at every stage. His mentorship throughout my Bachelor programme and during the development of SnapPark in particular has been invaluable, and the rigour with which he reviewed every milestone has made the final outcome considerably stronger than it would otherwise have been.</w:t>
      </w:r>
    </w:p>
    <w:p>
      <w:pPr>
        <w:spacing w:after="180" w:line="360" w:lineRule="auto"/>
        <w:jc w:val="both"/>
      </w:pPr>
      <w:r>
        <w:rPr>
          <w:rFonts w:ascii="Times New Roman" w:cs="Times New Roman" w:eastAsia="Times New Roman" w:hAnsi="Times New Roman"/>
          <w:sz w:val="24"/>
          <w:szCs w:val="24"/>
        </w:rPr>
        <w:t xml:space="preserve">I would also like to thank the academic and administrative staff of the Computer Science Department at CITY College, University of York Europe Campus, for the supportive learning environment they have cultivated over the past three years.</w:t>
      </w:r>
    </w:p>
    <w:p>
      <w:pPr>
        <w:spacing w:after="180" w:line="360" w:lineRule="auto"/>
        <w:jc w:val="both"/>
      </w:pPr>
      <w:r>
        <w:rPr>
          <w:rFonts w:ascii="Times New Roman" w:cs="Times New Roman" w:eastAsia="Times New Roman" w:hAnsi="Times New Roman"/>
          <w:sz w:val="24"/>
          <w:szCs w:val="24"/>
        </w:rPr>
        <w:t xml:space="preserve">I am deeply grateful to my family for their unconditional support and patience during the long periods of work this project demanded, and to my friends and classmates who have offered encouragement, perspective, and the occasional well-timed distraction whenever either was needed.</w:t>
      </w:r>
    </w:p>
    <w:p>
      <w:pPr>
        <w:pageBreakBefore/>
        <w:spacing w:after="360" w:before="0"/>
        <w:jc w:val="left"/>
      </w:pPr>
      <w:r>
        <w:rPr>
          <w:rFonts w:ascii="Times New Roman" w:cs="Times New Roman" w:eastAsia="Times New Roman" w:hAnsi="Times New Roman"/>
          <w:b/>
          <w:bCs/>
          <w:sz w:val="36"/>
          <w:szCs w:val="36"/>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spacing w:after="360" w:before="0"/>
        <w:jc w:val="left"/>
      </w:pPr>
      <w:r>
        <w:rPr>
          <w:rFonts w:ascii="Times New Roman" w:cs="Times New Roman" w:eastAsia="Times New Roman" w:hAnsi="Times New Roman"/>
          <w:b/>
          <w:bCs/>
          <w:sz w:val="36"/>
          <w:szCs w:val="36"/>
        </w:rPr>
        <w:t xml:space="preserve">List of Figures</w:t>
      </w:r>
    </w:p>
    <w:sdt>
      <w:sdtPr>
        <w:alias w:val="List of Figures"/>
      </w:sdtPr>
      <w:sdtContent>
        <w:p>
          <w:r>
            <w:fldChar w:fldCharType="begin" w:dirty="true"/>
            <w:instrText xml:space="preserve">TOC \a "Figure" \h</w:instrText>
            <w:fldChar w:fldCharType="separate"/>
          </w:r>
        </w:p>
        <w:p>
          <w:r>
            <w:fldChar w:fldCharType="end"/>
          </w:r>
        </w:p>
      </w:sdtContent>
    </w:sdt>
    <w:p>
      <w:pPr>
        <w:pageBreakBefore/>
        <w:spacing w:after="360" w:before="0"/>
        <w:jc w:val="left"/>
      </w:pPr>
      <w:r>
        <w:rPr>
          <w:rFonts w:ascii="Times New Roman" w:cs="Times New Roman" w:eastAsia="Times New Roman" w:hAnsi="Times New Roman"/>
          <w:b/>
          <w:bCs/>
          <w:sz w:val="36"/>
          <w:szCs w:val="36"/>
        </w:rPr>
        <w:t xml:space="preserve">List of Tables</w:t>
      </w:r>
    </w:p>
    <w:sdt>
      <w:sdtPr>
        <w:alias w:val="List of Tables"/>
      </w:sdtPr>
      <w:sdtContent>
        <w:p>
          <w:r>
            <w:fldChar w:fldCharType="begin" w:dirty="true"/>
            <w:instrText xml:space="preserve">TOC \a "Table" \h</w:instrText>
            <w:fldChar w:fldCharType="separate"/>
          </w:r>
        </w:p>
        <w:p>
          <w:r>
            <w:fldChar w:fldCharType="end"/>
          </w:r>
        </w:p>
      </w:sdtContent>
    </w:sdt>
    <w:p>
      <w:pPr>
        <w:pageBreakBefore/>
        <w:spacing w:after="360" w:before="0"/>
        <w:jc w:val="left"/>
      </w:pPr>
      <w:r>
        <w:rPr>
          <w:rFonts w:ascii="Times New Roman" w:cs="Times New Roman" w:eastAsia="Times New Roman" w:hAnsi="Times New Roman"/>
          <w:b/>
          <w:bCs/>
          <w:sz w:val="36"/>
          <w:szCs w:val="36"/>
        </w:rPr>
        <w:t xml:space="preserve">Listings</w:t>
      </w:r>
    </w:p>
    <w:sdt>
      <w:sdtPr>
        <w:alias w:val="Listings"/>
      </w:sdtPr>
      <w:sdtContent>
        <w:p>
          <w:r>
            <w:fldChar w:fldCharType="begin" w:dirty="true"/>
            <w:instrText xml:space="preserve">TOC \a "Listing" \h</w:instrText>
            <w:fldChar w:fldCharType="separate"/>
          </w:r>
        </w:p>
        <w:p>
          <w:r>
            <w:fldChar w:fldCharType="end"/>
          </w:r>
        </w:p>
      </w:sdtContent>
    </w:sdt>
    <w:p>
      <w:pPr>
        <w:sectPr>
          <w:headerReference w:type="default" r:id="rId7"/>
          <w:headerReference w:type="first" r:id="rId8"/>
          <w:footerReference w:type="default" r:id="rId9"/>
          <w:footerReference w:type="first" r:id="rId10"/>
          <w:pgSz w:w="11906" w:h="16838" w:orient="portrait"/>
          <w:pgMar w:top="1417" w:right="1417" w:bottom="1417" w:left="1417" w:header="708" w:footer="708" w:gutter="0"/>
          <w:pgNumType w:start="1" w:fmt="lowerRoman"/>
          <w:titlePg/>
          <w:docGrid w:linePitch="360"/>
        </w:sectPr>
      </w:pPr>
    </w:p>
    <w:p>
      <w:pPr>
        <w:pStyle w:val="Heading1"/>
        <w:pageBreakBefore/>
        <w:spacing w:after="360" w:before="0"/>
      </w:pPr>
      <w:r>
        <w:rPr>
          <w:rFonts w:ascii="Times New Roman" w:cs="Times New Roman" w:eastAsia="Times New Roman" w:hAnsi="Times New Roman"/>
          <w:b/>
          <w:bCs/>
          <w:sz w:val="36"/>
          <w:szCs w:val="36"/>
        </w:rPr>
        <w:t xml:space="preserve">Chapter 1
Introduction</w:t>
      </w:r>
    </w:p>
    <w:p>
      <w:pPr>
        <w:spacing w:after="180" w:line="360" w:lineRule="auto"/>
        <w:jc w:val="both"/>
      </w:pPr>
      <w:r>
        <w:rPr>
          <w:rFonts w:ascii="Times New Roman" w:cs="Times New Roman" w:eastAsia="Times New Roman" w:hAnsi="Times New Roman"/>
          <w:sz w:val="24"/>
          <w:szCs w:val="24"/>
        </w:rPr>
        <w:t xml:space="preserve">In recent years, the density of vehicles on urban roads has grown substantially, and with that growth has come a sharp increase in the incidence of illegal parking. A vehicle that obstructs a pedestrian crossing, occupies a sidewalk, or blocks a no-stopping zone is not simply a minor inconvenience: it places pedestrians — and in particular people with reduced mobility, parents with prams, and visually impaired citizens — into direct physical danger; it delays the passage of emergency vehicles; and it contributes to a gradual decay of the public environment that is difficult to reverse once normalised [1]. Conventional enforcement of parking regulations is performed by municipal traffic wardens who patrol the streets either on foot or in vehicles. Their effectiveness, however, is bounded by their number, their visibility to drivers, and their hours of service: during the night, in peripheral neighbourhoods, or at times of peak demand, a substantial proportion of violations simply go unrecorded, and citizens are left without a credible means of escalating what they have observed.</w:t>
      </w:r>
    </w:p>
    <w:p>
      <w:pPr>
        <w:spacing w:after="180" w:line="360" w:lineRule="auto"/>
        <w:jc w:val="both"/>
      </w:pPr>
      <w:r>
        <w:rPr>
          <w:rFonts w:ascii="Times New Roman" w:cs="Times New Roman" w:eastAsia="Times New Roman" w:hAnsi="Times New Roman"/>
          <w:sz w:val="24"/>
          <w:szCs w:val="24"/>
        </w:rPr>
        <w:t xml:space="preserve">Three independent technological developments have, over the same period, matured to a level at which they can be combined into a practical answer to this problem. The first is the ubiquity of smartphones with high-resolution cameras: most citizens now carry, at all times, a device that is more capable than the dedicated cameras issued to enforcement officers a decade ago. The second is the emergence of vision-capable Large Language Models (LLMs) — most notably Google Gemini [30], OpenAI GPT-4V, and Anthropic Claude — which can interpret an arbitrary image and produce a natural-language justification for their conclusions without requiring a custom dataset, a training pipeline, or a team of data scientists. The third is the convergence of the software-engineering community on the microservices architectural style as the de facto means of building distributed systems that can scale, evolve, and be deployed across the Cloud Continuum [7, 15]. Each of these developments, taken alone, is well documented; taken together they form the substrate on which a new generation of civic-technology platforms can be built.</w:t>
      </w:r>
    </w:p>
    <w:p>
      <w:pPr>
        <w:spacing w:after="180" w:line="360" w:lineRule="auto"/>
        <w:jc w:val="both"/>
      </w:pPr>
      <w:r>
        <w:rPr>
          <w:rFonts w:ascii="Times New Roman" w:cs="Times New Roman" w:eastAsia="Times New Roman" w:hAnsi="Times New Roman"/>
          <w:sz w:val="24"/>
          <w:szCs w:val="24"/>
        </w:rPr>
        <w:t xml:space="preserve">The project described in this dissertation, </w:t>
      </w:r>
      <w:r>
        <w:rPr>
          <w:rFonts w:ascii="Times New Roman" w:cs="Times New Roman" w:eastAsia="Times New Roman" w:hAnsi="Times New Roman"/>
          <w:b/>
          <w:bCs/>
          <w:sz w:val="24"/>
          <w:szCs w:val="24"/>
        </w:rPr>
        <w:t xml:space="preserve">SnapPark</w:t>
      </w:r>
      <w:r>
        <w:rPr>
          <w:rFonts w:ascii="Times New Roman" w:cs="Times New Roman" w:eastAsia="Times New Roman" w:hAnsi="Times New Roman"/>
          <w:sz w:val="24"/>
          <w:szCs w:val="24"/>
        </w:rPr>
        <w:t xml:space="preserve">, brings these three developments together to address the enforcement gap described above. A citizen who encounters a suspected parking violation opens the SnapPark web client, captures or uploads a photograph of the offending vehicle, optionally pins its location on an interactive map, and submits the report. Behind the client the system is composed of three independent microservices — Authentication, Violation Analysis, and Notification — which sit behind a single API Gateway and which communicate asynchronously through a RabbitMQ broker. The Violation Analysis Service performs a quality pre-filter on the uploaded image, forwards it to the Gemini API for reasoning, and orchestrates the resulting case-creation workflow as a Saga that persists state at every step and can compensate on failure. The structured output produced by the model — comprising a Boolean violation flag, a violation type, a confidence score, and a short natural-language explanation — is persisted into a per-service PostgreSQL database, and a vector embedding of the verdict text is stored alongside it through the pgvector extension so that semantically similar past cases can be retrieved by cosine distance. The Notification Service consumes case-lifecycle events from the broker and dispatches notifications to the user through any combination of in-app, email, SMS, and push channels.</w:t>
      </w:r>
    </w:p>
    <w:p>
      <w:pPr>
        <w:spacing w:after="180" w:line="360" w:lineRule="auto"/>
        <w:jc w:val="both"/>
      </w:pPr>
      <w:r>
        <w:rPr>
          <w:rFonts w:ascii="Times New Roman" w:cs="Times New Roman" w:eastAsia="Times New Roman" w:hAnsi="Times New Roman"/>
          <w:sz w:val="24"/>
          <w:szCs w:val="24"/>
        </w:rPr>
        <w:t xml:space="preserve">The aim of this report is to document every facet of the development of SnapPark in a way that is both academically rigorous and pragmatically concrete: the literature underpinning the architectural decisions, the design choices that were made and the alternatives that were rejected, the incremental implementation of each microservice, the test strategy and the resulting coverage, and an honest evaluation of the system against the objectives established at the outset.</w:t>
      </w:r>
    </w:p>
    <w:p>
      <w:pPr>
        <w:pStyle w:val="Heading2"/>
        <w:spacing w:after="180" w:before="360"/>
      </w:pPr>
      <w:r>
        <w:rPr>
          <w:rFonts w:ascii="Times New Roman" w:cs="Times New Roman" w:eastAsia="Times New Roman" w:hAnsi="Times New Roman"/>
          <w:b/>
          <w:bCs/>
          <w:sz w:val="30"/>
          <w:szCs w:val="30"/>
        </w:rPr>
        <w:t xml:space="preserve">1.1 Aim of the project</w:t>
      </w:r>
    </w:p>
    <w:p>
      <w:pPr>
        <w:spacing w:after="180" w:line="360" w:lineRule="auto"/>
        <w:jc w:val="both"/>
      </w:pPr>
      <w:r>
        <w:rPr>
          <w:rFonts w:ascii="Times New Roman" w:cs="Times New Roman" w:eastAsia="Times New Roman" w:hAnsi="Times New Roman"/>
          <w:b/>
          <w:bCs/>
          <w:sz w:val="24"/>
          <w:szCs w:val="24"/>
        </w:rPr>
        <w:t xml:space="preserve">The aim of SnapPark is to design, implement, and evaluate a microservices-based platform that allows citizens to report suspected illegal parking by uploading one or more images, and that uses a Large Language Model to produce a structured, reasoned, and human-readable opinion on whether a violation has occurred.</w:t>
      </w:r>
      <w:r>
        <w:rPr>
          <w:rFonts w:ascii="Times New Roman" w:cs="Times New Roman" w:eastAsia="Times New Roman" w:hAnsi="Times New Roman"/>
          <w:sz w:val="24"/>
          <w:szCs w:val="24"/>
        </w:rPr>
        <w:t xml:space="preserve"> The platform must be scalable, highly available, secure, auditable, and extensible, and must be deployable both in a development environment through Docker Compose and in a production environment through Kubernetes. The project is not intended to produce a production-grade replacement for a human traffic warden; it is intended to demonstrate that a microservices architecture, combined with a generative AI back-end, is a viable and well-engineered foundation on which a civic-technology platform of this kind can be built.</w:t>
      </w:r>
    </w:p>
    <w:p>
      <w:pPr>
        <w:pStyle w:val="Heading2"/>
        <w:spacing w:after="180" w:before="360"/>
      </w:pPr>
      <w:r>
        <w:rPr>
          <w:rFonts w:ascii="Times New Roman" w:cs="Times New Roman" w:eastAsia="Times New Roman" w:hAnsi="Times New Roman"/>
          <w:b/>
          <w:bCs/>
          <w:sz w:val="30"/>
          <w:szCs w:val="30"/>
        </w:rPr>
        <w:t xml:space="preserve">1.2 Project objectives</w:t>
      </w:r>
    </w:p>
    <w:p>
      <w:pPr>
        <w:spacing w:after="180" w:line="360" w:lineRule="auto"/>
        <w:jc w:val="both"/>
      </w:pPr>
      <w:r>
        <w:rPr>
          <w:rFonts w:ascii="Times New Roman" w:cs="Times New Roman" w:eastAsia="Times New Roman" w:hAnsi="Times New Roman"/>
          <w:sz w:val="24"/>
          <w:szCs w:val="24"/>
        </w:rPr>
        <w:t xml:space="preserve">The following objectives provide the foundation on which the rest of the system was designed and built. They are deliberately phrased as qualitative properties of the final system; concrete, testable criteria are given in Chapter 3 as non-functional requirements.</w:t>
      </w:r>
    </w:p>
    <w:p>
      <w:pPr>
        <w:spacing w:after="180" w:before="120" w:line="360" w:lineRule="auto"/>
        <w:ind w:left="36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Scalability.</w:t>
      </w:r>
      <w:r>
        <w:rPr>
          <w:rFonts w:ascii="Times New Roman" w:cs="Times New Roman" w:eastAsia="Times New Roman" w:hAnsi="Times New Roman"/>
          <w:sz w:val="24"/>
          <w:szCs w:val="24"/>
        </w:rPr>
        <w:t xml:space="preserve"> The system must be able to grow in a non-uniform manner, so that components experiencing heavier load — for example, the Violation Analysis Service during a surge of citizen reports — can be scaled independently of the others, without requiring a redeployment of the entire platform.</w:t>
      </w:r>
    </w:p>
    <w:p>
      <w:pPr>
        <w:spacing w:after="180" w:before="120" w:line="360" w:lineRule="auto"/>
        <w:ind w:left="36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High availability.</w:t>
      </w:r>
      <w:r>
        <w:rPr>
          <w:rFonts w:ascii="Times New Roman" w:cs="Times New Roman" w:eastAsia="Times New Roman" w:hAnsi="Times New Roman"/>
          <w:sz w:val="24"/>
          <w:szCs w:val="24"/>
        </w:rPr>
        <w:t xml:space="preserve"> The failure of any one component must not propagate to the rest of the system. A crashing Notification Service must not prevent citizens from successfully submitting violation reports; a crashing Authentication Service must not take down the analysis pipeline for users whose access tokens are still valid.</w:t>
      </w:r>
    </w:p>
    <w:p>
      <w:pPr>
        <w:spacing w:after="180" w:before="120" w:line="360" w:lineRule="auto"/>
        <w:ind w:left="36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Every request must be authenticated before it reaches any business logic. User credentials must never be stored in plaintext. Access tokens must be short-lived, and refresh tokens must be revocable through rotation on every use.</w:t>
      </w:r>
    </w:p>
    <w:p>
      <w:pPr>
        <w:spacing w:after="180" w:before="120" w:line="360" w:lineRule="auto"/>
        <w:ind w:left="36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Auditability.</w:t>
      </w:r>
      <w:r>
        <w:rPr>
          <w:rFonts w:ascii="Times New Roman" w:cs="Times New Roman" w:eastAsia="Times New Roman" w:hAnsi="Times New Roman"/>
          <w:sz w:val="24"/>
          <w:szCs w:val="24"/>
        </w:rPr>
        <w:t xml:space="preserve"> Every significant state change in the system — the creation of a case, the result of an analysis, the dispatch of a notification, the report of a case to an external authority — must leave a permanent, tamper-resistant trace that can be inspected after the fact for legal, operational, and debugging purposes.</w:t>
      </w:r>
    </w:p>
    <w:p>
      <w:pPr>
        <w:spacing w:after="180" w:before="120" w:line="360" w:lineRule="auto"/>
        <w:ind w:left="36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Extensibility.</w:t>
      </w:r>
      <w:r>
        <w:rPr>
          <w:rFonts w:ascii="Times New Roman" w:cs="Times New Roman" w:eastAsia="Times New Roman" w:hAnsi="Times New Roman"/>
          <w:sz w:val="24"/>
          <w:szCs w:val="24"/>
        </w:rPr>
        <w:t xml:space="preserve"> The addition of a new notification channel, a new event consumer, or even an entirely new microservice must not require any modification of the services that already exist.</w:t>
      </w:r>
    </w:p>
    <w:p>
      <w:pPr>
        <w:spacing w:after="180" w:before="120" w:line="360" w:lineRule="auto"/>
        <w:ind w:left="36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Maintainability.</w:t>
      </w:r>
      <w:r>
        <w:rPr>
          <w:rFonts w:ascii="Times New Roman" w:cs="Times New Roman" w:eastAsia="Times New Roman" w:hAnsi="Times New Roman"/>
          <w:sz w:val="24"/>
          <w:szCs w:val="24"/>
        </w:rPr>
        <w:t xml:space="preserve"> Each service must be small enough for a single developer to understand in full, must have clearly documented responsibilities, and must be independently testable and deployable.</w:t>
      </w:r>
    </w:p>
    <w:p>
      <w:pPr>
        <w:pStyle w:val="Heading2"/>
        <w:spacing w:after="180" w:before="360"/>
      </w:pPr>
      <w:r>
        <w:rPr>
          <w:rFonts w:ascii="Times New Roman" w:cs="Times New Roman" w:eastAsia="Times New Roman" w:hAnsi="Times New Roman"/>
          <w:b/>
          <w:bCs/>
          <w:sz w:val="30"/>
          <w:szCs w:val="30"/>
        </w:rPr>
        <w:t xml:space="preserve">1.3 Report structure</w:t>
      </w:r>
    </w:p>
    <w:p>
      <w:pPr>
        <w:spacing w:after="180" w:line="360" w:lineRule="auto"/>
        <w:jc w:val="both"/>
      </w:pPr>
      <w:r>
        <w:rPr>
          <w:rFonts w:ascii="Times New Roman" w:cs="Times New Roman" w:eastAsia="Times New Roman" w:hAnsi="Times New Roman"/>
          <w:sz w:val="24"/>
          <w:szCs w:val="24"/>
        </w:rPr>
        <w:t xml:space="preserve">This report is structured as follows.</w:t>
      </w:r>
    </w:p>
    <w:p>
      <w:pPr>
        <w:spacing w:after="180" w:before="120" w:line="360" w:lineRule="auto"/>
        <w:ind w:left="36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Introduction.</w:t>
      </w:r>
      <w:r>
        <w:rPr>
          <w:rFonts w:ascii="Times New Roman" w:cs="Times New Roman" w:eastAsia="Times New Roman" w:hAnsi="Times New Roman"/>
          <w:sz w:val="24"/>
          <w:szCs w:val="24"/>
        </w:rPr>
        <w:t xml:space="preserve"> The current chapter, in which the motivation, the aim, and the objectives of the project are presented.</w:t>
      </w:r>
    </w:p>
    <w:p>
      <w:pPr>
        <w:spacing w:after="180" w:before="120" w:line="360" w:lineRule="auto"/>
        <w:ind w:left="36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Literature Review.</w:t>
      </w:r>
      <w:r>
        <w:rPr>
          <w:rFonts w:ascii="Times New Roman" w:cs="Times New Roman" w:eastAsia="Times New Roman" w:hAnsi="Times New Roman"/>
          <w:sz w:val="24"/>
          <w:szCs w:val="24"/>
        </w:rPr>
        <w:t xml:space="preserve"> A critical examination of the academic and industrial literature underpinning the architectural choices of SnapPark. The monolithic, Service-Oriented, and microservices paradigms are compared; the central concept of the Cloud Continuum is introduced; the principal challenges that a microservices design must address — data management, communication, service discovery, containerisation — are surveyed; and the use of Large Language Models for visual reasoning is discussed.</w:t>
      </w:r>
    </w:p>
    <w:p>
      <w:pPr>
        <w:spacing w:after="180" w:before="120" w:line="360" w:lineRule="auto"/>
        <w:ind w:left="36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System Description and Requirements.</w:t>
      </w:r>
      <w:r>
        <w:rPr>
          <w:rFonts w:ascii="Times New Roman" w:cs="Times New Roman" w:eastAsia="Times New Roman" w:hAnsi="Times New Roman"/>
          <w:sz w:val="24"/>
          <w:szCs w:val="24"/>
        </w:rPr>
        <w:t xml:space="preserve"> A bird's-eye view of the SnapPark system is presented, followed by a formal list of functional and non-functional requirements expressed in SMART form.</w:t>
      </w:r>
    </w:p>
    <w:p>
      <w:pPr>
        <w:spacing w:after="180" w:before="120" w:line="360" w:lineRule="auto"/>
        <w:ind w:left="36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Project Management.</w:t>
      </w:r>
      <w:r>
        <w:rPr>
          <w:rFonts w:ascii="Times New Roman" w:cs="Times New Roman" w:eastAsia="Times New Roman" w:hAnsi="Times New Roman"/>
          <w:sz w:val="24"/>
          <w:szCs w:val="24"/>
        </w:rPr>
        <w:t xml:space="preserve"> The incremental software development process adopted for the project and the risk-management strategy that accompanied it.</w:t>
      </w:r>
    </w:p>
    <w:p>
      <w:pPr>
        <w:spacing w:after="180" w:before="120" w:line="360" w:lineRule="auto"/>
        <w:ind w:left="36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Increments 1–4.</w:t>
      </w:r>
      <w:r>
        <w:rPr>
          <w:rFonts w:ascii="Times New Roman" w:cs="Times New Roman" w:eastAsia="Times New Roman" w:hAnsi="Times New Roman"/>
          <w:sz w:val="24"/>
          <w:szCs w:val="24"/>
        </w:rPr>
        <w:t xml:space="preserve"> Each of the four increments is treated as a self-contained chapter in which the Analysis, Design, Implementation, Testing, and Evaluation of one coherent slice of the system are reported.</w:t>
      </w:r>
    </w:p>
    <w:p>
      <w:pPr>
        <w:spacing w:after="180" w:before="120" w:line="360" w:lineRule="auto"/>
        <w:ind w:left="36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Evaluation.</w:t>
      </w:r>
      <w:r>
        <w:rPr>
          <w:rFonts w:ascii="Times New Roman" w:cs="Times New Roman" w:eastAsia="Times New Roman" w:hAnsi="Times New Roman"/>
          <w:sz w:val="24"/>
          <w:szCs w:val="24"/>
        </w:rPr>
        <w:t xml:space="preserve"> The system as a whole is evaluated against the objectives set out in this introduction, supported by a comprehensive IEEE-982 coverage analysis across the three backend services, the API Gateway, and the web frontend.</w:t>
      </w:r>
    </w:p>
    <w:p>
      <w:pPr>
        <w:spacing w:after="180" w:before="120" w:line="360" w:lineRule="auto"/>
        <w:ind w:left="36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b/>
          <w:bCs/>
          <w:sz w:val="24"/>
          <w:szCs w:val="24"/>
        </w:rPr>
        <w:t xml:space="preserve">Conclusion.</w:t>
      </w:r>
      <w:r>
        <w:rPr>
          <w:rFonts w:ascii="Times New Roman" w:cs="Times New Roman" w:eastAsia="Times New Roman" w:hAnsi="Times New Roman"/>
          <w:sz w:val="24"/>
          <w:szCs w:val="24"/>
        </w:rPr>
        <w:t xml:space="preserve"> The challenges faced during the project, the lessons learned, and the principal avenues for future work are discussed.</w:t>
      </w:r>
    </w:p>
    <w:p>
      <w:pPr>
        <w:pStyle w:val="Heading1"/>
        <w:pageBreakBefore/>
        <w:spacing w:after="360" w:before="0"/>
      </w:pPr>
      <w:r>
        <w:rPr>
          <w:rFonts w:ascii="Times New Roman" w:cs="Times New Roman" w:eastAsia="Times New Roman" w:hAnsi="Times New Roman"/>
          <w:b/>
          <w:bCs/>
          <w:sz w:val="36"/>
          <w:szCs w:val="36"/>
        </w:rPr>
        <w:t xml:space="preserve">Chapter 2
Literature Review</w:t>
      </w:r>
    </w:p>
    <w:p>
      <w:pPr>
        <w:spacing w:after="180" w:line="360" w:lineRule="auto"/>
        <w:jc w:val="both"/>
      </w:pPr>
      <w:r>
        <w:rPr>
          <w:rFonts w:ascii="Times New Roman" w:cs="Times New Roman" w:eastAsia="Times New Roman" w:hAnsi="Times New Roman"/>
          <w:sz w:val="24"/>
          <w:szCs w:val="24"/>
        </w:rPr>
        <w:t xml:space="preserve">The architectural paradigm of a system is the substrate on which every subsequent decision — deployability, scalability, observability, failure modes, team structure — ultimately rests [10]. Section 2.1 compares the three dominant paradigms (monolithic, SOA, microservices) and justifies the selection of microservices; Section 2.2 introduces Cloud Computing and the Cloud Continuum; Section 2.3 surveys the patterns that address the challenges of a microservices design and that were applied directly in SnapPark; Section 2.4 surveys AI-based image analysis; Section 2.5 reviews related civic-technology projects; and Section 2.6 compares the candidate implementation stacks and justifies the choice of Node.js.</w:t>
      </w:r>
    </w:p>
    <w:p>
      <w:pPr>
        <w:pStyle w:val="Heading2"/>
        <w:spacing w:after="180" w:before="360"/>
      </w:pPr>
      <w:r>
        <w:rPr>
          <w:rFonts w:ascii="Times New Roman" w:cs="Times New Roman" w:eastAsia="Times New Roman" w:hAnsi="Times New Roman"/>
          <w:b/>
          <w:bCs/>
          <w:sz w:val="30"/>
          <w:szCs w:val="30"/>
        </w:rPr>
        <w:t xml:space="preserve">2.1 Architectural Paradigms</w:t>
      </w:r>
    </w:p>
    <w:p>
      <w:pPr>
        <w:spacing w:after="180" w:line="360" w:lineRule="auto"/>
        <w:jc w:val="both"/>
      </w:pPr>
      <w:r>
        <w:rPr>
          <w:rFonts w:ascii="Times New Roman" w:cs="Times New Roman" w:eastAsia="Times New Roman" w:hAnsi="Times New Roman"/>
          <w:sz w:val="24"/>
          <w:szCs w:val="24"/>
        </w:rPr>
        <w:t xml:space="preserve">A software architectural paradigm is the higher-level abstraction that encloses the structure, behaviour, and patterns within a software application [10, 15, 46]. The three paradigms compared below — the monolithic style, Service-Oriented Architecture (SOA), and microservices — represent the dominant choices of the last twenty years.</w:t>
      </w:r>
    </w:p>
    <w:p>
      <w:pPr>
        <w:pStyle w:val="Heading3"/>
        <w:spacing w:after="120" w:before="240"/>
      </w:pPr>
      <w:r>
        <w:rPr>
          <w:rFonts w:ascii="Times New Roman" w:cs="Times New Roman" w:eastAsia="Times New Roman" w:hAnsi="Times New Roman"/>
          <w:b/>
          <w:bCs/>
          <w:sz w:val="26"/>
          <w:szCs w:val="26"/>
        </w:rPr>
        <w:t xml:space="preserve">2.1.1 Monolithic Architecture</w:t>
      </w:r>
    </w:p>
    <w:p>
      <w:pPr>
        <w:spacing w:after="180" w:line="360" w:lineRule="auto"/>
        <w:jc w:val="both"/>
      </w:pPr>
      <w:r>
        <w:rPr>
          <w:rFonts w:ascii="Times New Roman" w:cs="Times New Roman" w:eastAsia="Times New Roman" w:hAnsi="Times New Roman"/>
          <w:sz w:val="24"/>
          <w:szCs w:val="24"/>
        </w:rPr>
        <w:t xml:space="preserve">A monolithic architecture encapsulates the entire application — user interface, business logic, data access, and infrastructure code — within a single self-contained artefact [1, 16]. Module communication happens through in-process calls in a single address space, modules typically share one database, and they are not independently deployable. Tight coupling, convenient in the early life of a project, becomes a serious drawback as the application or the team grows [16, 28].</w:t>
      </w:r>
    </w:p>
    <w:p>
      <w:pPr>
        <w:spacing w:after="60" w:before="240" w:line="360" w:lineRule="auto"/>
        <w:jc w:val="center"/>
      </w:pPr>
      <w:r>
        <w:rPr>
          <w:rFonts w:ascii="Times New Roman" w:cs="Times New Roman" w:eastAsia="Times New Roman" w:hAnsi="Times New Roman"/>
          <w:i/>
          <w:iCs/>
          <w:color w:val="808080"/>
          <w:sz w:val="24"/>
          <w:szCs w:val="24"/>
        </w:rPr>
        <w:t xml:space="preserve">[ Figure 2.1: Monolithic architecture — a single deployable unit encompassing every module of the system — insert image here ]</w:t>
      </w:r>
    </w:p>
    <w:p>
      <w:pPr>
        <w:spacing w:after="240" w:before="0" w:line="360" w:lineRule="auto"/>
        <w:jc w:val="center"/>
      </w:pPr>
      <w:r>
        <w:rPr>
          <w:rFonts w:ascii="Times New Roman" w:cs="Times New Roman" w:eastAsia="Times New Roman" w:hAnsi="Times New Roman"/>
          <w:i/>
          <w:iCs/>
          <w:sz w:val="22"/>
          <w:szCs w:val="22"/>
        </w:rPr>
        <w:t xml:space="preserve">Figure 2.1: Monolithic architecture</w:t>
      </w:r>
    </w:p>
    <w:p>
      <w:pPr>
        <w:spacing w:after="180" w:line="360" w:lineRule="auto"/>
        <w:jc w:val="both"/>
      </w:pPr>
      <w:r>
        <w:rPr>
          <w:rFonts w:ascii="Times New Roman" w:cs="Times New Roman" w:eastAsia="Times New Roman" w:hAnsi="Times New Roman"/>
          <w:sz w:val="24"/>
          <w:szCs w:val="24"/>
        </w:rPr>
        <w:t xml:space="preserve">The monolithic style minimises operational complexity — one process to start, one log stream to inspect, one artefact to deploy — and offers better intra-process performance than any distributed system [1]. Its advantages and disadvantages are summarised in Table 2.1 and discussed in the surrounding literature [1, 16, 28].</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rPr>
          <w:tblHeader/>
        </w:trPr>
        <w:tc>
          <w:tcPr>
            <w:tcW w:type="dxa" w:w="4536"/>
            <w:tcBorders>
              <w:top w:val="single" w:color="888888" w:sz="4"/>
              <w:left w:val="single" w:color="888888" w:sz="4"/>
              <w:bottom w:val="single" w:color="888888" w:sz="4"/>
              <w:right w:val="single" w:color="888888" w:sz="4"/>
            </w:tcBorders>
            <w:shd w:fill="E8E8E8" w:val="clear"/>
            <w:tcMar>
              <w:top w:type="dxa" w:w="100"/>
              <w:left w:type="dxa" w:w="140"/>
              <w:bottom w:type="dxa" w:w="100"/>
              <w:right w:type="dxa" w:w="140"/>
            </w:tcMar>
          </w:tcPr>
          <w:p>
            <w:pPr>
              <w:jc w:val="center"/>
            </w:pPr>
            <w:r>
              <w:rPr>
                <w:rFonts w:ascii="Times New Roman" w:cs="Times New Roman" w:eastAsia="Times New Roman" w:hAnsi="Times New Roman"/>
                <w:b/>
                <w:bCs/>
                <w:sz w:val="24"/>
                <w:szCs w:val="24"/>
              </w:rPr>
              <w:t xml:space="preserve">Advantages</w:t>
            </w:r>
          </w:p>
        </w:tc>
        <w:tc>
          <w:tcPr>
            <w:tcW w:type="dxa" w:w="4536"/>
            <w:tcBorders>
              <w:top w:val="single" w:color="888888" w:sz="4"/>
              <w:left w:val="single" w:color="888888" w:sz="4"/>
              <w:bottom w:val="single" w:color="888888" w:sz="4"/>
              <w:right w:val="single" w:color="888888" w:sz="4"/>
            </w:tcBorders>
            <w:shd w:fill="E8E8E8" w:val="clear"/>
            <w:tcMar>
              <w:top w:type="dxa" w:w="100"/>
              <w:left w:type="dxa" w:w="140"/>
              <w:bottom w:type="dxa" w:w="100"/>
              <w:right w:type="dxa" w:w="140"/>
            </w:tcMar>
          </w:tcPr>
          <w:p>
            <w:pPr>
              <w:jc w:val="center"/>
            </w:pPr>
            <w:r>
              <w:rPr>
                <w:rFonts w:ascii="Times New Roman" w:cs="Times New Roman" w:eastAsia="Times New Roman" w:hAnsi="Times New Roman"/>
                <w:b/>
                <w:bCs/>
                <w:sz w:val="24"/>
                <w:szCs w:val="24"/>
              </w:rPr>
              <w:t xml:space="preserve">Disadvantages</w:t>
            </w:r>
          </w:p>
        </w:tc>
      </w:tr>
      <w:tr>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Single deployment unit: </w:t>
            </w:r>
            <w:r>
              <w:rPr>
                <w:rFonts w:ascii="Times New Roman" w:cs="Times New Roman" w:eastAsia="Times New Roman" w:hAnsi="Times New Roman"/>
                <w:sz w:val="22"/>
                <w:szCs w:val="22"/>
              </w:rPr>
              <w:t xml:space="preserve">a single artefact reduces deployment and operational overhead. There is only one process to provision, one log stream to ingest, and one set of credentials to rotate.</w:t>
            </w:r>
          </w:p>
        </w:tc>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Poor maintainability: </w:t>
            </w:r>
            <w:r>
              <w:rPr>
                <w:rFonts w:ascii="Times New Roman" w:cs="Times New Roman" w:eastAsia="Times New Roman" w:hAnsi="Times New Roman"/>
                <w:sz w:val="22"/>
                <w:szCs w:val="22"/>
              </w:rPr>
              <w:t xml:space="preserve">a small change potentially requires rebuilding, retesting, and redeploying the entire artefact [16], which slows the release cadence as the codebase grows.</w:t>
            </w:r>
          </w:p>
        </w:tc>
      </w:tr>
      <w:tr>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Easier early-stage development: </w:t>
            </w:r>
            <w:r>
              <w:rPr>
                <w:rFonts w:ascii="Times New Roman" w:cs="Times New Roman" w:eastAsia="Times New Roman" w:hAnsi="Times New Roman"/>
                <w:sz w:val="22"/>
                <w:szCs w:val="22"/>
              </w:rPr>
              <w:t xml:space="preserve">all the code resides in one place; integration between modules is trivial because every call is an in-process function call.</w:t>
            </w:r>
          </w:p>
        </w:tc>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Tight coupling: </w:t>
            </w:r>
            <w:r>
              <w:rPr>
                <w:rFonts w:ascii="Times New Roman" w:cs="Times New Roman" w:eastAsia="Times New Roman" w:hAnsi="Times New Roman"/>
                <w:sz w:val="22"/>
                <w:szCs w:val="22"/>
              </w:rPr>
              <w:t xml:space="preserve">modules share a database schema and, often, in-process state, which makes it difficult to evolve one area without inadvertently breaking another [16].</w:t>
            </w:r>
          </w:p>
        </w:tc>
      </w:tr>
      <w:tr>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Simplified testing: </w:t>
            </w:r>
            <w:r>
              <w:rPr>
                <w:rFonts w:ascii="Times New Roman" w:cs="Times New Roman" w:eastAsia="Times New Roman" w:hAnsi="Times New Roman"/>
                <w:sz w:val="22"/>
                <w:szCs w:val="22"/>
              </w:rPr>
              <w:t xml:space="preserve">end-to-end tests can exercise the full system in a single process without the orchestration complexity of a distributed environment.</w:t>
            </w:r>
          </w:p>
        </w:tc>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Difficult scalability: </w:t>
            </w:r>
            <w:r>
              <w:rPr>
                <w:rFonts w:ascii="Times New Roman" w:cs="Times New Roman" w:eastAsia="Times New Roman" w:hAnsi="Times New Roman"/>
                <w:sz w:val="22"/>
                <w:szCs w:val="22"/>
              </w:rPr>
              <w:t xml:space="preserve">the entire application must be scaled horizontally even when only a single sub-module is under load, leading to a poor cost-to-performance ratio.</w:t>
            </w:r>
          </w:p>
        </w:tc>
      </w:tr>
      <w:tr>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Performance: </w:t>
            </w:r>
            <w:r>
              <w:rPr>
                <w:rFonts w:ascii="Times New Roman" w:cs="Times New Roman" w:eastAsia="Times New Roman" w:hAnsi="Times New Roman"/>
                <w:sz w:val="22"/>
                <w:szCs w:val="22"/>
              </w:rPr>
              <w:t xml:space="preserve">intra-process calls have negligible overhead compared to network-mediated communication between separate services.</w:t>
            </w:r>
          </w:p>
        </w:tc>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Limited availability: </w:t>
            </w:r>
            <w:r>
              <w:rPr>
                <w:rFonts w:ascii="Times New Roman" w:cs="Times New Roman" w:eastAsia="Times New Roman" w:hAnsi="Times New Roman"/>
                <w:sz w:val="22"/>
                <w:szCs w:val="22"/>
              </w:rPr>
              <w:t xml:space="preserve">a bug in a seldom-used module can crash the entire process and bring the whole application down with it.</w:t>
            </w:r>
          </w:p>
        </w:tc>
      </w:tr>
      <w:tr>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r>
              <w:t xml:space="preserve"/>
            </w:r>
          </w:p>
        </w:tc>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Technology lock-in: </w:t>
            </w:r>
            <w:r>
              <w:rPr>
                <w:rFonts w:ascii="Times New Roman" w:cs="Times New Roman" w:eastAsia="Times New Roman" w:hAnsi="Times New Roman"/>
                <w:sz w:val="22"/>
                <w:szCs w:val="22"/>
              </w:rPr>
              <w:t xml:space="preserve">the whole monolith is written in a single language and bound to a single framework; migrations are disruptive and expensive [28].</w:t>
            </w:r>
          </w:p>
        </w:tc>
      </w:tr>
    </w:tbl>
    <w:p>
      <w:pPr>
        <w:spacing w:after="240" w:before="60" w:line="360" w:lineRule="auto"/>
        <w:jc w:val="center"/>
      </w:pPr>
      <w:r>
        <w:rPr>
          <w:rFonts w:ascii="Times New Roman" w:cs="Times New Roman" w:eastAsia="Times New Roman" w:hAnsi="Times New Roman"/>
          <w:i/>
          <w:iCs/>
          <w:sz w:val="22"/>
          <w:szCs w:val="22"/>
        </w:rPr>
        <w:t xml:space="preserve">Table 2.1: Advantages and Disadvantages of Monoliths [1, 16, 28]</w:t>
      </w:r>
    </w:p>
    <w:p>
      <w:pPr>
        <w:spacing w:after="180" w:line="360" w:lineRule="auto"/>
        <w:jc w:val="both"/>
      </w:pPr>
      <w:r>
        <w:rPr>
          <w:rFonts w:ascii="Times New Roman" w:cs="Times New Roman" w:eastAsia="Times New Roman" w:hAnsi="Times New Roman"/>
          <w:sz w:val="24"/>
          <w:szCs w:val="24"/>
        </w:rPr>
        <w:t xml:space="preserve">The modern CI/CD cycle exposes these weaknesses further: every release of a monolith must be tested end-to-end as a single unit, and scaling the whole artefact to satisfy a single sub-module is prohibitively expensive [25, 28]. These pressures motivated the shift to distributed architectures.</w:t>
      </w:r>
    </w:p>
    <w:p>
      <w:pPr>
        <w:pStyle w:val="Heading3"/>
        <w:spacing w:after="120" w:before="240"/>
      </w:pPr>
      <w:r>
        <w:rPr>
          <w:rFonts w:ascii="Times New Roman" w:cs="Times New Roman" w:eastAsia="Times New Roman" w:hAnsi="Times New Roman"/>
          <w:b/>
          <w:bCs/>
          <w:sz w:val="26"/>
          <w:szCs w:val="26"/>
        </w:rPr>
        <w:t xml:space="preserve">2.1.2 Service-Oriented Architecture (SOA)</w:t>
      </w:r>
    </w:p>
    <w:p>
      <w:pPr>
        <w:spacing w:after="180" w:line="360" w:lineRule="auto"/>
        <w:jc w:val="both"/>
      </w:pPr>
      <w:r>
        <w:rPr>
          <w:rFonts w:ascii="Times New Roman" w:cs="Times New Roman" w:eastAsia="Times New Roman" w:hAnsi="Times New Roman"/>
          <w:sz w:val="24"/>
          <w:szCs w:val="24"/>
        </w:rPr>
        <w:t xml:space="preserve">SOA emerged in the mid-2000s as an attempt to decompose a monolith into reusable, independently deployable services that communicate through the network, mediated by a central Enterprise Service Bus (ESB) [4, 5]. Messages are typically XML/SOAP, emphasising formal contracts and the WS-* security family. SOA enables service reuse and centralised governance and remains viable in heterogeneous enterprise contexts [5], but the ESB itself can become a single point of failure and a performance bottleneck. The advantages and disadvantages are summarised in Table 2.2.</w:t>
      </w:r>
    </w:p>
    <w:p>
      <w:pPr>
        <w:spacing w:after="60" w:before="240" w:line="360" w:lineRule="auto"/>
        <w:jc w:val="center"/>
      </w:pPr>
      <w:r>
        <w:rPr>
          <w:rFonts w:ascii="Times New Roman" w:cs="Times New Roman" w:eastAsia="Times New Roman" w:hAnsi="Times New Roman"/>
          <w:i/>
          <w:iCs/>
          <w:color w:val="808080"/>
          <w:sz w:val="24"/>
          <w:szCs w:val="24"/>
        </w:rPr>
        <w:t xml:space="preserve">[ Figure 2.2: SOA — coarse-grained services communicating through a centralised Enterprise Service Bus — insert image here ]</w:t>
      </w:r>
    </w:p>
    <w:p>
      <w:pPr>
        <w:spacing w:after="240" w:before="0" w:line="360" w:lineRule="auto"/>
        <w:jc w:val="center"/>
      </w:pPr>
      <w:r>
        <w:rPr>
          <w:rFonts w:ascii="Times New Roman" w:cs="Times New Roman" w:eastAsia="Times New Roman" w:hAnsi="Times New Roman"/>
          <w:i/>
          <w:iCs/>
          <w:sz w:val="22"/>
          <w:szCs w:val="22"/>
        </w:rPr>
        <w:t xml:space="preserve">Figure 2.2: Service-Oriented Architecture (SOA)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rPr>
          <w:tblHeader/>
        </w:trPr>
        <w:tc>
          <w:tcPr>
            <w:tcW w:type="dxa" w:w="4536"/>
            <w:tcBorders>
              <w:top w:val="single" w:color="888888" w:sz="4"/>
              <w:left w:val="single" w:color="888888" w:sz="4"/>
              <w:bottom w:val="single" w:color="888888" w:sz="4"/>
              <w:right w:val="single" w:color="888888" w:sz="4"/>
            </w:tcBorders>
            <w:shd w:fill="E8E8E8" w:val="clear"/>
            <w:tcMar>
              <w:top w:type="dxa" w:w="100"/>
              <w:left w:type="dxa" w:w="140"/>
              <w:bottom w:type="dxa" w:w="100"/>
              <w:right w:type="dxa" w:w="140"/>
            </w:tcMar>
          </w:tcPr>
          <w:p>
            <w:pPr>
              <w:jc w:val="center"/>
            </w:pPr>
            <w:r>
              <w:rPr>
                <w:rFonts w:ascii="Times New Roman" w:cs="Times New Roman" w:eastAsia="Times New Roman" w:hAnsi="Times New Roman"/>
                <w:b/>
                <w:bCs/>
                <w:sz w:val="24"/>
                <w:szCs w:val="24"/>
              </w:rPr>
              <w:t xml:space="preserve">Advantages</w:t>
            </w:r>
          </w:p>
        </w:tc>
        <w:tc>
          <w:tcPr>
            <w:tcW w:type="dxa" w:w="4536"/>
            <w:tcBorders>
              <w:top w:val="single" w:color="888888" w:sz="4"/>
              <w:left w:val="single" w:color="888888" w:sz="4"/>
              <w:bottom w:val="single" w:color="888888" w:sz="4"/>
              <w:right w:val="single" w:color="888888" w:sz="4"/>
            </w:tcBorders>
            <w:shd w:fill="E8E8E8" w:val="clear"/>
            <w:tcMar>
              <w:top w:type="dxa" w:w="100"/>
              <w:left w:type="dxa" w:w="140"/>
              <w:bottom w:type="dxa" w:w="100"/>
              <w:right w:type="dxa" w:w="140"/>
            </w:tcMar>
          </w:tcPr>
          <w:p>
            <w:pPr>
              <w:jc w:val="center"/>
            </w:pPr>
            <w:r>
              <w:rPr>
                <w:rFonts w:ascii="Times New Roman" w:cs="Times New Roman" w:eastAsia="Times New Roman" w:hAnsi="Times New Roman"/>
                <w:b/>
                <w:bCs/>
                <w:sz w:val="24"/>
                <w:szCs w:val="24"/>
              </w:rPr>
              <w:t xml:space="preserve">Disadvantages</w:t>
            </w:r>
          </w:p>
        </w:tc>
      </w:tr>
      <w:tr>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Reusability: </w:t>
            </w:r>
            <w:r>
              <w:rPr>
                <w:rFonts w:ascii="Times New Roman" w:cs="Times New Roman" w:eastAsia="Times New Roman" w:hAnsi="Times New Roman"/>
                <w:sz w:val="22"/>
                <w:szCs w:val="22"/>
              </w:rPr>
              <w:t xml:space="preserve">services can be invoked by several consumers, including applications outside the originating enterprise, which reduces duplication of business logic.</w:t>
            </w:r>
          </w:p>
        </w:tc>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ESB as bottleneck: </w:t>
            </w:r>
            <w:r>
              <w:rPr>
                <w:rFonts w:ascii="Times New Roman" w:cs="Times New Roman" w:eastAsia="Times New Roman" w:hAnsi="Times New Roman"/>
                <w:sz w:val="22"/>
                <w:szCs w:val="22"/>
              </w:rPr>
              <w:t xml:space="preserve">all traffic passes through a single component, which can become the performance-limiting factor of the entire system [6].</w:t>
            </w:r>
          </w:p>
        </w:tc>
      </w:tr>
      <w:tr>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Flexibility: </w:t>
            </w:r>
            <w:r>
              <w:rPr>
                <w:rFonts w:ascii="Times New Roman" w:cs="Times New Roman" w:eastAsia="Times New Roman" w:hAnsi="Times New Roman"/>
                <w:sz w:val="22"/>
                <w:szCs w:val="22"/>
              </w:rPr>
              <w:t xml:space="preserve">new applications can be composed out of existing services, often without writing any new business logic at all.</w:t>
            </w:r>
          </w:p>
        </w:tc>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Coarse-grained services: </w:t>
            </w:r>
            <w:r>
              <w:rPr>
                <w:rFonts w:ascii="Times New Roman" w:cs="Times New Roman" w:eastAsia="Times New Roman" w:hAnsi="Times New Roman"/>
                <w:sz w:val="22"/>
                <w:szCs w:val="22"/>
              </w:rPr>
              <w:t xml:space="preserve">SOA services tend to be large, which reduces reusability in practice and reintroduces some of the tight coupling SOA was meant to avoid.</w:t>
            </w:r>
          </w:p>
        </w:tc>
      </w:tr>
      <w:tr>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Governance: </w:t>
            </w:r>
            <w:r>
              <w:rPr>
                <w:rFonts w:ascii="Times New Roman" w:cs="Times New Roman" w:eastAsia="Times New Roman" w:hAnsi="Times New Roman"/>
                <w:sz w:val="22"/>
                <w:szCs w:val="22"/>
              </w:rPr>
              <w:t xml:space="preserve">the ESB is a natural choke point for policy enforcement, security checks, and centralised auditing.</w:t>
            </w:r>
          </w:p>
        </w:tc>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Protocol overhead: </w:t>
            </w:r>
            <w:r>
              <w:rPr>
                <w:rFonts w:ascii="Times New Roman" w:cs="Times New Roman" w:eastAsia="Times New Roman" w:hAnsi="Times New Roman"/>
                <w:sz w:val="22"/>
                <w:szCs w:val="22"/>
              </w:rPr>
              <w:t xml:space="preserve">SOAP and XML are verbose, slow to parse, and hostile to a modern stack built around HTTP and JSON [5, 6].</w:t>
            </w:r>
          </w:p>
        </w:tc>
      </w:tr>
      <w:tr>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Standardisation: </w:t>
            </w:r>
            <w:r>
              <w:rPr>
                <w:rFonts w:ascii="Times New Roman" w:cs="Times New Roman" w:eastAsia="Times New Roman" w:hAnsi="Times New Roman"/>
                <w:sz w:val="22"/>
                <w:szCs w:val="22"/>
              </w:rPr>
              <w:t xml:space="preserve">the WS-* family of standards provides battle-tested specifications for security, transactions, and reliable messaging.</w:t>
            </w:r>
          </w:p>
        </w:tc>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Operational complexity: </w:t>
            </w:r>
            <w:r>
              <w:rPr>
                <w:rFonts w:ascii="Times New Roman" w:cs="Times New Roman" w:eastAsia="Times New Roman" w:hAnsi="Times New Roman"/>
                <w:sz w:val="22"/>
                <w:szCs w:val="22"/>
              </w:rPr>
              <w:t xml:space="preserve">an ESB is itself a non-trivial piece of software that requires its own operational expertise to deploy and maintain.</w:t>
            </w:r>
          </w:p>
        </w:tc>
      </w:tr>
    </w:tbl>
    <w:p>
      <w:pPr>
        <w:spacing w:after="240" w:before="60" w:line="360" w:lineRule="auto"/>
        <w:jc w:val="center"/>
      </w:pPr>
      <w:r>
        <w:rPr>
          <w:rFonts w:ascii="Times New Roman" w:cs="Times New Roman" w:eastAsia="Times New Roman" w:hAnsi="Times New Roman"/>
          <w:i/>
          <w:iCs/>
          <w:sz w:val="22"/>
          <w:szCs w:val="22"/>
        </w:rPr>
        <w:t xml:space="preserve">Table 2.2: Advantages and Disadvantages of SOA [4, 5, 6]</w:t>
      </w:r>
    </w:p>
    <w:p>
      <w:pPr>
        <w:pStyle w:val="Heading3"/>
        <w:spacing w:after="120" w:before="240"/>
      </w:pPr>
      <w:r>
        <w:rPr>
          <w:rFonts w:ascii="Times New Roman" w:cs="Times New Roman" w:eastAsia="Times New Roman" w:hAnsi="Times New Roman"/>
          <w:b/>
          <w:bCs/>
          <w:sz w:val="26"/>
          <w:szCs w:val="26"/>
        </w:rPr>
        <w:t xml:space="preserve">2.1.3 Microservices Architecture</w:t>
      </w:r>
    </w:p>
    <w:p>
      <w:pPr>
        <w:spacing w:after="180" w:line="360" w:lineRule="auto"/>
        <w:jc w:val="both"/>
      </w:pPr>
      <w:r>
        <w:rPr>
          <w:rFonts w:ascii="Times New Roman" w:cs="Times New Roman" w:eastAsia="Times New Roman" w:hAnsi="Times New Roman"/>
          <w:sz w:val="24"/>
          <w:szCs w:val="24"/>
        </w:rPr>
        <w:t xml:space="preserve">Microservices are often described as "SOA done right" [15]: the centralising ESB is abandoned in favour of what Lewis and Fowler called "smart endpoints and dumb pipes" [15]. Each service owns its logic and its data, and communication is deliberately lightweight — HTTP/JSON, gRPC [47], or asynchronous messages through a broker. A microservice is characterised by a small, well-defined responsibility, independent deployability, its own data store, and a lightweight communication contract [10]. This granularity is particularly compatible with the Cloud Continuum (Section 2.2): individual services can be deployed at the edge or in the cloud as appropriate for their latency and compute profile [7, 16]. The advantages and disadvantages are summarised in Table 2.3.</w:t>
      </w:r>
    </w:p>
    <w:p>
      <w:pPr>
        <w:spacing w:after="60" w:before="240" w:line="360" w:lineRule="auto"/>
        <w:jc w:val="center"/>
      </w:pPr>
      <w:r>
        <w:rPr>
          <w:rFonts w:ascii="Times New Roman" w:cs="Times New Roman" w:eastAsia="Times New Roman" w:hAnsi="Times New Roman"/>
          <w:i/>
          <w:iCs/>
          <w:color w:val="808080"/>
          <w:sz w:val="24"/>
          <w:szCs w:val="24"/>
        </w:rPr>
        <w:t xml:space="preserve">[ Figure 2.3: Microservices architecture — small, independent services communicating over lightweight protocols — insert image here ]</w:t>
      </w:r>
    </w:p>
    <w:p>
      <w:pPr>
        <w:spacing w:after="240" w:before="0" w:line="360" w:lineRule="auto"/>
        <w:jc w:val="center"/>
      </w:pPr>
      <w:r>
        <w:rPr>
          <w:rFonts w:ascii="Times New Roman" w:cs="Times New Roman" w:eastAsia="Times New Roman" w:hAnsi="Times New Roman"/>
          <w:i/>
          <w:iCs/>
          <w:sz w:val="22"/>
          <w:szCs w:val="22"/>
        </w:rPr>
        <w:t xml:space="preserve">Figure 2.3: Microservices architecture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rPr>
          <w:tblHeader/>
        </w:trPr>
        <w:tc>
          <w:tcPr>
            <w:tcW w:type="dxa" w:w="4536"/>
            <w:tcBorders>
              <w:top w:val="single" w:color="888888" w:sz="4"/>
              <w:left w:val="single" w:color="888888" w:sz="4"/>
              <w:bottom w:val="single" w:color="888888" w:sz="4"/>
              <w:right w:val="single" w:color="888888" w:sz="4"/>
            </w:tcBorders>
            <w:shd w:fill="E8E8E8" w:val="clear"/>
            <w:tcMar>
              <w:top w:type="dxa" w:w="100"/>
              <w:left w:type="dxa" w:w="140"/>
              <w:bottom w:type="dxa" w:w="100"/>
              <w:right w:type="dxa" w:w="140"/>
            </w:tcMar>
          </w:tcPr>
          <w:p>
            <w:pPr>
              <w:jc w:val="center"/>
            </w:pPr>
            <w:r>
              <w:rPr>
                <w:rFonts w:ascii="Times New Roman" w:cs="Times New Roman" w:eastAsia="Times New Roman" w:hAnsi="Times New Roman"/>
                <w:b/>
                <w:bCs/>
                <w:sz w:val="24"/>
                <w:szCs w:val="24"/>
              </w:rPr>
              <w:t xml:space="preserve">Advantages</w:t>
            </w:r>
          </w:p>
        </w:tc>
        <w:tc>
          <w:tcPr>
            <w:tcW w:type="dxa" w:w="4536"/>
            <w:tcBorders>
              <w:top w:val="single" w:color="888888" w:sz="4"/>
              <w:left w:val="single" w:color="888888" w:sz="4"/>
              <w:bottom w:val="single" w:color="888888" w:sz="4"/>
              <w:right w:val="single" w:color="888888" w:sz="4"/>
            </w:tcBorders>
            <w:shd w:fill="E8E8E8" w:val="clear"/>
            <w:tcMar>
              <w:top w:type="dxa" w:w="100"/>
              <w:left w:type="dxa" w:w="140"/>
              <w:bottom w:type="dxa" w:w="100"/>
              <w:right w:type="dxa" w:w="140"/>
            </w:tcMar>
          </w:tcPr>
          <w:p>
            <w:pPr>
              <w:jc w:val="center"/>
            </w:pPr>
            <w:r>
              <w:rPr>
                <w:rFonts w:ascii="Times New Roman" w:cs="Times New Roman" w:eastAsia="Times New Roman" w:hAnsi="Times New Roman"/>
                <w:b/>
                <w:bCs/>
                <w:sz w:val="24"/>
                <w:szCs w:val="24"/>
              </w:rPr>
              <w:t xml:space="preserve">Disadvantages</w:t>
            </w:r>
          </w:p>
        </w:tc>
      </w:tr>
      <w:tr>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Independent scalability: </w:t>
            </w:r>
            <w:r>
              <w:rPr>
                <w:rFonts w:ascii="Times New Roman" w:cs="Times New Roman" w:eastAsia="Times New Roman" w:hAnsi="Times New Roman"/>
                <w:sz w:val="22"/>
                <w:szCs w:val="22"/>
              </w:rPr>
              <w:t xml:space="preserve">each service is scaled on its own demand curve, so resources are allocated where they are actually needed [2, 16].</w:t>
            </w:r>
          </w:p>
        </w:tc>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Operational complexity: </w:t>
            </w:r>
            <w:r>
              <w:rPr>
                <w:rFonts w:ascii="Times New Roman" w:cs="Times New Roman" w:eastAsia="Times New Roman" w:hAnsi="Times New Roman"/>
                <w:sz w:val="22"/>
                <w:szCs w:val="22"/>
              </w:rPr>
              <w:t xml:space="preserve">a system composed of many services must be monitored, logged, and traced as a distributed whole, which requires additional tooling [2].</w:t>
            </w:r>
          </w:p>
        </w:tc>
      </w:tr>
      <w:tr>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Fault isolation: </w:t>
            </w:r>
            <w:r>
              <w:rPr>
                <w:rFonts w:ascii="Times New Roman" w:cs="Times New Roman" w:eastAsia="Times New Roman" w:hAnsi="Times New Roman"/>
                <w:sz w:val="22"/>
                <w:szCs w:val="22"/>
              </w:rPr>
              <w:t xml:space="preserve">the failure of one service is contained within its own process and, in a well-designed system, does not propagate.</w:t>
            </w:r>
          </w:p>
        </w:tc>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Network overhead: </w:t>
            </w:r>
            <w:r>
              <w:rPr>
                <w:rFonts w:ascii="Times New Roman" w:cs="Times New Roman" w:eastAsia="Times New Roman" w:hAnsi="Times New Roman"/>
                <w:sz w:val="22"/>
                <w:szCs w:val="22"/>
              </w:rPr>
              <w:t xml:space="preserve">intra-process calls become network calls, with the additional latency and failure modes that the network introduces [5].</w:t>
            </w:r>
          </w:p>
        </w:tc>
      </w:tr>
      <w:tr>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Technology diversity: </w:t>
            </w:r>
            <w:r>
              <w:rPr>
                <w:rFonts w:ascii="Times New Roman" w:cs="Times New Roman" w:eastAsia="Times New Roman" w:hAnsi="Times New Roman"/>
                <w:sz w:val="22"/>
                <w:szCs w:val="22"/>
              </w:rPr>
              <w:t xml:space="preserve">polyglot programming and polyglot persistence allow each service to use the most appropriate tool for its problem [15].</w:t>
            </w:r>
          </w:p>
        </w:tc>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Data consistency: </w:t>
            </w:r>
            <w:r>
              <w:rPr>
                <w:rFonts w:ascii="Times New Roman" w:cs="Times New Roman" w:eastAsia="Times New Roman" w:hAnsi="Times New Roman"/>
                <w:sz w:val="22"/>
                <w:szCs w:val="22"/>
              </w:rPr>
              <w:t xml:space="preserve">ACID transactions that span several services are not available, and patterns such as Saga (Section 2.3.2) must be adopted to compensate.</w:t>
            </w:r>
          </w:p>
        </w:tc>
      </w:tr>
      <w:tr>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Independent deployability: </w:t>
            </w:r>
            <w:r>
              <w:rPr>
                <w:rFonts w:ascii="Times New Roman" w:cs="Times New Roman" w:eastAsia="Times New Roman" w:hAnsi="Times New Roman"/>
                <w:sz w:val="22"/>
                <w:szCs w:val="22"/>
              </w:rPr>
              <w:t xml:space="preserve">teams can release their services on independent cadences, without coordinating with the rest of the organisation.</w:t>
            </w:r>
          </w:p>
        </w:tc>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Infrastructure cost: </w:t>
            </w:r>
            <w:r>
              <w:rPr>
                <w:rFonts w:ascii="Times New Roman" w:cs="Times New Roman" w:eastAsia="Times New Roman" w:hAnsi="Times New Roman"/>
                <w:sz w:val="22"/>
                <w:szCs w:val="22"/>
              </w:rPr>
              <w:t xml:space="preserve">each service typically runs in its own container, which increases the resource footprint of the platform as a whole.</w:t>
            </w:r>
          </w:p>
        </w:tc>
      </w:tr>
      <w:tr>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Organisational alignment: </w:t>
            </w:r>
            <w:r>
              <w:rPr>
                <w:rFonts w:ascii="Times New Roman" w:cs="Times New Roman" w:eastAsia="Times New Roman" w:hAnsi="Times New Roman"/>
                <w:sz w:val="22"/>
                <w:szCs w:val="22"/>
              </w:rPr>
              <w:t xml:space="preserve">Conway's law is turned to advantage: small services map naturally onto small, autonomous teams [15].</w:t>
            </w:r>
          </w:p>
        </w:tc>
        <w:tc>
          <w:tcPr>
            <w:tcW w:type="dxa" w:w="4536"/>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80" w:lineRule="auto"/>
              <w:jc w:val="left"/>
            </w:pPr>
            <w:r>
              <w:rPr>
                <w:rFonts w:ascii="Times New Roman" w:cs="Times New Roman" w:eastAsia="Times New Roman" w:hAnsi="Times New Roman"/>
                <w:b/>
                <w:bCs/>
                <w:sz w:val="22"/>
                <w:szCs w:val="22"/>
              </w:rPr>
              <w:t xml:space="preserve">Distributed-monolith risk: </w:t>
            </w:r>
            <w:r>
              <w:rPr>
                <w:rFonts w:ascii="Times New Roman" w:cs="Times New Roman" w:eastAsia="Times New Roman" w:hAnsi="Times New Roman"/>
                <w:sz w:val="22"/>
                <w:szCs w:val="22"/>
              </w:rPr>
              <w:t xml:space="preserve">a poorly partitioned set of services can produce all of the operational cost of a distributed system with none of its benefits [20, 21].</w:t>
            </w:r>
          </w:p>
        </w:tc>
      </w:tr>
    </w:tbl>
    <w:p>
      <w:pPr>
        <w:spacing w:after="240" w:before="60" w:line="360" w:lineRule="auto"/>
        <w:jc w:val="center"/>
      </w:pPr>
      <w:r>
        <w:rPr>
          <w:rFonts w:ascii="Times New Roman" w:cs="Times New Roman" w:eastAsia="Times New Roman" w:hAnsi="Times New Roman"/>
          <w:i/>
          <w:iCs/>
          <w:sz w:val="22"/>
          <w:szCs w:val="22"/>
        </w:rPr>
        <w:t xml:space="preserve">Table 2.3: Advantages and Disadvantages of Microservices [2, 10, 15, 16]</w:t>
      </w:r>
    </w:p>
    <w:p>
      <w:pPr>
        <w:pStyle w:val="Heading3"/>
        <w:spacing w:after="120" w:before="240"/>
      </w:pPr>
      <w:r>
        <w:rPr>
          <w:rFonts w:ascii="Times New Roman" w:cs="Times New Roman" w:eastAsia="Times New Roman" w:hAnsi="Times New Roman"/>
          <w:b/>
          <w:bCs/>
          <w:sz w:val="26"/>
          <w:szCs w:val="26"/>
        </w:rPr>
        <w:t xml:space="preserve">2.1.4 Choice of Architecture</w:t>
      </w:r>
    </w:p>
    <w:p>
      <w:pPr>
        <w:spacing w:after="180" w:line="360" w:lineRule="auto"/>
        <w:jc w:val="both"/>
      </w:pPr>
      <w:r>
        <w:rPr>
          <w:rFonts w:ascii="Times New Roman" w:cs="Times New Roman" w:eastAsia="Times New Roman" w:hAnsi="Times New Roman"/>
          <w:sz w:val="24"/>
          <w:szCs w:val="24"/>
        </w:rPr>
        <w:t xml:space="preserve">For SnapPark the choice is almost forced by the requirements set out in Chapter 3. Independent scalability is explicitly called for: the Violation Analysis Service is compute- and latency-bound by the Gemini API, while the Authentication Service is essentially I/O-bound — their load curves differ. High availability demands the fault isolation that only a distributed architecture offers. Extensibility, expressed as the ability to add new notification channels or event consumers without touching existing services, is the canonical motivation for event-driven publish/subscribe communication, best served by a microservices substrate.</w:t>
      </w:r>
    </w:p>
    <w:p>
      <w:pPr>
        <w:spacing w:after="180" w:line="360" w:lineRule="auto"/>
        <w:jc w:val="both"/>
      </w:pPr>
      <w:r>
        <w:rPr>
          <w:rFonts w:ascii="Times New Roman" w:cs="Times New Roman" w:eastAsia="Times New Roman" w:hAnsi="Times New Roman"/>
          <w:sz w:val="24"/>
          <w:szCs w:val="24"/>
        </w:rPr>
        <w:t xml:space="preserve">The monolith is therefore discarded because it cannot satisfy independent scaling and is at odds with the extensibility objective. SOA is discarded because the ESB would reintroduce the single point of failure that NFR2 forbids and because SOAP/XML overhead is unjustifiable on a payload that may carry a multi-megabyte image. </w:t>
      </w:r>
      <w:r>
        <w:rPr>
          <w:rFonts w:ascii="Times New Roman" w:cs="Times New Roman" w:eastAsia="Times New Roman" w:hAnsi="Times New Roman"/>
          <w:b/>
          <w:bCs/>
          <w:sz w:val="24"/>
          <w:szCs w:val="24"/>
        </w:rPr>
        <w:t xml:space="preserve">Microservices are therefore selected</w:t>
      </w:r>
      <w:r>
        <w:rPr>
          <w:rFonts w:ascii="Times New Roman" w:cs="Times New Roman" w:eastAsia="Times New Roman" w:hAnsi="Times New Roman"/>
          <w:sz w:val="24"/>
          <w:szCs w:val="24"/>
        </w:rPr>
        <w:t xml:space="preserve"> as the architectural foundation of SnapPark, in line with the practitioner consensus reported by Di Francesco et al. [3] and Dragoni et al. [28].</w:t>
      </w:r>
    </w:p>
    <w:p>
      <w:pPr>
        <w:pStyle w:val="Heading2"/>
        <w:spacing w:after="180" w:before="360"/>
      </w:pPr>
      <w:r>
        <w:rPr>
          <w:rFonts w:ascii="Times New Roman" w:cs="Times New Roman" w:eastAsia="Times New Roman" w:hAnsi="Times New Roman"/>
          <w:b/>
          <w:bCs/>
          <w:sz w:val="30"/>
          <w:szCs w:val="30"/>
        </w:rPr>
        <w:t xml:space="preserve">2.2 Cloud Computing and the Cloud Continuum</w:t>
      </w:r>
    </w:p>
    <w:p>
      <w:pPr>
        <w:spacing w:after="180" w:line="360" w:lineRule="auto"/>
        <w:jc w:val="both"/>
      </w:pPr>
      <w:r>
        <w:rPr>
          <w:rFonts w:ascii="Times New Roman" w:cs="Times New Roman" w:eastAsia="Times New Roman" w:hAnsi="Times New Roman"/>
          <w:sz w:val="24"/>
          <w:szCs w:val="24"/>
        </w:rPr>
        <w:t xml:space="preserve">Cloud Computing delivers compute, storage, and networking over the Internet on demand, replacing capital expenditure on hardware with operational expenditure on cloud resources [13, 27]. Its five NIST-defined characteristics — on-demand self-service, broad network access, resource pooling, rapid elasticity, and measured service [13] — together enable the horizontal scaling on which a microservices design depends. The </w:t>
      </w:r>
      <w:r>
        <w:rPr>
          <w:rFonts w:ascii="Times New Roman" w:cs="Times New Roman" w:eastAsia="Times New Roman" w:hAnsi="Times New Roman"/>
          <w:b/>
          <w:bCs/>
          <w:sz w:val="24"/>
          <w:szCs w:val="24"/>
        </w:rPr>
        <w:t xml:space="preserve">Cloud Continuum</w:t>
      </w:r>
      <w:r>
        <w:rPr>
          <w:rFonts w:ascii="Times New Roman" w:cs="Times New Roman" w:eastAsia="Times New Roman" w:hAnsi="Times New Roman"/>
          <w:sz w:val="24"/>
          <w:szCs w:val="24"/>
        </w:rPr>
        <w:t xml:space="preserve"> [7, 9] extends this idea by distributing computation from the cloud centre, through regional edge data centres, down to the mobile or IoT device at the far edge, so that latency-sensitive or bandwidth-constrained workloads can be placed close to their data source.</w:t>
      </w:r>
    </w:p>
    <w:p>
      <w:pPr>
        <w:spacing w:after="60" w:before="240" w:line="360" w:lineRule="auto"/>
        <w:jc w:val="center"/>
      </w:pPr>
      <w:r>
        <w:rPr>
          <w:rFonts w:ascii="Times New Roman" w:cs="Times New Roman" w:eastAsia="Times New Roman" w:hAnsi="Times New Roman"/>
          <w:i/>
          <w:iCs/>
          <w:color w:val="808080"/>
          <w:sz w:val="24"/>
          <w:szCs w:val="24"/>
        </w:rPr>
        <w:t xml:space="preserve">[ Figure 2.4: The Cloud Continuum — computation distributed from the far edge, through the near edge, to the cloud — insert image here ]</w:t>
      </w:r>
    </w:p>
    <w:p>
      <w:pPr>
        <w:spacing w:after="240" w:before="0" w:line="360" w:lineRule="auto"/>
        <w:jc w:val="center"/>
      </w:pPr>
      <w:r>
        <w:rPr>
          <w:rFonts w:ascii="Times New Roman" w:cs="Times New Roman" w:eastAsia="Times New Roman" w:hAnsi="Times New Roman"/>
          <w:i/>
          <w:iCs/>
          <w:sz w:val="22"/>
          <w:szCs w:val="22"/>
        </w:rPr>
        <w:t xml:space="preserve">Figure 2.4: The Cloud Continuum</w:t>
      </w:r>
    </w:p>
    <w:p>
      <w:pPr>
        <w:spacing w:after="180" w:line="360" w:lineRule="auto"/>
        <w:jc w:val="both"/>
      </w:pPr>
      <w:r>
        <w:rPr>
          <w:rFonts w:ascii="Times New Roman" w:cs="Times New Roman" w:eastAsia="Times New Roman" w:hAnsi="Times New Roman"/>
          <w:sz w:val="24"/>
          <w:szCs w:val="24"/>
        </w:rPr>
        <w:t xml:space="preserve">Microservices are the natural unit of deployment on the Cloud Continuum because their small, self-contained nature allows each one to be placed wherever it fits best. In SnapPark, the image-quality pre-filter could in principle run on the client or the near edge, while the Gemini reasoning step is best performed in the cloud where bandwidth and accelerated compute are plentiful. The current implementation runs the back-end entirely in the cloud, but the decomposition is such that a future migration of the validator to the edge would not require any change to the rest of the system.</w:t>
      </w:r>
    </w:p>
    <w:p>
      <w:pPr>
        <w:pStyle w:val="Heading2"/>
        <w:spacing w:after="180" w:before="360"/>
      </w:pPr>
      <w:r>
        <w:rPr>
          <w:rFonts w:ascii="Times New Roman" w:cs="Times New Roman" w:eastAsia="Times New Roman" w:hAnsi="Times New Roman"/>
          <w:b/>
          <w:bCs/>
          <w:sz w:val="30"/>
          <w:szCs w:val="30"/>
        </w:rPr>
        <w:t xml:space="preserve">2.3 Addressing Challenges in Microservice-Based Designs</w:t>
      </w:r>
    </w:p>
    <w:p>
      <w:pPr>
        <w:spacing w:after="180" w:line="360" w:lineRule="auto"/>
        <w:jc w:val="both"/>
      </w:pPr>
      <w:r>
        <w:rPr>
          <w:rFonts w:ascii="Times New Roman" w:cs="Times New Roman" w:eastAsia="Times New Roman" w:hAnsi="Times New Roman"/>
          <w:sz w:val="24"/>
          <w:szCs w:val="24"/>
        </w:rPr>
        <w:t xml:space="preserve">The decision to adopt microservices introduces a new class of problems that monoliths do not face: how do services discover one another in a dynamic environment; how do they communicate without becoming tightly coupled; how is data managed when no shared database exists; how are distributed transactions handled when ACID across services is not available; and how are services packaged and orchestrated at scale? Each of these challenges has produced a corresponding body of patterns. The remainder of this section discusses those patterns that were directly applied in SnapPark.</w:t>
      </w:r>
    </w:p>
    <w:p>
      <w:pPr>
        <w:pStyle w:val="Heading3"/>
        <w:spacing w:after="120" w:before="240"/>
      </w:pPr>
      <w:r>
        <w:rPr>
          <w:rFonts w:ascii="Times New Roman" w:cs="Times New Roman" w:eastAsia="Times New Roman" w:hAnsi="Times New Roman"/>
          <w:b/>
          <w:bCs/>
          <w:sz w:val="26"/>
          <w:szCs w:val="26"/>
        </w:rPr>
        <w:t xml:space="preserve">2.3.1 Microservice Identification and Domain-Driven Design</w:t>
      </w:r>
    </w:p>
    <w:p>
      <w:pPr>
        <w:spacing w:after="180" w:line="360" w:lineRule="auto"/>
        <w:jc w:val="both"/>
      </w:pPr>
      <w:r>
        <w:rPr>
          <w:rFonts w:ascii="Times New Roman" w:cs="Times New Roman" w:eastAsia="Times New Roman" w:hAnsi="Times New Roman"/>
          <w:sz w:val="24"/>
          <w:szCs w:val="24"/>
        </w:rPr>
        <w:t xml:space="preserve">A poorly partitioned set of microservices is worse than a monolith: it produces a </w:t>
      </w:r>
      <w:r>
        <w:rPr>
          <w:rFonts w:ascii="Times New Roman" w:cs="Times New Roman" w:eastAsia="Times New Roman" w:hAnsi="Times New Roman"/>
          <w:i/>
          <w:iCs/>
          <w:sz w:val="24"/>
          <w:szCs w:val="24"/>
        </w:rPr>
        <w:t xml:space="preserve">distributed monolith</w:t>
      </w:r>
      <w:r>
        <w:rPr>
          <w:rFonts w:ascii="Times New Roman" w:cs="Times New Roman" w:eastAsia="Times New Roman" w:hAnsi="Times New Roman"/>
          <w:sz w:val="24"/>
          <w:szCs w:val="24"/>
        </w:rPr>
        <w:t xml:space="preserve"> with all of the operational overhead but none of the independence [20, 21]. Domain-Driven Design (DDD), introduced by Evans [19] and extended by Vernon [21] and Khononov [20], offers a principled method for drawing service boundaries through the concept of the </w:t>
      </w:r>
      <w:r>
        <w:rPr>
          <w:rFonts w:ascii="Times New Roman" w:cs="Times New Roman" w:eastAsia="Times New Roman" w:hAnsi="Times New Roman"/>
          <w:i/>
          <w:iCs/>
          <w:sz w:val="24"/>
          <w:szCs w:val="24"/>
        </w:rPr>
        <w:t xml:space="preserve">bounded context</w:t>
      </w:r>
      <w:r>
        <w:rPr>
          <w:rFonts w:ascii="Times New Roman" w:cs="Times New Roman" w:eastAsia="Times New Roman" w:hAnsi="Times New Roman"/>
          <w:sz w:val="24"/>
          <w:szCs w:val="24"/>
        </w:rPr>
        <w:t xml:space="preserve"> — a region of the problem domain within which a consistent ubiquitous language applies. Services are defined around bounded contexts, not technical layers (UI, business logic, data) which would simply reproduce the monolith's coupling.</w:t>
      </w:r>
    </w:p>
    <w:p>
      <w:pPr>
        <w:spacing w:after="180" w:line="360" w:lineRule="auto"/>
        <w:jc w:val="both"/>
      </w:pPr>
      <w:r>
        <w:rPr>
          <w:rFonts w:ascii="Times New Roman" w:cs="Times New Roman" w:eastAsia="Times New Roman" w:hAnsi="Times New Roman"/>
          <w:sz w:val="24"/>
          <w:szCs w:val="24"/>
        </w:rPr>
        <w:t xml:space="preserve">Three bounded contexts emerge from a domain analysis of the SnapPark problem: (i) </w:t>
      </w:r>
      <w:r>
        <w:rPr>
          <w:rFonts w:ascii="Times New Roman" w:cs="Times New Roman" w:eastAsia="Times New Roman" w:hAnsi="Times New Roman"/>
          <w:i/>
          <w:iCs/>
          <w:sz w:val="24"/>
          <w:szCs w:val="24"/>
        </w:rPr>
        <w:t xml:space="preserve">User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Credential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Refresh Token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OTP</w:t>
      </w:r>
      <w:r>
        <w:rPr>
          <w:rFonts w:ascii="Times New Roman" w:cs="Times New Roman" w:eastAsia="Times New Roman" w:hAnsi="Times New Roman"/>
          <w:sz w:val="24"/>
          <w:szCs w:val="24"/>
        </w:rPr>
        <w:t xml:space="preserve"> (Authentication Service); (ii) </w:t>
      </w:r>
      <w:r>
        <w:rPr>
          <w:rFonts w:ascii="Times New Roman" w:cs="Times New Roman" w:eastAsia="Times New Roman" w:hAnsi="Times New Roman"/>
          <w:i/>
          <w:iCs/>
          <w:sz w:val="24"/>
          <w:szCs w:val="24"/>
        </w:rPr>
        <w:t xml:space="preserve">Case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Image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Analysis Result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Embedding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Audit Event</w:t>
      </w:r>
      <w:r>
        <w:rPr>
          <w:rFonts w:ascii="Times New Roman" w:cs="Times New Roman" w:eastAsia="Times New Roman" w:hAnsi="Times New Roman"/>
          <w:sz w:val="24"/>
          <w:szCs w:val="24"/>
        </w:rPr>
        <w:t xml:space="preserve"> (Violation Analysis Service); and (iii) </w:t>
      </w:r>
      <w:r>
        <w:rPr>
          <w:rFonts w:ascii="Times New Roman" w:cs="Times New Roman" w:eastAsia="Times New Roman" w:hAnsi="Times New Roman"/>
          <w:i/>
          <w:iCs/>
          <w:sz w:val="24"/>
          <w:szCs w:val="24"/>
        </w:rPr>
        <w:t xml:space="preserve">Notification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Channel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Preference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Delivery Log</w:t>
      </w:r>
      <w:r>
        <w:rPr>
          <w:rFonts w:ascii="Times New Roman" w:cs="Times New Roman" w:eastAsia="Times New Roman" w:hAnsi="Times New Roman"/>
          <w:sz w:val="24"/>
          <w:szCs w:val="24"/>
        </w:rPr>
        <w:t xml:space="preserve"> (Notification Service). Each context has its own ubiquitous language — the word "user" inside Authentication refers to an authenticatable principal with credentials, whereas in Violation Analysis it refers only to the opaque UUID owner of one or more cases. The API Gateway is not a microservice in this taxonomy: it owns no business logic and no business database, it is an infrastructural component.</w:t>
      </w:r>
    </w:p>
    <w:p>
      <w:pPr>
        <w:pStyle w:val="Heading3"/>
        <w:spacing w:after="120" w:before="240"/>
      </w:pPr>
      <w:r>
        <w:rPr>
          <w:rFonts w:ascii="Times New Roman" w:cs="Times New Roman" w:eastAsia="Times New Roman" w:hAnsi="Times New Roman"/>
          <w:b/>
          <w:bCs/>
          <w:sz w:val="26"/>
          <w:szCs w:val="26"/>
        </w:rPr>
        <w:t xml:space="preserve">2.3.2 Data Management</w:t>
      </w:r>
    </w:p>
    <w:p>
      <w:pPr>
        <w:spacing w:after="18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i/>
          <w:iCs/>
          <w:sz w:val="24"/>
          <w:szCs w:val="24"/>
        </w:rPr>
        <w:t xml:space="preserve">Database-per-Service</w:t>
      </w:r>
      <w:r>
        <w:rPr>
          <w:rFonts w:ascii="Times New Roman" w:cs="Times New Roman" w:eastAsia="Times New Roman" w:hAnsi="Times New Roman"/>
          <w:sz w:val="24"/>
          <w:szCs w:val="24"/>
        </w:rPr>
        <w:t xml:space="preserve"> pattern requires each service to own its data, with no other service reading or writing it directly [13, 25, 48]. External consumers must go through the owning API or, better, through its published events. The pattern avoids schema-level coupling and enables </w:t>
      </w:r>
      <w:r>
        <w:rPr>
          <w:rFonts w:ascii="Times New Roman" w:cs="Times New Roman" w:eastAsia="Times New Roman" w:hAnsi="Times New Roman"/>
          <w:i/>
          <w:iCs/>
          <w:sz w:val="24"/>
          <w:szCs w:val="24"/>
        </w:rPr>
        <w:t xml:space="preserve">polyglot persistence</w:t>
      </w:r>
      <w:r>
        <w:rPr>
          <w:rFonts w:ascii="Times New Roman" w:cs="Times New Roman" w:eastAsia="Times New Roman" w:hAnsi="Times New Roman"/>
          <w:sz w:val="24"/>
          <w:szCs w:val="24"/>
        </w:rPr>
        <w:t xml:space="preserve"> [48]. Its consequences are that cross-service JOINs are no longer possible and ACID transactions across services are unavailable. Three patterns address these consequences.</w:t>
      </w:r>
    </w:p>
    <w:p>
      <w:pPr>
        <w:spacing w:after="60" w:before="240" w:line="360" w:lineRule="auto"/>
        <w:jc w:val="center"/>
      </w:pPr>
      <w:r>
        <w:rPr>
          <w:rFonts w:ascii="Times New Roman" w:cs="Times New Roman" w:eastAsia="Times New Roman" w:hAnsi="Times New Roman"/>
          <w:i/>
          <w:iCs/>
          <w:color w:val="808080"/>
          <w:sz w:val="24"/>
          <w:szCs w:val="24"/>
        </w:rPr>
        <w:t xml:space="preserve">[ Figure 2.5: Database per Service — each service owns its data and cannot be bypassed by other services — insert image here ]</w:t>
      </w:r>
    </w:p>
    <w:p>
      <w:pPr>
        <w:spacing w:after="240" w:before="0" w:line="360" w:lineRule="auto"/>
        <w:jc w:val="center"/>
      </w:pPr>
      <w:r>
        <w:rPr>
          <w:rFonts w:ascii="Times New Roman" w:cs="Times New Roman" w:eastAsia="Times New Roman" w:hAnsi="Times New Roman"/>
          <w:i/>
          <w:iCs/>
          <w:sz w:val="22"/>
          <w:szCs w:val="22"/>
        </w:rPr>
        <w:t xml:space="preserve">Figure 2.5: Database-per-Service pattern</w:t>
      </w:r>
    </w:p>
    <w:p>
      <w:pPr>
        <w:spacing w:after="180" w:line="360" w:lineRule="auto"/>
        <w:jc w:val="both"/>
      </w:pPr>
      <w:r>
        <w:rPr>
          <w:rFonts w:ascii="Times New Roman" w:cs="Times New Roman" w:eastAsia="Times New Roman" w:hAnsi="Times New Roman"/>
          <w:b/>
          <w:bCs/>
          <w:sz w:val="24"/>
          <w:szCs w:val="24"/>
        </w:rPr>
        <w:t xml:space="preserve">CQRS</w:t>
      </w:r>
      <w:r>
        <w:rPr>
          <w:rFonts w:ascii="Times New Roman" w:cs="Times New Roman" w:eastAsia="Times New Roman" w:hAnsi="Times New Roman"/>
          <w:sz w:val="24"/>
          <w:szCs w:val="24"/>
        </w:rPr>
        <w:t xml:space="preserve"> [11] separates the </w:t>
      </w:r>
      <w:r>
        <w:rPr>
          <w:rFonts w:ascii="Times New Roman" w:cs="Times New Roman" w:eastAsia="Times New Roman" w:hAnsi="Times New Roman"/>
          <w:i/>
          <w:iCs/>
          <w:sz w:val="24"/>
          <w:szCs w:val="24"/>
        </w:rPr>
        <w:t xml:space="preserve">command</w:t>
      </w:r>
      <w:r>
        <w:rPr>
          <w:rFonts w:ascii="Times New Roman" w:cs="Times New Roman" w:eastAsia="Times New Roman" w:hAnsi="Times New Roman"/>
          <w:sz w:val="24"/>
          <w:szCs w:val="24"/>
        </w:rPr>
        <w:t xml:space="preserve"> model (writes) from the </w:t>
      </w:r>
      <w:r>
        <w:rPr>
          <w:rFonts w:ascii="Times New Roman" w:cs="Times New Roman" w:eastAsia="Times New Roman" w:hAnsi="Times New Roman"/>
          <w:i/>
          <w:iCs/>
          <w:sz w:val="24"/>
          <w:szCs w:val="24"/>
        </w:rPr>
        <w:t xml:space="preserve">query</w:t>
      </w:r>
      <w:r>
        <w:rPr>
          <w:rFonts w:ascii="Times New Roman" w:cs="Times New Roman" w:eastAsia="Times New Roman" w:hAnsi="Times New Roman"/>
          <w:sz w:val="24"/>
          <w:szCs w:val="24"/>
        </w:rPr>
        <w:t xml:space="preserve"> model (reads), letting reads be optimised independently of writes and shaped by event-driven projections. </w:t>
      </w:r>
      <w:r>
        <w:rPr>
          <w:rFonts w:ascii="Times New Roman" w:cs="Times New Roman" w:eastAsia="Times New Roman" w:hAnsi="Times New Roman"/>
          <w:b/>
          <w:bCs/>
          <w:sz w:val="24"/>
          <w:szCs w:val="24"/>
        </w:rPr>
        <w:t xml:space="preserve">Event Sourcing</w:t>
      </w:r>
      <w:r>
        <w:rPr>
          <w:rFonts w:ascii="Times New Roman" w:cs="Times New Roman" w:eastAsia="Times New Roman" w:hAnsi="Times New Roman"/>
          <w:sz w:val="24"/>
          <w:szCs w:val="24"/>
        </w:rPr>
        <w:t xml:space="preserve"> [12] stores not only current state but the full history of events; state is reconstructed by replay. The two patterns combine well and produce an immutable audit trail naturally aligned with the Auditability objective. </w:t>
      </w:r>
      <w:r>
        <w:rPr>
          <w:rFonts w:ascii="Times New Roman" w:cs="Times New Roman" w:eastAsia="Times New Roman" w:hAnsi="Times New Roman"/>
          <w:b/>
          <w:bCs/>
          <w:sz w:val="24"/>
          <w:szCs w:val="24"/>
        </w:rPr>
        <w:t xml:space="preserve">The Saga Pattern</w:t>
      </w:r>
      <w:r>
        <w:rPr>
          <w:rFonts w:ascii="Times New Roman" w:cs="Times New Roman" w:eastAsia="Times New Roman" w:hAnsi="Times New Roman"/>
          <w:sz w:val="24"/>
          <w:szCs w:val="24"/>
        </w:rPr>
        <w:t xml:space="preserve"> [26, 29], proposed by Garcia-Molina and Salem in 1987 [26], replaces a distributed ACID transaction with a sequence of local transactions, each emitting an event on completion; on failure, </w:t>
      </w:r>
      <w:r>
        <w:rPr>
          <w:rFonts w:ascii="Times New Roman" w:cs="Times New Roman" w:eastAsia="Times New Roman" w:hAnsi="Times New Roman"/>
          <w:i/>
          <w:iCs/>
          <w:sz w:val="24"/>
          <w:szCs w:val="24"/>
        </w:rPr>
        <w:t xml:space="preserve">compensating</w:t>
      </w:r>
      <w:r>
        <w:rPr>
          <w:rFonts w:ascii="Times New Roman" w:cs="Times New Roman" w:eastAsia="Times New Roman" w:hAnsi="Times New Roman"/>
          <w:sz w:val="24"/>
          <w:szCs w:val="24"/>
        </w:rPr>
        <w:t xml:space="preserve"> transactions semantically undo the preceding ones. Sagas come in two flavours — </w:t>
      </w:r>
      <w:r>
        <w:rPr>
          <w:rFonts w:ascii="Times New Roman" w:cs="Times New Roman" w:eastAsia="Times New Roman" w:hAnsi="Times New Roman"/>
          <w:i/>
          <w:iCs/>
          <w:sz w:val="24"/>
          <w:szCs w:val="24"/>
        </w:rPr>
        <w:t xml:space="preserve">choreographed</w:t>
      </w:r>
      <w:r>
        <w:rPr>
          <w:rFonts w:ascii="Times New Roman" w:cs="Times New Roman" w:eastAsia="Times New Roman" w:hAnsi="Times New Roman"/>
          <w:sz w:val="24"/>
          <w:szCs w:val="24"/>
        </w:rPr>
        <w:t xml:space="preserve"> (services react to events without a central coordinator) and </w:t>
      </w:r>
      <w:r>
        <w:rPr>
          <w:rFonts w:ascii="Times New Roman" w:cs="Times New Roman" w:eastAsia="Times New Roman" w:hAnsi="Times New Roman"/>
          <w:i/>
          <w:iCs/>
          <w:sz w:val="24"/>
          <w:szCs w:val="24"/>
        </w:rPr>
        <w:t xml:space="preserve">orchestrated</w:t>
      </w:r>
      <w:r>
        <w:rPr>
          <w:rFonts w:ascii="Times New Roman" w:cs="Times New Roman" w:eastAsia="Times New Roman" w:hAnsi="Times New Roman"/>
          <w:sz w:val="24"/>
          <w:szCs w:val="24"/>
        </w:rPr>
        <w:t xml:space="preserve"> (a coordinator drives the workflow and triggers compensations). SnapPark uses an </w:t>
      </w:r>
      <w:r>
        <w:rPr>
          <w:rFonts w:ascii="Times New Roman" w:cs="Times New Roman" w:eastAsia="Times New Roman" w:hAnsi="Times New Roman"/>
          <w:b/>
          <w:bCs/>
          <w:sz w:val="24"/>
          <w:szCs w:val="24"/>
        </w:rPr>
        <w:t xml:space="preserve">orchestrated saga</w:t>
      </w:r>
      <w:r>
        <w:rPr>
          <w:rFonts w:ascii="Times New Roman" w:cs="Times New Roman" w:eastAsia="Times New Roman" w:hAnsi="Times New Roman"/>
          <w:sz w:val="24"/>
          <w:szCs w:val="24"/>
        </w:rPr>
        <w:t xml:space="preserve"> because the case-creation workflow has a deterministic linear shape for which a coordinator is simpler to reason about, and because persisting saga state to a `sagas` table gives a single inspection point for debugging. The orchestrated style is also preferred over choreography in the recent industrial literature when the number of steps is known up-front and the latency budget is tight [10, 17, 48]. The two-phase commit (2PC) alternative was discarded because it requires all participants to support a distributed transaction manager, which neither PostgreSQL drivers nor the Gemini API expose [10].</w:t>
      </w:r>
    </w:p>
    <w:p>
      <w:pPr>
        <w:spacing w:after="60" w:before="240" w:line="360" w:lineRule="auto"/>
        <w:jc w:val="center"/>
      </w:pPr>
      <w:r>
        <w:rPr>
          <w:rFonts w:ascii="Times New Roman" w:cs="Times New Roman" w:eastAsia="Times New Roman" w:hAnsi="Times New Roman"/>
          <w:i/>
          <w:iCs/>
          <w:color w:val="808080"/>
          <w:sz w:val="24"/>
          <w:szCs w:val="24"/>
        </w:rPr>
        <w:t xml:space="preserve">[ Figure 2.6: Orchestrated Saga — a central coordinator drives the workflow forward and triggers compensation in reverse on failure — insert image here ]</w:t>
      </w:r>
    </w:p>
    <w:p>
      <w:pPr>
        <w:spacing w:after="240" w:before="0" w:line="360" w:lineRule="auto"/>
        <w:jc w:val="center"/>
      </w:pPr>
      <w:r>
        <w:rPr>
          <w:rFonts w:ascii="Times New Roman" w:cs="Times New Roman" w:eastAsia="Times New Roman" w:hAnsi="Times New Roman"/>
          <w:i/>
          <w:iCs/>
          <w:sz w:val="22"/>
          <w:szCs w:val="22"/>
        </w:rPr>
        <w:t xml:space="preserve">Figure 2.6: Orchestrated Saga pattern</w:t>
      </w:r>
    </w:p>
    <w:p>
      <w:pPr>
        <w:pStyle w:val="Heading3"/>
        <w:spacing w:after="120" w:before="240"/>
      </w:pPr>
      <w:r>
        <w:rPr>
          <w:rFonts w:ascii="Times New Roman" w:cs="Times New Roman" w:eastAsia="Times New Roman" w:hAnsi="Times New Roman"/>
          <w:b/>
          <w:bCs/>
          <w:sz w:val="26"/>
          <w:szCs w:val="26"/>
        </w:rPr>
        <w:t xml:space="preserve">2.3.3 API Gateway</w:t>
      </w:r>
    </w:p>
    <w:p>
      <w:pPr>
        <w:spacing w:after="180" w:line="360" w:lineRule="auto"/>
        <w:jc w:val="both"/>
      </w:pPr>
      <w:r>
        <w:rPr>
          <w:rFonts w:ascii="Times New Roman" w:cs="Times New Roman" w:eastAsia="Times New Roman" w:hAnsi="Times New Roman"/>
          <w:sz w:val="24"/>
          <w:szCs w:val="24"/>
        </w:rPr>
        <w:t xml:space="preserve">Direct client-to-service interaction is chatty, fragile, and hard to secure: every client must know every endpoint and implement its own retry and rate-limiting logic. The API Gateway pattern [6, 10] introduces a single entry point that handles routing, authentication, rate limiting, request/response transformation, and observability. The client sees one API surface, and the internal decomposition becomes free to evolve. Several off-the-shelf implementations exist (Kong, AWS API Gateway, Spring Cloud Gateway). SnapPark uses a </w:t>
      </w:r>
      <w:r>
        <w:rPr>
          <w:rFonts w:ascii="Times New Roman" w:cs="Times New Roman" w:eastAsia="Times New Roman" w:hAnsi="Times New Roman"/>
          <w:b/>
          <w:bCs/>
          <w:sz w:val="24"/>
          <w:szCs w:val="24"/>
        </w:rPr>
        <w:t xml:space="preserve">bespoke Express.js gateway</w:t>
      </w:r>
      <w:r>
        <w:rPr>
          <w:rFonts w:ascii="Times New Roman" w:cs="Times New Roman" w:eastAsia="Times New Roman" w:hAnsi="Times New Roman"/>
          <w:sz w:val="24"/>
          <w:szCs w:val="24"/>
        </w:rPr>
        <w:t xml:space="preserve"> rather than an off-the-shelf product because the dissertation-scale system does not justify the operational complexity of Kong or the cloud lock-in of AWS API Gateway, and because keeping every middleware step in a single readable file is pedagogically more valuable.</w:t>
      </w:r>
    </w:p>
    <w:p>
      <w:pPr>
        <w:pStyle w:val="Heading3"/>
        <w:spacing w:after="120" w:before="240"/>
      </w:pPr>
      <w:r>
        <w:rPr>
          <w:rFonts w:ascii="Times New Roman" w:cs="Times New Roman" w:eastAsia="Times New Roman" w:hAnsi="Times New Roman"/>
          <w:b/>
          <w:bCs/>
          <w:sz w:val="26"/>
          <w:szCs w:val="26"/>
        </w:rPr>
        <w:t xml:space="preserve">2.3.4 Service Discovery</w:t>
      </w:r>
    </w:p>
    <w:p>
      <w:pPr>
        <w:spacing w:after="180" w:line="360" w:lineRule="auto"/>
        <w:jc w:val="both"/>
      </w:pPr>
      <w:r>
        <w:rPr>
          <w:rFonts w:ascii="Times New Roman" w:cs="Times New Roman" w:eastAsia="Times New Roman" w:hAnsi="Times New Roman"/>
          <w:sz w:val="24"/>
          <w:szCs w:val="24"/>
        </w:rPr>
        <w:t xml:space="preserve">In a dynamic environment, hard-coded service addresses are a liability. Service Discovery [16, 18] lets services register with a registry on start-up and lets clients (or a server-side proxy) query it. Kubernetes [14] implements server-side discovery through stable DNS names, while Docker Compose [8] provides a simpler approximation in development through container-name resolution. SnapPark uses both — Compose for development, Kubernetes for production — without any change to the application code.</w:t>
      </w:r>
    </w:p>
    <w:p>
      <w:pPr>
        <w:pStyle w:val="Heading3"/>
        <w:spacing w:after="120" w:before="240"/>
      </w:pPr>
      <w:r>
        <w:rPr>
          <w:rFonts w:ascii="Times New Roman" w:cs="Times New Roman" w:eastAsia="Times New Roman" w:hAnsi="Times New Roman"/>
          <w:b/>
          <w:bCs/>
          <w:sz w:val="26"/>
          <w:szCs w:val="26"/>
        </w:rPr>
        <w:t xml:space="preserve">2.3.5 Communication: Synchronous versus Asynchronous</w:t>
      </w:r>
    </w:p>
    <w:p>
      <w:pPr>
        <w:spacing w:after="180" w:line="360" w:lineRule="auto"/>
        <w:jc w:val="both"/>
      </w:pPr>
      <w:r>
        <w:rPr>
          <w:rFonts w:ascii="Times New Roman" w:cs="Times New Roman" w:eastAsia="Times New Roman" w:hAnsi="Times New Roman"/>
          <w:sz w:val="24"/>
          <w:szCs w:val="24"/>
        </w:rPr>
        <w:t xml:space="preserve">Two complementary styles exist [2, 10]. </w:t>
      </w:r>
      <w:r>
        <w:rPr>
          <w:rFonts w:ascii="Times New Roman" w:cs="Times New Roman" w:eastAsia="Times New Roman" w:hAnsi="Times New Roman"/>
          <w:b/>
          <w:bCs/>
          <w:sz w:val="24"/>
          <w:szCs w:val="24"/>
        </w:rPr>
        <w:t xml:space="preserve">Synchronous</w:t>
      </w:r>
      <w:r>
        <w:rPr>
          <w:rFonts w:ascii="Times New Roman" w:cs="Times New Roman" w:eastAsia="Times New Roman" w:hAnsi="Times New Roman"/>
          <w:sz w:val="24"/>
          <w:szCs w:val="24"/>
        </w:rPr>
        <w:t xml:space="preserve"> communication (HTTP/JSON, gRPC [47]) is simple to reason about and appropriate when the caller must have the result to continue, but it introduces </w:t>
      </w:r>
      <w:r>
        <w:rPr>
          <w:rFonts w:ascii="Times New Roman" w:cs="Times New Roman" w:eastAsia="Times New Roman" w:hAnsi="Times New Roman"/>
          <w:i/>
          <w:iCs/>
          <w:sz w:val="24"/>
          <w:szCs w:val="24"/>
        </w:rPr>
        <w:t xml:space="preserve">temporal coupling</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cascading failure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Asynchronous</w:t>
      </w:r>
      <w:r>
        <w:rPr>
          <w:rFonts w:ascii="Times New Roman" w:cs="Times New Roman" w:eastAsia="Times New Roman" w:hAnsi="Times New Roman"/>
          <w:sz w:val="24"/>
          <w:szCs w:val="24"/>
        </w:rPr>
        <w:t xml:space="preserve"> communication through a publish/subscribe broker decouples producer from consumer in time: the broker stores undelivered messages, so a temporarily-down consumer does not lose them. Asynchronous messaging is the canonical substrate for event-driven architectures [10, 23, 40] and is essential to SnapPark's extensibility objective. SnapPark uses both styles: synchronous for the user-facing upload→analyse→verdict flow (the citizen is waiting), asynchronous for notification fan-out and audit logging (not on the critical path; future consumers must plug in without redeploying the producer).</w:t>
      </w:r>
    </w:p>
    <w:p>
      <w:pPr>
        <w:pStyle w:val="Heading3"/>
        <w:spacing w:after="120" w:before="240"/>
      </w:pPr>
      <w:r>
        <w:rPr>
          <w:rFonts w:ascii="Times New Roman" w:cs="Times New Roman" w:eastAsia="Times New Roman" w:hAnsi="Times New Roman"/>
          <w:b/>
          <w:bCs/>
          <w:sz w:val="26"/>
          <w:szCs w:val="26"/>
        </w:rPr>
        <w:t xml:space="preserve">2.3.6 Containerisation and Orchestration</w:t>
      </w:r>
    </w:p>
    <w:p>
      <w:pPr>
        <w:spacing w:after="180" w:line="360" w:lineRule="auto"/>
        <w:jc w:val="both"/>
      </w:pPr>
      <w:r>
        <w:rPr>
          <w:rFonts w:ascii="Times New Roman" w:cs="Times New Roman" w:eastAsia="Times New Roman" w:hAnsi="Times New Roman"/>
          <w:sz w:val="24"/>
          <w:szCs w:val="24"/>
        </w:rPr>
        <w:t xml:space="preserve">Containers package an application with its OS dependencies into a portable, immutable image executable identically on a laptop, in CI/CD, or on a cluster [8, 49]. Docker is the de facto standard. </w:t>
      </w:r>
      <w:r>
        <w:rPr>
          <w:rFonts w:ascii="Times New Roman" w:cs="Times New Roman" w:eastAsia="Times New Roman" w:hAnsi="Times New Roman"/>
          <w:b/>
          <w:bCs/>
          <w:sz w:val="24"/>
          <w:szCs w:val="24"/>
        </w:rPr>
        <w:t xml:space="preserve">Docker Compose</w:t>
      </w:r>
      <w:r>
        <w:rPr>
          <w:rFonts w:ascii="Times New Roman" w:cs="Times New Roman" w:eastAsia="Times New Roman" w:hAnsi="Times New Roman"/>
          <w:sz w:val="24"/>
          <w:szCs w:val="24"/>
        </w:rPr>
        <w:t xml:space="preserve"> [8] runs multi-container applications on a single host, which is ideal for development; </w:t>
      </w:r>
      <w:r>
        <w:rPr>
          <w:rFonts w:ascii="Times New Roman" w:cs="Times New Roman" w:eastAsia="Times New Roman" w:hAnsi="Times New Roman"/>
          <w:b/>
          <w:bCs/>
          <w:sz w:val="24"/>
          <w:szCs w:val="24"/>
        </w:rPr>
        <w:t xml:space="preserve">Kubernetes</w:t>
      </w:r>
      <w:r>
        <w:rPr>
          <w:rFonts w:ascii="Times New Roman" w:cs="Times New Roman" w:eastAsia="Times New Roman" w:hAnsi="Times New Roman"/>
          <w:sz w:val="24"/>
          <w:szCs w:val="24"/>
        </w:rPr>
        <w:t xml:space="preserve"> [14, 35] orchestrates containers across a fleet, handles scheduling, restarts, autoscaling, service discovery, secret management, and ingress routing. Kubernetes was preferred over Docker Swarm and HashiCorp Nomad [50] for its dominant market position, mature HPA implementation, and the abundance of cloud-managed offerings (GKE, EKS, AKS). SnapPark ships Kubernetes manifests for every component so that the same images used under Compose can be deployed unchanged to a cluster.</w:t>
      </w:r>
    </w:p>
    <w:p>
      <w:pPr>
        <w:pStyle w:val="Heading2"/>
        <w:spacing w:after="180" w:before="360"/>
      </w:pPr>
      <w:r>
        <w:rPr>
          <w:rFonts w:ascii="Times New Roman" w:cs="Times New Roman" w:eastAsia="Times New Roman" w:hAnsi="Times New Roman"/>
          <w:b/>
          <w:bCs/>
          <w:sz w:val="30"/>
          <w:szCs w:val="30"/>
        </w:rPr>
        <w:t xml:space="preserve">2.4 AI and Large Language Models in Image Analysis</w:t>
      </w:r>
    </w:p>
    <w:p>
      <w:pPr>
        <w:spacing w:after="180" w:line="360" w:lineRule="auto"/>
        <w:jc w:val="both"/>
      </w:pPr>
      <w:r>
        <w:rPr>
          <w:rFonts w:ascii="Times New Roman" w:cs="Times New Roman" w:eastAsia="Times New Roman" w:hAnsi="Times New Roman"/>
          <w:sz w:val="24"/>
          <w:szCs w:val="24"/>
        </w:rPr>
        <w:t xml:space="preserve">Traditional visual recognition relies on supervised Convolutional Neural Networks (CNNs) trained on a large, task-specific dataset. For parking-violation detection this approach requires a curated dataset of hundreds of thousands of labelled images, a GPU training pipeline, and continuous retraining as the data distribution drifts — costs beyond a single-developer project. The last three years have seen vision-capable Large Language Models — Google Gemini [30], OpenAI GPT-4V [51], Anthropic Claude [52], and open-weight options such as LLaVA [53] — exhibit zero-shot and few-shot reasoning capabilities over images. For a dissertation-scale project aiming to demonstrate sound microservices architecture rather than state-of-the-art computer vision, an LLM is the pragmatic choice: there is no training dataset to curate, the output naturally carries the explanation the citizen expects, and the call site can be confined to one module behind a stable interface so the model can be swapped later.</w:t>
      </w:r>
    </w:p>
    <w:p>
      <w:pPr>
        <w:spacing w:after="180" w:line="360" w:lineRule="auto"/>
        <w:jc w:val="both"/>
      </w:pPr>
      <w:r>
        <w:rPr>
          <w:rFonts w:ascii="Times New Roman" w:cs="Times New Roman" w:eastAsia="Times New Roman" w:hAnsi="Times New Roman"/>
          <w:sz w:val="24"/>
          <w:szCs w:val="24"/>
        </w:rPr>
        <w:t xml:space="preserve">Gemini was preferred over GPT-4V and Claude for three specific reasons. First, the official JavaScript SDK [24] is well-maintained and matches the Node.js stack chosen for the rest of the system. Second, the `gemini-2.5-flash` model is priced at a fraction of GPT-4o or Claude 3.5 Sonnet per image, which keeps the operational cost of the dissertation demo negligible [30]. Third, Google publishes a companion embedding model (`text-embedding-004`) that shares credentials with the vision model, so the same API key supports both the verdict-generation and the similarity-search use cases. The trade-offs (occasional hallucination, third-party latency, per-call pricing, privacy of citizen-uploaded images) are real and are revisited in Chapters 6 and 10.</w:t>
      </w:r>
    </w:p>
    <w:p>
      <w:pPr>
        <w:pStyle w:val="Heading2"/>
        <w:spacing w:after="180" w:before="360"/>
      </w:pPr>
      <w:r>
        <w:rPr>
          <w:rFonts w:ascii="Times New Roman" w:cs="Times New Roman" w:eastAsia="Times New Roman" w:hAnsi="Times New Roman"/>
          <w:b/>
          <w:bCs/>
          <w:sz w:val="30"/>
          <w:szCs w:val="30"/>
        </w:rPr>
        <w:t xml:space="preserve">2.5 Similar Projects</w:t>
      </w:r>
    </w:p>
    <w:p>
      <w:pPr>
        <w:spacing w:after="180" w:line="360" w:lineRule="auto"/>
        <w:jc w:val="both"/>
      </w:pPr>
      <w:r>
        <w:rPr>
          <w:rFonts w:ascii="Times New Roman" w:cs="Times New Roman" w:eastAsia="Times New Roman" w:hAnsi="Times New Roman"/>
          <w:sz w:val="24"/>
          <w:szCs w:val="24"/>
        </w:rPr>
        <w:t xml:space="preserve">Several civic-technology projects address adjacent problems. </w:t>
      </w:r>
      <w:r>
        <w:rPr>
          <w:rFonts w:ascii="Times New Roman" w:cs="Times New Roman" w:eastAsia="Times New Roman" w:hAnsi="Times New Roman"/>
          <w:i/>
          <w:iCs/>
          <w:sz w:val="24"/>
          <w:szCs w:val="24"/>
        </w:rPr>
        <w:t xml:space="preserve">FixMyStreet</w:t>
      </w:r>
      <w:r>
        <w:rPr>
          <w:rFonts w:ascii="Times New Roman" w:cs="Times New Roman" w:eastAsia="Times New Roman" w:hAnsi="Times New Roman"/>
          <w:sz w:val="24"/>
          <w:szCs w:val="24"/>
        </w:rPr>
        <w:t xml:space="preserve">, developed by mySociety in the UK [29], allows citizens to report potholes, graffiti, fly-tipping, and similar issues through a web or mobile application; it is, however, a pure-reporting system without any automated analysis of the attached media. </w:t>
      </w:r>
      <w:r>
        <w:rPr>
          <w:rFonts w:ascii="Times New Roman" w:cs="Times New Roman" w:eastAsia="Times New Roman" w:hAnsi="Times New Roman"/>
          <w:i/>
          <w:iCs/>
          <w:sz w:val="24"/>
          <w:szCs w:val="24"/>
        </w:rPr>
        <w:t xml:space="preserve">SeeClickFix</w:t>
      </w:r>
      <w:r>
        <w:rPr>
          <w:rFonts w:ascii="Times New Roman" w:cs="Times New Roman" w:eastAsia="Times New Roman" w:hAnsi="Times New Roman"/>
          <w:sz w:val="24"/>
          <w:szCs w:val="24"/>
        </w:rPr>
        <w:t xml:space="preserve">, widely used in the United States [54], follows the same pattern. On the enforcement side, Automatic Number-Plate Recognition (ANPR) systems are deployed by many municipalities [55] but operate from fixed cameras and reason only about the registration plate, not the wider parking scene. None of these systems combines citizen-driven reporting with AI-based visual reasoning the way SnapPark proposes.</w:t>
      </w:r>
    </w:p>
    <w:p>
      <w:pPr>
        <w:pStyle w:val="Heading2"/>
        <w:spacing w:after="180" w:before="360"/>
      </w:pPr>
      <w:r>
        <w:rPr>
          <w:rFonts w:ascii="Times New Roman" w:cs="Times New Roman" w:eastAsia="Times New Roman" w:hAnsi="Times New Roman"/>
          <w:b/>
          <w:bCs/>
          <w:sz w:val="30"/>
          <w:szCs w:val="30"/>
        </w:rPr>
        <w:t xml:space="preserve">2.6 Implementation Technologies</w:t>
      </w:r>
    </w:p>
    <w:p>
      <w:pPr>
        <w:spacing w:after="180" w:line="360" w:lineRule="auto"/>
        <w:jc w:val="both"/>
      </w:pPr>
      <w:r>
        <w:rPr>
          <w:rFonts w:ascii="Times New Roman" w:cs="Times New Roman" w:eastAsia="Times New Roman" w:hAnsi="Times New Roman"/>
          <w:sz w:val="24"/>
          <w:szCs w:val="24"/>
        </w:rPr>
        <w:t xml:space="preserve">Four server-side stacks were considered. </w:t>
      </w:r>
      <w:r>
        <w:rPr>
          <w:rFonts w:ascii="Times New Roman" w:cs="Times New Roman" w:eastAsia="Times New Roman" w:hAnsi="Times New Roman"/>
          <w:b/>
          <w:bCs/>
          <w:sz w:val="24"/>
          <w:szCs w:val="24"/>
        </w:rPr>
        <w:t xml:space="preserve">Node.js with Express.js</w:t>
      </w:r>
      <w:r>
        <w:rPr>
          <w:rFonts w:ascii="Times New Roman" w:cs="Times New Roman" w:eastAsia="Times New Roman" w:hAnsi="Times New Roman"/>
          <w:sz w:val="24"/>
          <w:szCs w:val="24"/>
        </w:rPr>
        <w:t xml:space="preserve"> [42, 56] provides a single-threaded non-blocking event loop ideal for I/O-bound workloads — the exact profile of every SnapPark service. </w:t>
      </w:r>
      <w:r>
        <w:rPr>
          <w:rFonts w:ascii="Times New Roman" w:cs="Times New Roman" w:eastAsia="Times New Roman" w:hAnsi="Times New Roman"/>
          <w:b/>
          <w:bCs/>
          <w:sz w:val="24"/>
          <w:szCs w:val="24"/>
        </w:rPr>
        <w:t xml:space="preserve">Python with Flask or FastAPI</w:t>
      </w:r>
      <w:r>
        <w:rPr>
          <w:rFonts w:ascii="Times New Roman" w:cs="Times New Roman" w:eastAsia="Times New Roman" w:hAnsi="Times New Roman"/>
          <w:sz w:val="24"/>
          <w:szCs w:val="24"/>
        </w:rPr>
        <w:t xml:space="preserve"> [57] is the default of the AI community but the project is a systems-integration problem, not a data-science problem, so the marginal benefits of Python are limited. </w:t>
      </w:r>
      <w:r>
        <w:rPr>
          <w:rFonts w:ascii="Times New Roman" w:cs="Times New Roman" w:eastAsia="Times New Roman" w:hAnsi="Times New Roman"/>
          <w:b/>
          <w:bCs/>
          <w:sz w:val="24"/>
          <w:szCs w:val="24"/>
        </w:rPr>
        <w:t xml:space="preserve">Spring Boot (Java)</w:t>
      </w:r>
      <w:r>
        <w:rPr>
          <w:rFonts w:ascii="Times New Roman" w:cs="Times New Roman" w:eastAsia="Times New Roman" w:hAnsi="Times New Roman"/>
          <w:sz w:val="24"/>
          <w:szCs w:val="24"/>
        </w:rPr>
        <w:t xml:space="preserve"> [58] is the industrial gold standard for enterprise microservices but introduces verbosity, a heavier memory footprint, and a slower start-up time that hurts horizontal scaling responsiveness. </w:t>
      </w:r>
      <w:r>
        <w:rPr>
          <w:rFonts w:ascii="Times New Roman" w:cs="Times New Roman" w:eastAsia="Times New Roman" w:hAnsi="Times New Roman"/>
          <w:b/>
          <w:bCs/>
          <w:sz w:val="24"/>
          <w:szCs w:val="24"/>
        </w:rPr>
        <w:t xml:space="preserve">Go</w:t>
      </w:r>
      <w:r>
        <w:rPr>
          <w:rFonts w:ascii="Times New Roman" w:cs="Times New Roman" w:eastAsia="Times New Roman" w:hAnsi="Times New Roman"/>
          <w:sz w:val="24"/>
          <w:szCs w:val="24"/>
        </w:rPr>
        <w:t xml:space="preserve"> [59] has fast start-up and a strong concurrency model but a smaller ecosystem of Gemini and notification SDKs.</w:t>
      </w:r>
    </w:p>
    <w:p>
      <w:pPr>
        <w:spacing w:after="180" w:line="360" w:lineRule="auto"/>
        <w:jc w:val="both"/>
      </w:pPr>
      <w:r>
        <w:rPr>
          <w:rFonts w:ascii="Times New Roman" w:cs="Times New Roman" w:eastAsia="Times New Roman" w:hAnsi="Times New Roman"/>
          <w:b/>
          <w:bCs/>
          <w:sz w:val="24"/>
          <w:szCs w:val="24"/>
        </w:rPr>
        <w:t xml:space="preserve">Node.js was selected</w:t>
      </w:r>
      <w:r>
        <w:rPr>
          <w:rFonts w:ascii="Times New Roman" w:cs="Times New Roman" w:eastAsia="Times New Roman" w:hAnsi="Times New Roman"/>
          <w:sz w:val="24"/>
          <w:szCs w:val="24"/>
        </w:rPr>
        <w:t xml:space="preserve"> because (i) the workload is I/O-bound, exactly the profile the V8 event loop optimises for; (ii) the Gemini SDK is officially supported in JavaScript and TypeScript [24]; (iii) Express.js is the most widely-deployed Node web framework, with Fastify and Koa offering only marginal performance gains in I/O-bound workloads at the cost of a less familiar API [42, 60]; (iv) a homogeneous stack across all services simplifies reasoning for a single developer; and (v) the resulting container images are ≈150 MB with sub-second start-up time, which keeps Kubernetes pod scaling responsive.</w:t>
      </w:r>
    </w:p>
    <w:p>
      <w:pPr>
        <w:pStyle w:val="Heading1"/>
        <w:pageBreakBefore/>
        <w:spacing w:after="360" w:before="0"/>
      </w:pPr>
      <w:r>
        <w:rPr>
          <w:rFonts w:ascii="Times New Roman" w:cs="Times New Roman" w:eastAsia="Times New Roman" w:hAnsi="Times New Roman"/>
          <w:b/>
          <w:bCs/>
          <w:sz w:val="36"/>
          <w:szCs w:val="36"/>
        </w:rPr>
        <w:t xml:space="preserve">Chapter 3
System Description and Requirements</w:t>
      </w:r>
    </w:p>
    <w:p>
      <w:pPr>
        <w:spacing w:after="180" w:line="360" w:lineRule="auto"/>
        <w:jc w:val="both"/>
      </w:pPr>
      <w:r>
        <w:rPr>
          <w:rFonts w:ascii="Times New Roman" w:cs="Times New Roman" w:eastAsia="Times New Roman" w:hAnsi="Times New Roman"/>
          <w:sz w:val="24"/>
          <w:szCs w:val="24"/>
        </w:rPr>
        <w:t xml:space="preserve">Chapter 2 established the architectural paradigms and patterns on which SnapPark rests. The present chapter narrows the focus from the general to the specific: it describes the SnapPark system at a bird's-eye view and then formalises the requirements — both functional and non-functional — that the implementation must satisfy. Requirements are stated in the SMART form (Specific, Measurable, Achievable, Relevant, and Time-bound) wherever this is meaningful, and each non-functional requirement is explicitly traced back to one of the objectives stated in Section 1.2.</w:t>
      </w:r>
    </w:p>
    <w:p>
      <w:pPr>
        <w:pStyle w:val="Heading2"/>
        <w:spacing w:after="180" w:before="360"/>
      </w:pPr>
      <w:r>
        <w:rPr>
          <w:rFonts w:ascii="Times New Roman" w:cs="Times New Roman" w:eastAsia="Times New Roman" w:hAnsi="Times New Roman"/>
          <w:b/>
          <w:bCs/>
          <w:sz w:val="30"/>
          <w:szCs w:val="30"/>
        </w:rPr>
        <w:t xml:space="preserve">3.1 Bird's-Eye View of the System</w:t>
      </w:r>
    </w:p>
    <w:p>
      <w:pPr>
        <w:spacing w:after="180" w:line="360" w:lineRule="auto"/>
        <w:jc w:val="both"/>
      </w:pPr>
      <w:r>
        <w:rPr>
          <w:rFonts w:ascii="Times New Roman" w:cs="Times New Roman" w:eastAsia="Times New Roman" w:hAnsi="Times New Roman"/>
          <w:sz w:val="24"/>
          <w:szCs w:val="24"/>
        </w:rPr>
        <w:t xml:space="preserve">SnapPark is a multi-layered distributed system. Five layers separate the user-facing client from the back-end data stores, as illustrated in Figure 3.1: the Client Layer, the Access Layer, the Core Services Layer, the Messaging Layer, and the Data Layer. Each layer is described in turn below.</w:t>
      </w:r>
    </w:p>
    <w:p>
      <w:pPr>
        <w:spacing w:after="60" w:before="240" w:line="360" w:lineRule="auto"/>
        <w:jc w:val="center"/>
      </w:pPr>
      <w:r>
        <w:rPr>
          <w:rFonts w:ascii="Times New Roman" w:cs="Times New Roman" w:eastAsia="Times New Roman" w:hAnsi="Times New Roman"/>
          <w:i/>
          <w:iCs/>
          <w:color w:val="808080"/>
          <w:sz w:val="24"/>
          <w:szCs w:val="24"/>
        </w:rPr>
        <w:t xml:space="preserve">[ Figure 3.1: SnapPark high-level architecture — five layers separating the client from the data stores — insert image here ]</w:t>
      </w:r>
    </w:p>
    <w:p>
      <w:pPr>
        <w:spacing w:after="240" w:before="0" w:line="360" w:lineRule="auto"/>
        <w:jc w:val="center"/>
      </w:pPr>
      <w:r>
        <w:rPr>
          <w:rFonts w:ascii="Times New Roman" w:cs="Times New Roman" w:eastAsia="Times New Roman" w:hAnsi="Times New Roman"/>
          <w:i/>
          <w:iCs/>
          <w:sz w:val="22"/>
          <w:szCs w:val="22"/>
        </w:rPr>
        <w:t xml:space="preserve">Figure 3.1: SnapPark high-level architecture</w:t>
      </w:r>
    </w:p>
    <w:p>
      <w:pPr>
        <w:spacing w:after="180" w:line="360" w:lineRule="auto"/>
        <w:jc w:val="both"/>
      </w:pPr>
      <w:r>
        <w:rPr>
          <w:rFonts w:ascii="Times New Roman" w:cs="Times New Roman" w:eastAsia="Times New Roman" w:hAnsi="Times New Roman"/>
          <w:b/>
          <w:bCs/>
          <w:sz w:val="24"/>
          <w:szCs w:val="24"/>
        </w:rPr>
        <w:t xml:space="preserve">1. Client Layer.</w:t>
      </w:r>
      <w:r>
        <w:rPr>
          <w:rFonts w:ascii="Times New Roman" w:cs="Times New Roman" w:eastAsia="Times New Roman" w:hAnsi="Times New Roman"/>
          <w:sz w:val="24"/>
          <w:szCs w:val="24"/>
        </w:rPr>
        <w:t xml:space="preserve"> A Next.js [43] web application running in the citizen's browser, providing screens for registration, OTP-based email verification, login, photograph upload, Google Maps location pinning, case-history browsing, settings, and (for users whose token carries the `admin` role) an administrative all-cases view with a report-to-authority action. The client never talks directly to a core microservice; every request is routed through the API Gateway.</w:t>
      </w:r>
    </w:p>
    <w:p>
      <w:pPr>
        <w:spacing w:after="180" w:line="360" w:lineRule="auto"/>
        <w:jc w:val="both"/>
      </w:pPr>
      <w:r>
        <w:rPr>
          <w:rFonts w:ascii="Times New Roman" w:cs="Times New Roman" w:eastAsia="Times New Roman" w:hAnsi="Times New Roman"/>
          <w:b/>
          <w:bCs/>
          <w:sz w:val="24"/>
          <w:szCs w:val="24"/>
        </w:rPr>
        <w:t xml:space="preserve">2. Access Layer.</w:t>
      </w:r>
      <w:r>
        <w:rPr>
          <w:rFonts w:ascii="Times New Roman" w:cs="Times New Roman" w:eastAsia="Times New Roman" w:hAnsi="Times New Roman"/>
          <w:sz w:val="24"/>
          <w:szCs w:val="24"/>
        </w:rPr>
        <w:t xml:space="preserve"> A single Express.js [42] API Gateway that handles cross-cutting concerns: Helmet [45] security headers, CORS, global rate limiting through `express-rate-limit` [33], request logging, and authentication delegation. On every protected request the gateway extracts the bearer token and calls `POST /auth/verify` on the Authentication Service; only on a valid response is the request forwarded, with `X-User-Id` and `X-User-Role` headers injected so that downstream services can enforce per-resource ownership without re-implementing JWT logic. The gateway is an infrastructural component, not a microservice in the bounded-context sense (Section 2.3.1).</w:t>
      </w:r>
    </w:p>
    <w:p>
      <w:pPr>
        <w:spacing w:after="180" w:line="360" w:lineRule="auto"/>
        <w:jc w:val="both"/>
      </w:pPr>
      <w:r>
        <w:rPr>
          <w:rFonts w:ascii="Times New Roman" w:cs="Times New Roman" w:eastAsia="Times New Roman" w:hAnsi="Times New Roman"/>
          <w:b/>
          <w:bCs/>
          <w:sz w:val="24"/>
          <w:szCs w:val="24"/>
        </w:rPr>
        <w:t xml:space="preserve">3. Core Services Layer.</w:t>
      </w:r>
      <w:r>
        <w:rPr>
          <w:rFonts w:ascii="Times New Roman" w:cs="Times New Roman" w:eastAsia="Times New Roman" w:hAnsi="Times New Roman"/>
          <w:sz w:val="24"/>
          <w:szCs w:val="24"/>
        </w:rPr>
        <w:t xml:space="preserve"> Three independent microservices containing all business logic. The </w:t>
      </w:r>
      <w:r>
        <w:rPr>
          <w:rFonts w:ascii="Times New Roman" w:cs="Times New Roman" w:eastAsia="Times New Roman" w:hAnsi="Times New Roman"/>
          <w:b/>
          <w:bCs/>
          <w:sz w:val="24"/>
          <w:szCs w:val="24"/>
        </w:rPr>
        <w:t xml:space="preserve">Authentication Service</w:t>
      </w:r>
      <w:r>
        <w:rPr>
          <w:rFonts w:ascii="Times New Roman" w:cs="Times New Roman" w:eastAsia="Times New Roman" w:hAnsi="Times New Roman"/>
          <w:sz w:val="24"/>
          <w:szCs w:val="24"/>
        </w:rPr>
        <w:t xml:space="preserve"> owns user identities, credentials, refresh tokens, and OTPs, and is the only service that touches credential material. The </w:t>
      </w:r>
      <w:r>
        <w:rPr>
          <w:rFonts w:ascii="Times New Roman" w:cs="Times New Roman" w:eastAsia="Times New Roman" w:hAnsi="Times New Roman"/>
          <w:b/>
          <w:bCs/>
          <w:sz w:val="24"/>
          <w:szCs w:val="24"/>
        </w:rPr>
        <w:t xml:space="preserve">Violation Analysis Service</w:t>
      </w:r>
      <w:r>
        <w:rPr>
          <w:rFonts w:ascii="Times New Roman" w:cs="Times New Roman" w:eastAsia="Times New Roman" w:hAnsi="Times New Roman"/>
          <w:sz w:val="24"/>
          <w:szCs w:val="24"/>
        </w:rPr>
        <w:t xml:space="preserve"> owns the case lifecycle: it exposes the synchronous `POST /violations/analyze` endpoint that runs the orchestrated case-creation saga, the case retrieval and pagination endpoints, the per-image binary retrieval endpoint, the audit-log endpoints, the report-to-authority and resolve actions, and the `GET /violations/:id/similar` endpoint backed by a pgvector cosine-distance search. The </w:t>
      </w:r>
      <w:r>
        <w:rPr>
          <w:rFonts w:ascii="Times New Roman" w:cs="Times New Roman" w:eastAsia="Times New Roman" w:hAnsi="Times New Roman"/>
          <w:b/>
          <w:bCs/>
          <w:sz w:val="24"/>
          <w:szCs w:val="24"/>
        </w:rPr>
        <w:t xml:space="preserve">Notification Service</w:t>
      </w:r>
      <w:r>
        <w:rPr>
          <w:rFonts w:ascii="Times New Roman" w:cs="Times New Roman" w:eastAsia="Times New Roman" w:hAnsi="Times New Roman"/>
          <w:sz w:val="24"/>
          <w:szCs w:val="24"/>
        </w:rPr>
        <w:t xml:space="preserve"> consumes the `case.created`, `case.reported`, and `case.resolved` events from the broker and dispatches across the channels each user has enabled.</w:t>
      </w:r>
    </w:p>
    <w:p>
      <w:pPr>
        <w:spacing w:after="180" w:line="360" w:lineRule="auto"/>
        <w:jc w:val="both"/>
      </w:pPr>
      <w:r>
        <w:rPr>
          <w:rFonts w:ascii="Times New Roman" w:cs="Times New Roman" w:eastAsia="Times New Roman" w:hAnsi="Times New Roman"/>
          <w:b/>
          <w:bCs/>
          <w:sz w:val="24"/>
          <w:szCs w:val="24"/>
        </w:rPr>
        <w:t xml:space="preserve">4. Messaging Layer.</w:t>
      </w:r>
      <w:r>
        <w:rPr>
          <w:rFonts w:ascii="Times New Roman" w:cs="Times New Roman" w:eastAsia="Times New Roman" w:hAnsi="Times New Roman"/>
          <w:sz w:val="24"/>
          <w:szCs w:val="24"/>
        </w:rPr>
        <w:t xml:space="preserve"> A single RabbitMQ broker [23] hosting a topic exchange named `snappark`. The Violation Analysis Service publishes three event types on this exchange (`case.created`, `case.reported`, `case.resolved`); the Notification Service binds durable queues to all three. Publisher confirms, consumer acknowledgements, and dead-letter routing [40] ensure no event is lost across restarts. A fourth event, `notification.failed`, is published by the Notification Service on a delivery failure and consumed by the Violation Analysis Service's saga listener to close the distributed-compensation loop.</w:t>
      </w:r>
    </w:p>
    <w:p>
      <w:pPr>
        <w:spacing w:after="180" w:line="360" w:lineRule="auto"/>
        <w:jc w:val="both"/>
      </w:pPr>
      <w:r>
        <w:rPr>
          <w:rFonts w:ascii="Times New Roman" w:cs="Times New Roman" w:eastAsia="Times New Roman" w:hAnsi="Times New Roman"/>
          <w:b/>
          <w:bCs/>
          <w:sz w:val="24"/>
          <w:szCs w:val="24"/>
        </w:rPr>
        <w:t xml:space="preserve">5. Data Layer.</w:t>
      </w:r>
      <w:r>
        <w:rPr>
          <w:rFonts w:ascii="Times New Roman" w:cs="Times New Roman" w:eastAsia="Times New Roman" w:hAnsi="Times New Roman"/>
          <w:sz w:val="24"/>
          <w:szCs w:val="24"/>
        </w:rPr>
        <w:t xml:space="preserve"> Strict Database-per-Service: each microservice owns a private PostgreSQL [44] instance (`snappark_auth`, `snappark_case` with the `pgvector` extension [61], and `snappark_notifications`). No service reads or writes the database of another service; every cross-service exchange is mediated by a synchronous API call or an asynchronous broker event.</w:t>
      </w:r>
    </w:p>
    <w:p>
      <w:pPr>
        <w:pStyle w:val="Heading2"/>
        <w:spacing w:after="180" w:before="360"/>
      </w:pPr>
      <w:r>
        <w:rPr>
          <w:rFonts w:ascii="Times New Roman" w:cs="Times New Roman" w:eastAsia="Times New Roman" w:hAnsi="Times New Roman"/>
          <w:b/>
          <w:bCs/>
          <w:sz w:val="30"/>
          <w:szCs w:val="30"/>
        </w:rPr>
        <w:t xml:space="preserve">3.2 Functional Requirements</w:t>
      </w:r>
    </w:p>
    <w:p>
      <w:pPr>
        <w:spacing w:after="180" w:line="360" w:lineRule="auto"/>
        <w:jc w:val="both"/>
      </w:pPr>
      <w:r>
        <w:rPr>
          <w:rFonts w:ascii="Times New Roman" w:cs="Times New Roman" w:eastAsia="Times New Roman" w:hAnsi="Times New Roman"/>
          <w:sz w:val="24"/>
          <w:szCs w:val="24"/>
        </w:rPr>
        <w:t xml:space="preserve">The system shall support the following user-visible capabilities. Each requirement is stated in the SMART form wherever this is meaningful and is implemented as one or more HTTP endpoints exposed through the API Gateway.</w:t>
      </w:r>
    </w:p>
    <w:p>
      <w:pPr>
        <w:spacing w:after="180" w:line="360" w:lineRule="auto"/>
        <w:jc w:val="both"/>
      </w:pPr>
      <w:r>
        <w:rPr>
          <w:rFonts w:ascii="Times New Roman" w:cs="Times New Roman" w:eastAsia="Times New Roman" w:hAnsi="Times New Roman"/>
          <w:b/>
          <w:bCs/>
          <w:sz w:val="24"/>
          <w:szCs w:val="24"/>
        </w:rPr>
        <w:t xml:space="preserve">FR1 — Registration, Authentication, and Password Management.</w:t>
      </w:r>
      <w:r>
        <w:rPr>
          <w:rFonts w:ascii="Times New Roman" w:cs="Times New Roman" w:eastAsia="Times New Roman" w:hAnsi="Times New Roman"/>
          <w:sz w:val="24"/>
          <w:szCs w:val="24"/>
        </w:rPr>
        <w:t xml:space="preserve"> A visitor shall be able to create an account with an email and a password; the system shall send a four-digit OTP to the address for verification, and the account shall be unable to obtain access tokens until verified. A verified user shall be able to log in to obtain a short-lived access token and a longer-lived refresh token, rotate the refresh token, log out, update first/last name, and change password. Forgotten-password reset is via a four-digit OTP; on success, all existing refresh tokens are revoked.</w:t>
      </w:r>
    </w:p>
    <w:p>
      <w:pPr>
        <w:spacing w:after="180" w:line="360" w:lineRule="auto"/>
        <w:jc w:val="both"/>
      </w:pPr>
      <w:r>
        <w:rPr>
          <w:rFonts w:ascii="Times New Roman" w:cs="Times New Roman" w:eastAsia="Times New Roman" w:hAnsi="Times New Roman"/>
          <w:b/>
          <w:bCs/>
          <w:sz w:val="24"/>
          <w:szCs w:val="24"/>
        </w:rPr>
        <w:t xml:space="preserve">FR2 — Image Upload and Submission.</w:t>
      </w:r>
      <w:r>
        <w:rPr>
          <w:rFonts w:ascii="Times New Roman" w:cs="Times New Roman" w:eastAsia="Times New Roman" w:hAnsi="Times New Roman"/>
          <w:sz w:val="24"/>
          <w:szCs w:val="24"/>
        </w:rPr>
        <w:t xml:space="preserve"> A verified user shall be able to upload between one and five images per report (as `multipart/form-data` or as Base64 in JSON), optionally with a license plate string, a latitude/longitude pair, and a human-readable address label from client-side reverse geocoding.</w:t>
      </w:r>
    </w:p>
    <w:p>
      <w:pPr>
        <w:spacing w:after="180" w:line="360" w:lineRule="auto"/>
        <w:jc w:val="both"/>
      </w:pPr>
      <w:r>
        <w:rPr>
          <w:rFonts w:ascii="Times New Roman" w:cs="Times New Roman" w:eastAsia="Times New Roman" w:hAnsi="Times New Roman"/>
          <w:b/>
          <w:bCs/>
          <w:sz w:val="24"/>
          <w:szCs w:val="24"/>
        </w:rPr>
        <w:t xml:space="preserve">FR3 — Image Quality Validation.</w:t>
      </w:r>
      <w:r>
        <w:rPr>
          <w:rFonts w:ascii="Times New Roman" w:cs="Times New Roman" w:eastAsia="Times New Roman" w:hAnsi="Times New Roman"/>
          <w:sz w:val="24"/>
          <w:szCs w:val="24"/>
        </w:rPr>
        <w:t xml:space="preserve"> Every uploaded image shall be validated for MIME type, byte size, resolution (≥200 pixels per dimension), mean brightness (30–245 on the 0–255 grey-scale), and sharpness (Laplacian variance &gt; 100) before being forwarded to the reasoning component. Failures return HTTP 422 with a remediation message and are recorded in the audit log.</w:t>
      </w:r>
    </w:p>
    <w:p>
      <w:pPr>
        <w:spacing w:after="180" w:line="360" w:lineRule="auto"/>
        <w:jc w:val="both"/>
      </w:pPr>
      <w:r>
        <w:rPr>
          <w:rFonts w:ascii="Times New Roman" w:cs="Times New Roman" w:eastAsia="Times New Roman" w:hAnsi="Times New Roman"/>
          <w:b/>
          <w:bCs/>
          <w:sz w:val="24"/>
          <w:szCs w:val="24"/>
        </w:rPr>
        <w:t xml:space="preserve">FR4 — Automated Violation Analysis.</w:t>
      </w:r>
      <w:r>
        <w:rPr>
          <w:rFonts w:ascii="Times New Roman" w:cs="Times New Roman" w:eastAsia="Times New Roman" w:hAnsi="Times New Roman"/>
          <w:sz w:val="24"/>
          <w:szCs w:val="24"/>
        </w:rPr>
        <w:t xml:space="preserve"> Each accepted image (or the full set, for multi-image reports) shall be forwarded to the Gemini API [24] with a prompt that instructs the model to return a JSON object with four fields: a Boolean violation flag, a violation type string (or null), a confidence score in [0,1], and a one- or two-sentence explanation. Response parsing shall be robust to Markdown code-fence wrappers.</w:t>
      </w:r>
    </w:p>
    <w:p>
      <w:pPr>
        <w:spacing w:after="180" w:line="360" w:lineRule="auto"/>
        <w:jc w:val="both"/>
      </w:pPr>
      <w:r>
        <w:rPr>
          <w:rFonts w:ascii="Times New Roman" w:cs="Times New Roman" w:eastAsia="Times New Roman" w:hAnsi="Times New Roman"/>
          <w:b/>
          <w:bCs/>
          <w:sz w:val="24"/>
          <w:szCs w:val="24"/>
        </w:rPr>
        <w:t xml:space="preserve">FR5 — Case Persistence and Retrieval.</w:t>
      </w:r>
      <w:r>
        <w:rPr>
          <w:rFonts w:ascii="Times New Roman" w:cs="Times New Roman" w:eastAsia="Times New Roman" w:hAnsi="Times New Roman"/>
          <w:sz w:val="24"/>
          <w:szCs w:val="24"/>
        </w:rPr>
        <w:t xml:space="preserve"> Each successful analysis shall create a </w:t>
      </w:r>
      <w:r>
        <w:rPr>
          <w:rFonts w:ascii="Times New Roman" w:cs="Times New Roman" w:eastAsia="Times New Roman" w:hAnsi="Times New Roman"/>
          <w:i/>
          <w:iCs/>
          <w:sz w:val="24"/>
          <w:szCs w:val="24"/>
        </w:rPr>
        <w:t xml:space="preserve">case</w:t>
      </w:r>
      <w:r>
        <w:rPr>
          <w:rFonts w:ascii="Times New Roman" w:cs="Times New Roman" w:eastAsia="Times New Roman" w:hAnsi="Times New Roman"/>
          <w:sz w:val="24"/>
          <w:szCs w:val="24"/>
        </w:rPr>
        <w:t xml:space="preserve"> record persisted together with its image metadata, the structured analysis result, and a 768-dimensional embedding of the verdict text. A user shall be able to retrieve any of their cases by identifier, list with pagination and status filtering, obtain summary statistics, and download the raw bytes of any image they own.</w:t>
      </w:r>
    </w:p>
    <w:p>
      <w:pPr>
        <w:spacing w:after="180" w:line="360" w:lineRule="auto"/>
        <w:jc w:val="both"/>
      </w:pPr>
      <w:r>
        <w:rPr>
          <w:rFonts w:ascii="Times New Roman" w:cs="Times New Roman" w:eastAsia="Times New Roman" w:hAnsi="Times New Roman"/>
          <w:b/>
          <w:bCs/>
          <w:sz w:val="24"/>
          <w:szCs w:val="24"/>
        </w:rPr>
        <w:t xml:space="preserve">FR6 — Case Lifecycle Management.</w:t>
      </w:r>
      <w:r>
        <w:rPr>
          <w:rFonts w:ascii="Times New Roman" w:cs="Times New Roman" w:eastAsia="Times New Roman" w:hAnsi="Times New Roman"/>
          <w:sz w:val="24"/>
          <w:szCs w:val="24"/>
        </w:rPr>
        <w:t xml:space="preserve"> Every case shall transition through a defined lifecycle (`pending → completed | cancelled → reported_to_authority → resolved`). Pending cases older than a configurable threshold (24 hours by default) shall be auto-cancelled by a periodic job, discarding the image bytes. Every transition shall publish a broker event and an audit-log entry.</w:t>
      </w:r>
    </w:p>
    <w:p>
      <w:pPr>
        <w:spacing w:after="180" w:line="360" w:lineRule="auto"/>
        <w:jc w:val="both"/>
      </w:pPr>
      <w:r>
        <w:rPr>
          <w:rFonts w:ascii="Times New Roman" w:cs="Times New Roman" w:eastAsia="Times New Roman" w:hAnsi="Times New Roman"/>
          <w:b/>
          <w:bCs/>
          <w:sz w:val="24"/>
          <w:szCs w:val="24"/>
        </w:rPr>
        <w:t xml:space="preserve">FR7 — Multi-Channel Notification Delivery.</w:t>
      </w:r>
      <w:r>
        <w:rPr>
          <w:rFonts w:ascii="Times New Roman" w:cs="Times New Roman" w:eastAsia="Times New Roman" w:hAnsi="Times New Roman"/>
          <w:sz w:val="24"/>
          <w:szCs w:val="24"/>
        </w:rPr>
        <w:t xml:space="preserve"> On each case-lifecycle event the system shall dispatch across every channel the recipient has enabled. Four channels are supported: in-app, email (SMTP via Nodemailer [38]), SMS (Twilio Programmable Messaging [36]), and mobile push (Firebase Cloud Messaging [37]). A failure on any one channel shall not block the others, and every attempt shall be appended to a per-case delivery log.</w:t>
      </w:r>
    </w:p>
    <w:p>
      <w:pPr>
        <w:spacing w:after="180" w:line="360" w:lineRule="auto"/>
        <w:jc w:val="both"/>
      </w:pPr>
      <w:r>
        <w:rPr>
          <w:rFonts w:ascii="Times New Roman" w:cs="Times New Roman" w:eastAsia="Times New Roman" w:hAnsi="Times New Roman"/>
          <w:b/>
          <w:bCs/>
          <w:sz w:val="24"/>
          <w:szCs w:val="24"/>
        </w:rPr>
        <w:t xml:space="preserve">FR8 — Audit Trail.</w:t>
      </w:r>
      <w:r>
        <w:rPr>
          <w:rFonts w:ascii="Times New Roman" w:cs="Times New Roman" w:eastAsia="Times New Roman" w:hAnsi="Times New Roman"/>
          <w:sz w:val="24"/>
          <w:szCs w:val="24"/>
        </w:rPr>
        <w:t xml:space="preserve"> Every significant state change — image rejection, case creation/report/resolve/cancel, and asynchronous notification failure — shall be appended to an append-only audit log in the owning service's database. Users see their own trail; administrators see all.</w:t>
      </w:r>
    </w:p>
    <w:p>
      <w:pPr>
        <w:spacing w:after="180" w:line="360" w:lineRule="auto"/>
        <w:jc w:val="both"/>
      </w:pPr>
      <w:r>
        <w:rPr>
          <w:rFonts w:ascii="Times New Roman" w:cs="Times New Roman" w:eastAsia="Times New Roman" w:hAnsi="Times New Roman"/>
          <w:b/>
          <w:bCs/>
          <w:sz w:val="24"/>
          <w:szCs w:val="24"/>
        </w:rPr>
        <w:t xml:space="preserve">FR9 — Semantic Similar-Case Retrieval.</w:t>
      </w:r>
      <w:r>
        <w:rPr>
          <w:rFonts w:ascii="Times New Roman" w:cs="Times New Roman" w:eastAsia="Times New Roman" w:hAnsi="Times New Roman"/>
          <w:sz w:val="24"/>
          <w:szCs w:val="24"/>
        </w:rPr>
        <w:t xml:space="preserve"> Given a case identifier, the system shall return the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most semantically similar past cases (N ≤ 25) ordered by ascending cosine distance over the verdict embeddings in the `pgvector` column [61]. Cases with no embedding shall return an empty result set with an explanatory flag, not an HTTP error.</w:t>
      </w:r>
    </w:p>
    <w:p>
      <w:pPr>
        <w:spacing w:after="180" w:line="360" w:lineRule="auto"/>
        <w:jc w:val="both"/>
      </w:pPr>
      <w:r>
        <w:rPr>
          <w:rFonts w:ascii="Times New Roman" w:cs="Times New Roman" w:eastAsia="Times New Roman" w:hAnsi="Times New Roman"/>
          <w:b/>
          <w:bCs/>
          <w:sz w:val="24"/>
          <w:szCs w:val="24"/>
        </w:rPr>
        <w:t xml:space="preserve">FR10 — Administrative Case Management.</w:t>
      </w:r>
      <w:r>
        <w:rPr>
          <w:rFonts w:ascii="Times New Roman" w:cs="Times New Roman" w:eastAsia="Times New Roman" w:hAnsi="Times New Roman"/>
          <w:sz w:val="24"/>
          <w:szCs w:val="24"/>
        </w:rPr>
        <w:t xml:space="preserve"> A user whose token carries the `admin` role shall bypass per-resource ownership checks on read endpoints and shall additionally be able to (i) view every case via a paginated list, (ii) trigger the report-to-authority action on any confirmed violation, and (iii) mark any reported case as resolved. The role is provisioned through an environment-driven allow-list of email addresses; external authorities do not hold accounts.</w:t>
      </w:r>
    </w:p>
    <w:p>
      <w:pPr>
        <w:pStyle w:val="Heading2"/>
        <w:spacing w:after="180" w:before="360"/>
      </w:pPr>
      <w:r>
        <w:rPr>
          <w:rFonts w:ascii="Times New Roman" w:cs="Times New Roman" w:eastAsia="Times New Roman" w:hAnsi="Times New Roman"/>
          <w:b/>
          <w:bCs/>
          <w:sz w:val="30"/>
          <w:szCs w:val="30"/>
        </w:rPr>
        <w:t xml:space="preserve">3.3 Non-Functional Requirements</w:t>
      </w:r>
    </w:p>
    <w:p>
      <w:pPr>
        <w:spacing w:after="180" w:line="360" w:lineRule="auto"/>
        <w:jc w:val="both"/>
      </w:pPr>
      <w:r>
        <w:rPr>
          <w:rFonts w:ascii="Times New Roman" w:cs="Times New Roman" w:eastAsia="Times New Roman" w:hAnsi="Times New Roman"/>
          <w:sz w:val="24"/>
          <w:szCs w:val="24"/>
        </w:rPr>
        <w:t xml:space="preserve">The non-functional requirements listed here are explicitly mapped onto the objectives set out in Section 1.2. Where a numerical target is given, it has been chosen so as to be both meaningful and verifiable against the running system.</w:t>
      </w:r>
    </w:p>
    <w:p>
      <w:pPr>
        <w:spacing w:after="180" w:line="360" w:lineRule="auto"/>
        <w:jc w:val="both"/>
      </w:pPr>
      <w:r>
        <w:rPr>
          <w:rFonts w:ascii="Times New Roman" w:cs="Times New Roman" w:eastAsia="Times New Roman" w:hAnsi="Times New Roman"/>
          <w:b/>
          <w:bCs/>
          <w:sz w:val="24"/>
          <w:szCs w:val="24"/>
        </w:rPr>
        <w:t xml:space="preserve">NFR1 — Scalability</w:t>
      </w:r>
      <w:r>
        <w:rPr>
          <w:rFonts w:ascii="Times New Roman" w:cs="Times New Roman" w:eastAsia="Times New Roman" w:hAnsi="Times New Roman"/>
          <w:sz w:val="24"/>
          <w:szCs w:val="24"/>
        </w:rPr>
        <w:t xml:space="preserve"> [Obj. 1]. Each microservice shall be horizontally scalable without redeploying the rest of the system; the Violation Analysis Service shall be associated with a HorizontalPodAutoscaler that targets CPU utilisation.</w:t>
      </w:r>
    </w:p>
    <w:p>
      <w:pPr>
        <w:spacing w:after="180" w:line="360" w:lineRule="auto"/>
        <w:jc w:val="both"/>
      </w:pPr>
      <w:r>
        <w:rPr>
          <w:rFonts w:ascii="Times New Roman" w:cs="Times New Roman" w:eastAsia="Times New Roman" w:hAnsi="Times New Roman"/>
          <w:b/>
          <w:bCs/>
          <w:sz w:val="24"/>
          <w:szCs w:val="24"/>
        </w:rPr>
        <w:t xml:space="preserve">NFR2 — High Availability</w:t>
      </w:r>
      <w:r>
        <w:rPr>
          <w:rFonts w:ascii="Times New Roman" w:cs="Times New Roman" w:eastAsia="Times New Roman" w:hAnsi="Times New Roman"/>
          <w:sz w:val="24"/>
          <w:szCs w:val="24"/>
        </w:rPr>
        <w:t xml:space="preserve"> [Obj. 2]. The failure of any one component shall not propagate. Asynchronous communication through the broker decouples the analysis pipeline from the notification pipeline. Every service shall expose `GET /health` that returns HTTP 200 within one second when alive.</w:t>
      </w:r>
    </w:p>
    <w:p>
      <w:pPr>
        <w:spacing w:after="180" w:line="360" w:lineRule="auto"/>
        <w:jc w:val="both"/>
      </w:pPr>
      <w:r>
        <w:rPr>
          <w:rFonts w:ascii="Times New Roman" w:cs="Times New Roman" w:eastAsia="Times New Roman" w:hAnsi="Times New Roman"/>
          <w:b/>
          <w:bCs/>
          <w:sz w:val="24"/>
          <w:szCs w:val="24"/>
        </w:rPr>
        <w:t xml:space="preserve">NFR3 — Security</w:t>
      </w:r>
      <w:r>
        <w:rPr>
          <w:rFonts w:ascii="Times New Roman" w:cs="Times New Roman" w:eastAsia="Times New Roman" w:hAnsi="Times New Roman"/>
          <w:sz w:val="24"/>
          <w:szCs w:val="24"/>
        </w:rPr>
        <w:t xml:space="preserve"> [Obj. 3]. Every request that reaches a core service shall carry a valid, unexpired access token verified by the gateway. Passwords shall be stored only as bcrypt [32] hashes at cost factor ≥10. Access tokens shall be HS256-signed JWTs [31] with a 15-minute lifetime; refresh tokens shall be rotated on every use and revoked on logout or password reset. The system shall conform to OWASP API Security Top 10 guidance [22].</w:t>
      </w:r>
    </w:p>
    <w:p>
      <w:pPr>
        <w:spacing w:after="180" w:line="360" w:lineRule="auto"/>
        <w:jc w:val="both"/>
      </w:pPr>
      <w:r>
        <w:rPr>
          <w:rFonts w:ascii="Times New Roman" w:cs="Times New Roman" w:eastAsia="Times New Roman" w:hAnsi="Times New Roman"/>
          <w:b/>
          <w:bCs/>
          <w:sz w:val="24"/>
          <w:szCs w:val="24"/>
        </w:rPr>
        <w:t xml:space="preserve">NFR4 — Performance.</w:t>
      </w:r>
      <w:r>
        <w:rPr>
          <w:rFonts w:ascii="Times New Roman" w:cs="Times New Roman" w:eastAsia="Times New Roman" w:hAnsi="Times New Roman"/>
          <w:sz w:val="24"/>
          <w:szCs w:val="24"/>
        </w:rPr>
        <w:t xml:space="preserve"> The synchronous upload → validation → Gemini → persist → response path shall complete in fewer than 5 seconds for a single image under normal load. Asynchronous paths have no fixed deadline because the user has already received the verdict.</w:t>
      </w:r>
    </w:p>
    <w:p>
      <w:pPr>
        <w:spacing w:after="180" w:line="360" w:lineRule="auto"/>
        <w:jc w:val="both"/>
      </w:pPr>
      <w:r>
        <w:rPr>
          <w:rFonts w:ascii="Times New Roman" w:cs="Times New Roman" w:eastAsia="Times New Roman" w:hAnsi="Times New Roman"/>
          <w:b/>
          <w:bCs/>
          <w:sz w:val="24"/>
          <w:szCs w:val="24"/>
        </w:rPr>
        <w:t xml:space="preserve">NFR5 — Maintainability and Testability</w:t>
      </w:r>
      <w:r>
        <w:rPr>
          <w:rFonts w:ascii="Times New Roman" w:cs="Times New Roman" w:eastAsia="Times New Roman" w:hAnsi="Times New Roman"/>
          <w:sz w:val="24"/>
          <w:szCs w:val="24"/>
        </w:rPr>
        <w:t xml:space="preserve"> [Obj. 6]. Each service shall be independently deployable with its own README and automated test suite. The four IEEE-982 metrics [39] — statement, decision, condition, decision/condition coverage — shall each be at or above 85% on the three backend services, the API Gateway, and the web frontend.</w:t>
      </w:r>
    </w:p>
    <w:p>
      <w:pPr>
        <w:spacing w:after="180" w:line="360" w:lineRule="auto"/>
        <w:jc w:val="both"/>
      </w:pPr>
      <w:r>
        <w:rPr>
          <w:rFonts w:ascii="Times New Roman" w:cs="Times New Roman" w:eastAsia="Times New Roman" w:hAnsi="Times New Roman"/>
          <w:b/>
          <w:bCs/>
          <w:sz w:val="24"/>
          <w:szCs w:val="24"/>
        </w:rPr>
        <w:t xml:space="preserve">NFR6 — Auditability</w:t>
      </w:r>
      <w:r>
        <w:rPr>
          <w:rFonts w:ascii="Times New Roman" w:cs="Times New Roman" w:eastAsia="Times New Roman" w:hAnsi="Times New Roman"/>
          <w:sz w:val="24"/>
          <w:szCs w:val="24"/>
        </w:rPr>
        <w:t xml:space="preserve"> [Obj. 4]. Every state change of interest shall be both emitted as a broker event and appended to a per-service audit-log table that is append-only by convention. The orchestrated saga shall additionally persist its full per-step history to a `sagas` table exposed through `GET /sagas/:id`.</w:t>
      </w:r>
    </w:p>
    <w:p>
      <w:pPr>
        <w:spacing w:after="180" w:line="360" w:lineRule="auto"/>
        <w:jc w:val="both"/>
      </w:pPr>
      <w:r>
        <w:rPr>
          <w:rFonts w:ascii="Times New Roman" w:cs="Times New Roman" w:eastAsia="Times New Roman" w:hAnsi="Times New Roman"/>
          <w:b/>
          <w:bCs/>
          <w:sz w:val="24"/>
          <w:szCs w:val="24"/>
        </w:rPr>
        <w:t xml:space="preserve">NFR7 — Extensibility</w:t>
      </w:r>
      <w:r>
        <w:rPr>
          <w:rFonts w:ascii="Times New Roman" w:cs="Times New Roman" w:eastAsia="Times New Roman" w:hAnsi="Times New Roman"/>
          <w:sz w:val="24"/>
          <w:szCs w:val="24"/>
        </w:rPr>
        <w:t xml:space="preserve"> [Obj. 5]. Adding a new notification channel shall require nothing more than a new `BaseChannel` subclass plus environment configuration. Adding a new event consumer shall require nothing more than binding a queue to one of the existing routing keys on the `snappark` exchange.</w:t>
      </w:r>
    </w:p>
    <w:p>
      <w:pPr>
        <w:spacing w:after="180" w:line="360" w:lineRule="auto"/>
        <w:jc w:val="both"/>
      </w:pPr>
      <w:r>
        <w:rPr>
          <w:rFonts w:ascii="Times New Roman" w:cs="Times New Roman" w:eastAsia="Times New Roman" w:hAnsi="Times New Roman"/>
          <w:b/>
          <w:bCs/>
          <w:sz w:val="24"/>
          <w:szCs w:val="24"/>
        </w:rPr>
        <w:t xml:space="preserve">NFR8 — Data Integrity and Isolation</w:t>
      </w:r>
      <w:r>
        <w:rPr>
          <w:rFonts w:ascii="Times New Roman" w:cs="Times New Roman" w:eastAsia="Times New Roman" w:hAnsi="Times New Roman"/>
          <w:sz w:val="24"/>
          <w:szCs w:val="24"/>
        </w:rPr>
        <w:t xml:space="preserve"> [Obj. 6]. No service shall access another service's database directly. All cross-service exchange shall go through a synchronous API call or an asynchronous broker event. Decoupling shall be enforced by separate database credentials per service, not by mere convention.</w:t>
      </w:r>
    </w:p>
    <w:p>
      <w:pPr>
        <w:pStyle w:val="Heading1"/>
        <w:pageBreakBefore/>
        <w:spacing w:after="360" w:before="0"/>
      </w:pPr>
      <w:r>
        <w:rPr>
          <w:rFonts w:ascii="Times New Roman" w:cs="Times New Roman" w:eastAsia="Times New Roman" w:hAnsi="Times New Roman"/>
          <w:b/>
          <w:bCs/>
          <w:sz w:val="36"/>
          <w:szCs w:val="36"/>
        </w:rPr>
        <w:t xml:space="preserve">Chapter 4
Project Management</w:t>
      </w:r>
    </w:p>
    <w:p>
      <w:pPr>
        <w:spacing w:after="180" w:line="360" w:lineRule="auto"/>
        <w:jc w:val="both"/>
      </w:pPr>
      <w:r>
        <w:rPr>
          <w:rFonts w:ascii="Times New Roman" w:cs="Times New Roman" w:eastAsia="Times New Roman" w:hAnsi="Times New Roman"/>
          <w:sz w:val="24"/>
          <w:szCs w:val="24"/>
        </w:rPr>
        <w:t xml:space="preserve">This chapter describes the project-management framework that was adopted to deliver SnapPark within the time allocated to the dissertation. Two complementary concerns are addressed: the risk-management strategy used to anticipate and respond to threats to the project (Section 4.1), and the software-development process chosen to structure the delivery of the implementation (Section 4.2). Both decisions were shaped directly by the characteristics of the project — a single developer, a strict end-of-year deadline, an evolving understanding of the Gemini API, and a target system whose architectural complexity (three microservices, an API Gateway, three databases, a message broker, and a web client) is well beyond what a single sprint could deliver.</w:t>
      </w:r>
    </w:p>
    <w:p>
      <w:pPr>
        <w:pStyle w:val="Heading2"/>
        <w:spacing w:after="180" w:before="360"/>
      </w:pPr>
      <w:r>
        <w:rPr>
          <w:rFonts w:ascii="Times New Roman" w:cs="Times New Roman" w:eastAsia="Times New Roman" w:hAnsi="Times New Roman"/>
          <w:b/>
          <w:bCs/>
          <w:sz w:val="30"/>
          <w:szCs w:val="30"/>
        </w:rPr>
        <w:t xml:space="preserve">4.1 Risk Management</w:t>
      </w:r>
    </w:p>
    <w:p>
      <w:pPr>
        <w:spacing w:after="180" w:line="360" w:lineRule="auto"/>
        <w:jc w:val="both"/>
      </w:pPr>
      <w:r>
        <w:rPr>
          <w:rFonts w:ascii="Times New Roman" w:cs="Times New Roman" w:eastAsia="Times New Roman" w:hAnsi="Times New Roman"/>
          <w:sz w:val="24"/>
          <w:szCs w:val="24"/>
        </w:rPr>
        <w:t xml:space="preserve">Risk management for this project was performed in three steps. First, the principal categories of risk were identified at the very start of the project. Second, each risk was scored along the two axes of probability and impact, in line with the conventional risk-management approach summarised by Nygard [34]. Third, an explicit mitigation strategy was agreed for every risk, so that the response would be immediate if the risk materialised rather than improvised under pressure.</w:t>
      </w:r>
    </w:p>
    <w:p>
      <w:pPr>
        <w:pStyle w:val="Heading3"/>
        <w:spacing w:after="120" w:before="240"/>
      </w:pPr>
      <w:r>
        <w:rPr>
          <w:rFonts w:ascii="Times New Roman" w:cs="Times New Roman" w:eastAsia="Times New Roman" w:hAnsi="Times New Roman"/>
          <w:b/>
          <w:bCs/>
          <w:sz w:val="26"/>
          <w:szCs w:val="26"/>
        </w:rPr>
        <w:t xml:space="preserve">4.1.1 Risk Identification</w:t>
      </w:r>
    </w:p>
    <w:p>
      <w:pPr>
        <w:spacing w:after="180" w:line="360" w:lineRule="auto"/>
        <w:jc w:val="both"/>
      </w:pPr>
      <w:r>
        <w:rPr>
          <w:rFonts w:ascii="Times New Roman" w:cs="Times New Roman" w:eastAsia="Times New Roman" w:hAnsi="Times New Roman"/>
          <w:sz w:val="24"/>
          <w:szCs w:val="24"/>
        </w:rPr>
        <w:t xml:space="preserve">Table 4.1 lists the six risks that were carried throughout the project and the score assigned to each on a three-point scale (Low, Medium, High) along the probability and impact axes. The accompanying mitigation strategy is summarised in the rightmost column and is discussed in detail in Section 4.1.2.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77"/>
        <w:gridCol w:w="2865"/>
        <w:gridCol w:w="955"/>
        <w:gridCol w:w="955"/>
        <w:gridCol w:w="3820"/>
      </w:tblGrid>
      <w:tr>
        <w:trPr>
          <w:tblHeader/>
        </w:trPr>
        <w:tc>
          <w:tcPr>
            <w:tcW w:type="dxa" w:w="477"/>
            <w:tcBorders>
              <w:top w:val="single" w:color="888888" w:sz="4"/>
              <w:left w:val="single" w:color="888888" w:sz="4"/>
              <w:bottom w:val="single" w:color="888888" w:sz="4"/>
              <w:right w:val="single" w:color="888888" w:sz="4"/>
            </w:tcBorders>
            <w:shd w:fill="E8E8E8"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w:t>
            </w:r>
          </w:p>
        </w:tc>
        <w:tc>
          <w:tcPr>
            <w:tcW w:type="dxa" w:w="2865"/>
            <w:tcBorders>
              <w:top w:val="single" w:color="888888" w:sz="4"/>
              <w:left w:val="single" w:color="888888" w:sz="4"/>
              <w:bottom w:val="single" w:color="888888" w:sz="4"/>
              <w:right w:val="single" w:color="888888" w:sz="4"/>
            </w:tcBorders>
            <w:shd w:fill="E8E8E8"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Risk</w:t>
            </w:r>
          </w:p>
        </w:tc>
        <w:tc>
          <w:tcPr>
            <w:tcW w:type="dxa" w:w="955"/>
            <w:tcBorders>
              <w:top w:val="single" w:color="888888" w:sz="4"/>
              <w:left w:val="single" w:color="888888" w:sz="4"/>
              <w:bottom w:val="single" w:color="888888" w:sz="4"/>
              <w:right w:val="single" w:color="888888" w:sz="4"/>
            </w:tcBorders>
            <w:shd w:fill="E8E8E8"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Probability</w:t>
            </w:r>
          </w:p>
        </w:tc>
        <w:tc>
          <w:tcPr>
            <w:tcW w:type="dxa" w:w="955"/>
            <w:tcBorders>
              <w:top w:val="single" w:color="888888" w:sz="4"/>
              <w:left w:val="single" w:color="888888" w:sz="4"/>
              <w:bottom w:val="single" w:color="888888" w:sz="4"/>
              <w:right w:val="single" w:color="888888" w:sz="4"/>
            </w:tcBorders>
            <w:shd w:fill="E8E8E8"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Impact</w:t>
            </w:r>
          </w:p>
        </w:tc>
        <w:tc>
          <w:tcPr>
            <w:tcW w:type="dxa" w:w="3820"/>
            <w:tcBorders>
              <w:top w:val="single" w:color="888888" w:sz="4"/>
              <w:left w:val="single" w:color="888888" w:sz="4"/>
              <w:bottom w:val="single" w:color="888888" w:sz="4"/>
              <w:right w:val="single" w:color="888888" w:sz="4"/>
            </w:tcBorders>
            <w:shd w:fill="E8E8E8"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Mitigation strategy</w:t>
            </w:r>
          </w:p>
        </w:tc>
      </w:tr>
      <w:tr>
        <w:tc>
          <w:tcPr>
            <w:tcW w:type="dxa" w:w="477"/>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sz w:val="20"/>
                <w:szCs w:val="20"/>
              </w:rPr>
              <w:t xml:space="preserve">R1</w:t>
            </w:r>
          </w:p>
        </w:tc>
        <w:tc>
          <w:tcPr>
            <w:tcW w:type="dxa" w:w="2865"/>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Gemini API change or availability outage</w:t>
            </w:r>
          </w:p>
        </w:tc>
        <w:tc>
          <w:tcPr>
            <w:tcW w:type="dxa" w:w="955"/>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Medium</w:t>
            </w:r>
          </w:p>
        </w:tc>
        <w:tc>
          <w:tcPr>
            <w:tcW w:type="dxa" w:w="955"/>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High</w:t>
            </w:r>
          </w:p>
        </w:tc>
        <w:tc>
          <w:tcPr>
            <w:tcW w:type="dxa" w:w="38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Confine every call to Gemini behind a single module; return a graceful HTTP 502 on failure; design the saga so that a Gemini failure rolls back cleanly.</w:t>
            </w:r>
          </w:p>
        </w:tc>
      </w:tr>
      <w:tr>
        <w:tc>
          <w:tcPr>
            <w:tcW w:type="dxa" w:w="477"/>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sz w:val="20"/>
                <w:szCs w:val="20"/>
              </w:rPr>
              <w:t xml:space="preserve">R2</w:t>
            </w:r>
          </w:p>
        </w:tc>
        <w:tc>
          <w:tcPr>
            <w:tcW w:type="dxa" w:w="2865"/>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Underestimating the operational overhead of a microservices stack</w:t>
            </w:r>
          </w:p>
        </w:tc>
        <w:tc>
          <w:tcPr>
            <w:tcW w:type="dxa" w:w="955"/>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High</w:t>
            </w:r>
          </w:p>
        </w:tc>
        <w:tc>
          <w:tcPr>
            <w:tcW w:type="dxa" w:w="955"/>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Medium</w:t>
            </w:r>
          </w:p>
        </w:tc>
        <w:tc>
          <w:tcPr>
            <w:tcW w:type="dxa" w:w="38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Begin with Docker Compose only; introduce Kubernetes in the final increment, when all the services already exist.</w:t>
            </w:r>
          </w:p>
        </w:tc>
      </w:tr>
      <w:tr>
        <w:tc>
          <w:tcPr>
            <w:tcW w:type="dxa" w:w="477"/>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sz w:val="20"/>
                <w:szCs w:val="20"/>
              </w:rPr>
              <w:t xml:space="preserve">R3</w:t>
            </w:r>
          </w:p>
        </w:tc>
        <w:tc>
          <w:tcPr>
            <w:tcW w:type="dxa" w:w="2865"/>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Scope creep (mobile client, analytics dashboard, dedicated audit-writer service)</w:t>
            </w:r>
          </w:p>
        </w:tc>
        <w:tc>
          <w:tcPr>
            <w:tcW w:type="dxa" w:w="955"/>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High</w:t>
            </w:r>
          </w:p>
        </w:tc>
        <w:tc>
          <w:tcPr>
            <w:tcW w:type="dxa" w:w="955"/>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Medium</w:t>
            </w:r>
          </w:p>
        </w:tc>
        <w:tc>
          <w:tcPr>
            <w:tcW w:type="dxa" w:w="38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Fix the scope at three microservices, one API Gateway, and one web frontend; record every additional idea as future work in Chapter 10 rather than implementing it.</w:t>
            </w:r>
          </w:p>
        </w:tc>
      </w:tr>
      <w:tr>
        <w:tc>
          <w:tcPr>
            <w:tcW w:type="dxa" w:w="477"/>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sz w:val="20"/>
                <w:szCs w:val="20"/>
              </w:rPr>
              <w:t xml:space="preserve">R4</w:t>
            </w:r>
          </w:p>
        </w:tc>
        <w:tc>
          <w:tcPr>
            <w:tcW w:type="dxa" w:w="2865"/>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Loss of work due to laptop or disk failure</w:t>
            </w:r>
          </w:p>
        </w:tc>
        <w:tc>
          <w:tcPr>
            <w:tcW w:type="dxa" w:w="955"/>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Low</w:t>
            </w:r>
          </w:p>
        </w:tc>
        <w:tc>
          <w:tcPr>
            <w:tcW w:type="dxa" w:w="955"/>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High</w:t>
            </w:r>
          </w:p>
        </w:tc>
        <w:tc>
          <w:tcPr>
            <w:tcW w:type="dxa" w:w="38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Push every commit to a remote on GitHub; commit at least daily; use feature branches per change so that recovery from a corrupted local working tree is trivial.</w:t>
            </w:r>
          </w:p>
        </w:tc>
      </w:tr>
      <w:tr>
        <w:tc>
          <w:tcPr>
            <w:tcW w:type="dxa" w:w="477"/>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sz w:val="20"/>
                <w:szCs w:val="20"/>
              </w:rPr>
              <w:t xml:space="preserve">R5</w:t>
            </w:r>
          </w:p>
        </w:tc>
        <w:tc>
          <w:tcPr>
            <w:tcW w:type="dxa" w:w="2865"/>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Incompatibility between the RabbitMQ client library and a Node.js update</w:t>
            </w:r>
          </w:p>
        </w:tc>
        <w:tc>
          <w:tcPr>
            <w:tcW w:type="dxa" w:w="955"/>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Low</w:t>
            </w:r>
          </w:p>
        </w:tc>
        <w:tc>
          <w:tcPr>
            <w:tcW w:type="dxa" w:w="955"/>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Medium</w:t>
            </w:r>
          </w:p>
        </w:tc>
        <w:tc>
          <w:tcPr>
            <w:tcW w:type="dxa" w:w="38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Pin the `amqplib` version in `package.json`; implement reconnection with exponential back-off so a transient broker outage is not fatal.</w:t>
            </w:r>
          </w:p>
        </w:tc>
      </w:tr>
      <w:tr>
        <w:tc>
          <w:tcPr>
            <w:tcW w:type="dxa" w:w="477"/>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sz w:val="20"/>
                <w:szCs w:val="20"/>
              </w:rPr>
              <w:t xml:space="preserve">R6</w:t>
            </w:r>
          </w:p>
        </w:tc>
        <w:tc>
          <w:tcPr>
            <w:tcW w:type="dxa" w:w="2865"/>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Supervisor unavailability during a critical period</w:t>
            </w:r>
          </w:p>
        </w:tc>
        <w:tc>
          <w:tcPr>
            <w:tcW w:type="dxa" w:w="955"/>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Low</w:t>
            </w:r>
          </w:p>
        </w:tc>
        <w:tc>
          <w:tcPr>
            <w:tcW w:type="dxa" w:w="955"/>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Low</w:t>
            </w:r>
          </w:p>
        </w:tc>
        <w:tc>
          <w:tcPr>
            <w:tcW w:type="dxa" w:w="38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Schedule bi-weekly meetings well in advance; maintain a running written log of open questions so that any single missed meeting does not block progress.</w:t>
            </w:r>
          </w:p>
        </w:tc>
      </w:tr>
    </w:tbl>
    <w:p>
      <w:pPr>
        <w:spacing w:after="240" w:before="60" w:line="360" w:lineRule="auto"/>
        <w:jc w:val="center"/>
      </w:pPr>
      <w:r>
        <w:rPr>
          <w:rFonts w:ascii="Times New Roman" w:cs="Times New Roman" w:eastAsia="Times New Roman" w:hAnsi="Times New Roman"/>
          <w:i/>
          <w:iCs/>
          <w:sz w:val="22"/>
          <w:szCs w:val="22"/>
        </w:rPr>
        <w:t xml:space="preserve">Table 4.1: Risk register carried throughout the project</w:t>
      </w:r>
    </w:p>
    <w:p>
      <w:pPr>
        <w:pStyle w:val="Heading3"/>
        <w:spacing w:after="120" w:before="240"/>
      </w:pPr>
      <w:r>
        <w:rPr>
          <w:rFonts w:ascii="Times New Roman" w:cs="Times New Roman" w:eastAsia="Times New Roman" w:hAnsi="Times New Roman"/>
          <w:b/>
          <w:bCs/>
          <w:sz w:val="26"/>
          <w:szCs w:val="26"/>
        </w:rPr>
        <w:t xml:space="preserve">4.1.2 Risk Mitigation</w:t>
      </w:r>
    </w:p>
    <w:p>
      <w:pPr>
        <w:spacing w:after="180" w:line="360" w:lineRule="auto"/>
        <w:jc w:val="both"/>
      </w:pPr>
      <w:r>
        <w:rPr>
          <w:rFonts w:ascii="Times New Roman" w:cs="Times New Roman" w:eastAsia="Times New Roman" w:hAnsi="Times New Roman"/>
          <w:sz w:val="24"/>
          <w:szCs w:val="24"/>
        </w:rPr>
        <w:t xml:space="preserve">Each risk was paired with a concrete mitigation applied throughout the project. </w:t>
      </w:r>
      <w:r>
        <w:rPr>
          <w:rFonts w:ascii="Times New Roman" w:cs="Times New Roman" w:eastAsia="Times New Roman" w:hAnsi="Times New Roman"/>
          <w:b/>
          <w:bCs/>
          <w:sz w:val="24"/>
          <w:szCs w:val="24"/>
        </w:rPr>
        <w:t xml:space="preserve">R1</w:t>
      </w:r>
      <w:r>
        <w:rPr>
          <w:rFonts w:ascii="Times New Roman" w:cs="Times New Roman" w:eastAsia="Times New Roman" w:hAnsi="Times New Roman"/>
          <w:sz w:val="24"/>
          <w:szCs w:val="24"/>
        </w:rPr>
        <w:t xml:space="preserve"> (Gemini): every call confined to a single module behind a stable interface so that a vendor switch (OpenAI, Claude, LLaVA) is a one-file change; the orchestrated saga compensates partial state cleanly on failure. </w:t>
      </w:r>
      <w:r>
        <w:rPr>
          <w:rFonts w:ascii="Times New Roman" w:cs="Times New Roman" w:eastAsia="Times New Roman" w:hAnsi="Times New Roman"/>
          <w:b/>
          <w:bCs/>
          <w:sz w:val="24"/>
          <w:szCs w:val="24"/>
        </w:rPr>
        <w:t xml:space="preserve">R2</w:t>
      </w:r>
      <w:r>
        <w:rPr>
          <w:rFonts w:ascii="Times New Roman" w:cs="Times New Roman" w:eastAsia="Times New Roman" w:hAnsi="Times New Roman"/>
          <w:sz w:val="24"/>
          <w:szCs w:val="24"/>
        </w:rPr>
        <w:t xml:space="preserve"> (operational overhead): defer Kubernetes to the final increment, use Docker Compose throughout development. </w:t>
      </w:r>
      <w:r>
        <w:rPr>
          <w:rFonts w:ascii="Times New Roman" w:cs="Times New Roman" w:eastAsia="Times New Roman" w:hAnsi="Times New Roman"/>
          <w:b/>
          <w:bCs/>
          <w:sz w:val="24"/>
          <w:szCs w:val="24"/>
        </w:rPr>
        <w:t xml:space="preserve">R3</w:t>
      </w:r>
      <w:r>
        <w:rPr>
          <w:rFonts w:ascii="Times New Roman" w:cs="Times New Roman" w:eastAsia="Times New Roman" w:hAnsi="Times New Roman"/>
          <w:sz w:val="24"/>
          <w:szCs w:val="24"/>
        </w:rPr>
        <w:t xml:space="preserve"> (scope creep): fix the component list in advance (3 microservices + API Gateway + 1 web frontend); record every additional idea as future work (Chapter 10) rather than implement it. </w:t>
      </w:r>
      <w:r>
        <w:rPr>
          <w:rFonts w:ascii="Times New Roman" w:cs="Times New Roman" w:eastAsia="Times New Roman" w:hAnsi="Times New Roman"/>
          <w:b/>
          <w:bCs/>
          <w:sz w:val="24"/>
          <w:szCs w:val="24"/>
        </w:rPr>
        <w:t xml:space="preserve">R4</w:t>
      </w:r>
      <w:r>
        <w:rPr>
          <w:rFonts w:ascii="Times New Roman" w:cs="Times New Roman" w:eastAsia="Times New Roman" w:hAnsi="Times New Roman"/>
          <w:sz w:val="24"/>
          <w:szCs w:val="24"/>
        </w:rPr>
        <w:t xml:space="preserve"> (work loss): Git on every tree, push to GitHub daily, feature branches per change. </w:t>
      </w:r>
      <w:r>
        <w:rPr>
          <w:rFonts w:ascii="Times New Roman" w:cs="Times New Roman" w:eastAsia="Times New Roman" w:hAnsi="Times New Roman"/>
          <w:b/>
          <w:bCs/>
          <w:sz w:val="24"/>
          <w:szCs w:val="24"/>
        </w:rPr>
        <w:t xml:space="preserve">R5</w:t>
      </w:r>
      <w:r>
        <w:rPr>
          <w:rFonts w:ascii="Times New Roman" w:cs="Times New Roman" w:eastAsia="Times New Roman" w:hAnsi="Times New Roman"/>
          <w:sz w:val="24"/>
          <w:szCs w:val="24"/>
        </w:rPr>
        <w:t xml:space="preserve"> (RabbitMQ client): pin `amqplib` version, implement reconnect with exponential back-off. </w:t>
      </w:r>
      <w:r>
        <w:rPr>
          <w:rFonts w:ascii="Times New Roman" w:cs="Times New Roman" w:eastAsia="Times New Roman" w:hAnsi="Times New Roman"/>
          <w:b/>
          <w:bCs/>
          <w:sz w:val="24"/>
          <w:szCs w:val="24"/>
        </w:rPr>
        <w:t xml:space="preserve">R6</w:t>
      </w:r>
      <w:r>
        <w:rPr>
          <w:rFonts w:ascii="Times New Roman" w:cs="Times New Roman" w:eastAsia="Times New Roman" w:hAnsi="Times New Roman"/>
          <w:sz w:val="24"/>
          <w:szCs w:val="24"/>
        </w:rPr>
        <w:t xml:space="preserve"> (supervisor): bi-weekly meetings scheduled in advance, running written log of open questions.</w:t>
      </w:r>
    </w:p>
    <w:p>
      <w:pPr>
        <w:pStyle w:val="Heading2"/>
        <w:spacing w:after="180" w:before="360"/>
      </w:pPr>
      <w:r>
        <w:rPr>
          <w:rFonts w:ascii="Times New Roman" w:cs="Times New Roman" w:eastAsia="Times New Roman" w:hAnsi="Times New Roman"/>
          <w:b/>
          <w:bCs/>
          <w:sz w:val="30"/>
          <w:szCs w:val="30"/>
        </w:rPr>
        <w:t xml:space="preserve">4.2 Software Development Process</w:t>
      </w:r>
    </w:p>
    <w:p>
      <w:pPr>
        <w:spacing w:after="180" w:line="360" w:lineRule="auto"/>
        <w:jc w:val="both"/>
      </w:pPr>
      <w:r>
        <w:rPr>
          <w:rFonts w:ascii="Times New Roman" w:cs="Times New Roman" w:eastAsia="Times New Roman" w:hAnsi="Times New Roman"/>
          <w:sz w:val="24"/>
          <w:szCs w:val="24"/>
        </w:rPr>
        <w:t xml:space="preserve">Four classical processes were considered. </w:t>
      </w:r>
      <w:r>
        <w:rPr>
          <w:rFonts w:ascii="Times New Roman" w:cs="Times New Roman" w:eastAsia="Times New Roman" w:hAnsi="Times New Roman"/>
          <w:b/>
          <w:bCs/>
          <w:sz w:val="24"/>
          <w:szCs w:val="24"/>
        </w:rPr>
        <w:t xml:space="preserve">Waterfall</w:t>
      </w:r>
      <w:r>
        <w:rPr>
          <w:rFonts w:ascii="Times New Roman" w:cs="Times New Roman" w:eastAsia="Times New Roman" w:hAnsi="Times New Roman"/>
          <w:sz w:val="24"/>
          <w:szCs w:val="24"/>
        </w:rPr>
        <w:t xml:space="preserve"> [41] is strictly linear: each phase must complete before the next begins. Its strength is clear phase deliverables; its weakness is brittleness in the face of changing requirements (Royce himself called the pure form "risky" [41]). </w:t>
      </w:r>
      <w:r>
        <w:rPr>
          <w:rFonts w:ascii="Times New Roman" w:cs="Times New Roman" w:eastAsia="Times New Roman" w:hAnsi="Times New Roman"/>
          <w:b/>
          <w:bCs/>
          <w:sz w:val="24"/>
          <w:szCs w:val="24"/>
        </w:rPr>
        <w:t xml:space="preserve">Iterative</w:t>
      </w:r>
      <w:r>
        <w:rPr>
          <w:rFonts w:ascii="Times New Roman" w:cs="Times New Roman" w:eastAsia="Times New Roman" w:hAnsi="Times New Roman"/>
          <w:sz w:val="24"/>
          <w:szCs w:val="24"/>
        </w:rPr>
        <w:t xml:space="preserve"> development refines the same slice repeatedly with end-user feedback and is best for high-uncertainty UI-dominant projects, not for a system whose architectural decomposition into services already gives each major feature a self-contained slice. </w:t>
      </w:r>
      <w:r>
        <w:rPr>
          <w:rFonts w:ascii="Times New Roman" w:cs="Times New Roman" w:eastAsia="Times New Roman" w:hAnsi="Times New Roman"/>
          <w:b/>
          <w:bCs/>
          <w:sz w:val="24"/>
          <w:szCs w:val="24"/>
        </w:rPr>
        <w:t xml:space="preserve">Agile/Scrum</w:t>
      </w:r>
      <w:r>
        <w:rPr>
          <w:rFonts w:ascii="Times New Roman" w:cs="Times New Roman" w:eastAsia="Times New Roman" w:hAnsi="Times New Roman"/>
          <w:sz w:val="24"/>
          <w:szCs w:val="24"/>
        </w:rPr>
        <w:t xml:space="preserve"> [62] presumes a team that can share the ceremonial overhead of planning, daily stand-ups, and retrospectives; for a single developer that overhead outweighs the benefit and the principal value of Scrum — frequent product-owner feedback — is unavailable. </w:t>
      </w:r>
      <w:r>
        <w:rPr>
          <w:rFonts w:ascii="Times New Roman" w:cs="Times New Roman" w:eastAsia="Times New Roman" w:hAnsi="Times New Roman"/>
          <w:b/>
          <w:bCs/>
          <w:sz w:val="24"/>
          <w:szCs w:val="24"/>
        </w:rPr>
        <w:t xml:space="preserve">Incremental</w:t>
      </w:r>
      <w:r>
        <w:rPr>
          <w:rFonts w:ascii="Times New Roman" w:cs="Times New Roman" w:eastAsia="Times New Roman" w:hAnsi="Times New Roman"/>
          <w:sz w:val="24"/>
          <w:szCs w:val="24"/>
        </w:rPr>
        <w:t xml:space="preserve"> delivery breaks the system into usable slices, each one a small complete waterfall; errors found in earlier slices can be corrected as part of later ones, and the granularity maps cleanly onto a microservices project where one service is roughly one increment.</w:t>
      </w:r>
    </w:p>
    <w:p>
      <w:pPr>
        <w:spacing w:after="60" w:before="240" w:line="360" w:lineRule="auto"/>
        <w:jc w:val="center"/>
      </w:pPr>
      <w:r>
        <w:rPr>
          <w:rFonts w:ascii="Times New Roman" w:cs="Times New Roman" w:eastAsia="Times New Roman" w:hAnsi="Times New Roman"/>
          <w:i/>
          <w:iCs/>
          <w:color w:val="808080"/>
          <w:sz w:val="24"/>
          <w:szCs w:val="24"/>
        </w:rPr>
        <w:t xml:space="preserve">[ Figure 4.1: The Incremental development model — each increment is a complete mini-waterfall and the product grows slice by slice — insert image here ]</w:t>
      </w:r>
    </w:p>
    <w:p>
      <w:pPr>
        <w:spacing w:after="240" w:before="0" w:line="360" w:lineRule="auto"/>
        <w:jc w:val="center"/>
      </w:pPr>
      <w:r>
        <w:rPr>
          <w:rFonts w:ascii="Times New Roman" w:cs="Times New Roman" w:eastAsia="Times New Roman" w:hAnsi="Times New Roman"/>
          <w:i/>
          <w:iCs/>
          <w:sz w:val="22"/>
          <w:szCs w:val="22"/>
        </w:rPr>
        <w:t xml:space="preserve">Figure 4.1: The Incremental development model</w:t>
      </w:r>
    </w:p>
    <w:p>
      <w:pPr>
        <w:spacing w:after="180" w:line="360" w:lineRule="auto"/>
        <w:jc w:val="both"/>
      </w:pPr>
      <w:r>
        <w:rPr>
          <w:rFonts w:ascii="Times New Roman" w:cs="Times New Roman" w:eastAsia="Times New Roman" w:hAnsi="Times New Roman"/>
          <w:b/>
          <w:bCs/>
          <w:sz w:val="24"/>
          <w:szCs w:val="24"/>
        </w:rPr>
        <w:t xml:space="preserve">The Incremental model was chosen</w:t>
      </w:r>
      <w:r>
        <w:rPr>
          <w:rFonts w:ascii="Times New Roman" w:cs="Times New Roman" w:eastAsia="Times New Roman" w:hAnsi="Times New Roman"/>
          <w:sz w:val="24"/>
          <w:szCs w:val="24"/>
        </w:rPr>
        <w:t xml:space="preserve"> for SnapPark because (i) each microservice maps cleanly onto a self-contained increment with its own A/D/I/T/E; (ii) a single developer rules out Scrum ceremonies; (iii) the dissertation timetable naturally divides into four 2–3-week blocks that match the granularity of an increment; (iv) the Gemini API was new to the developer at the start of the project and an incremental schedule allows lessons from one increment (e.g. making Gemini return parseable JSON) to inform the next; and (v) early increments validate the stack end-to-end so that any incompatibility between the runtime, the PostgreSQL driver, and the RabbitMQ client is discovered while the system is small. Four increments were planned and four were delivered: (1) API Gateway + Authentication Service (security perimeter); (2) Violation Analysis Service with Gemini and the orchestrated saga (core business value); (3) Notification Service and the multi-channel event-driven dispatcher (asynchronous half); (4) Next.js web frontend plus Docker Compose and Kubernetes deployment artefacts (user surface and operationalisation).</w:t>
      </w:r>
    </w:p>
    <w:p>
      <w:pPr>
        <w:pStyle w:val="Heading1"/>
        <w:pageBreakBefore/>
        <w:spacing w:after="360" w:before="0"/>
      </w:pPr>
      <w:r>
        <w:rPr>
          <w:rFonts w:ascii="Times New Roman" w:cs="Times New Roman" w:eastAsia="Times New Roman" w:hAnsi="Times New Roman"/>
          <w:b/>
          <w:bCs/>
          <w:sz w:val="36"/>
          <w:szCs w:val="36"/>
        </w:rPr>
        <w:t xml:space="preserve">Chapter 5
Increment 1 — API Gateway and Authentication</w:t>
      </w:r>
    </w:p>
    <w:p>
      <w:pPr>
        <w:spacing w:after="180" w:line="360" w:lineRule="auto"/>
        <w:jc w:val="both"/>
      </w:pPr>
      <w:r>
        <w:rPr>
          <w:rFonts w:ascii="Times New Roman" w:cs="Times New Roman" w:eastAsia="Times New Roman" w:hAnsi="Times New Roman"/>
          <w:sz w:val="24"/>
          <w:szCs w:val="24"/>
        </w:rPr>
        <w:t xml:space="preserve">The goal of the first increment was to deliver the security perimeter of the system: the single entry point through which every request must pass (the API Gateway) and the user-identity back-end that the gateway consults on every protected request (the Authentication Service). At the end of this increment, a citizen should be able to register an account, verify the e-mail address via a one-time password, log in to obtain an access and a refresh token, and present the access token on every subsequent request — even though, at this point in the project, no business endpoint yet exists behind the gateway. The remaining business logic is added in the increments that follow.</w:t>
      </w:r>
    </w:p>
    <w:p>
      <w:pPr>
        <w:pStyle w:val="Heading2"/>
        <w:spacing w:after="180" w:before="360"/>
      </w:pPr>
      <w:r>
        <w:rPr>
          <w:rFonts w:ascii="Times New Roman" w:cs="Times New Roman" w:eastAsia="Times New Roman" w:hAnsi="Times New Roman"/>
          <w:b/>
          <w:bCs/>
          <w:sz w:val="30"/>
          <w:szCs w:val="30"/>
        </w:rPr>
        <w:t xml:space="preserve">5.1 Analysis</w:t>
      </w:r>
    </w:p>
    <w:p>
      <w:pPr>
        <w:spacing w:after="180" w:line="360" w:lineRule="auto"/>
        <w:jc w:val="both"/>
      </w:pPr>
      <w:r>
        <w:rPr>
          <w:rFonts w:ascii="Times New Roman" w:cs="Times New Roman" w:eastAsia="Times New Roman" w:hAnsi="Times New Roman"/>
          <w:sz w:val="24"/>
          <w:szCs w:val="24"/>
        </w:rPr>
        <w:t xml:space="preserve">FR1 (Registration, Authentication, Password Management) is in scope, and the request-processing pipeline through the API Gateway must also be established because every later FR depends on it. NFR3 (Security) dominates: passwords stored only as salted hashes, short-lived revocable access tokens, every unauthenticated request rejected before reaching business code. NFR5 (Maintainability and Testability) requires every endpoint to carry an automated test, including the gateway-to-auth integration itself.</w:t>
      </w:r>
    </w:p>
    <w:p>
      <w:pPr>
        <w:spacing w:after="60" w:before="240" w:line="360" w:lineRule="auto"/>
        <w:jc w:val="center"/>
      </w:pPr>
      <w:r>
        <w:rPr>
          <w:rFonts w:ascii="Times New Roman" w:cs="Times New Roman" w:eastAsia="Times New Roman" w:hAnsi="Times New Roman"/>
          <w:i/>
          <w:iCs/>
          <w:color w:val="808080"/>
          <w:sz w:val="24"/>
          <w:szCs w:val="24"/>
        </w:rPr>
        <w:t xml:space="preserve">[ Figure 5.1: Use case: registration, e-mail verification, and login — insert image here ]</w:t>
      </w:r>
    </w:p>
    <w:p>
      <w:pPr>
        <w:spacing w:after="240" w:before="0" w:line="360" w:lineRule="auto"/>
        <w:jc w:val="center"/>
      </w:pPr>
      <w:r>
        <w:rPr>
          <w:rFonts w:ascii="Times New Roman" w:cs="Times New Roman" w:eastAsia="Times New Roman" w:hAnsi="Times New Roman"/>
          <w:i/>
          <w:iCs/>
          <w:sz w:val="22"/>
          <w:szCs w:val="22"/>
        </w:rPr>
        <w:t xml:space="preserve">Figure 5.1: Use case for registration, e-mail verification, and login</w:t>
      </w:r>
    </w:p>
    <w:p>
      <w:pPr>
        <w:pStyle w:val="Heading2"/>
        <w:spacing w:after="180" w:before="360"/>
      </w:pPr>
      <w:r>
        <w:rPr>
          <w:rFonts w:ascii="Times New Roman" w:cs="Times New Roman" w:eastAsia="Times New Roman" w:hAnsi="Times New Roman"/>
          <w:b/>
          <w:bCs/>
          <w:sz w:val="30"/>
          <w:szCs w:val="30"/>
        </w:rPr>
        <w:t xml:space="preserve">5.2 Design</w:t>
      </w:r>
    </w:p>
    <w:p>
      <w:pPr>
        <w:spacing w:after="180" w:line="360" w:lineRule="auto"/>
        <w:jc w:val="both"/>
      </w:pPr>
      <w:r>
        <w:rPr>
          <w:rFonts w:ascii="Times New Roman" w:cs="Times New Roman" w:eastAsia="Times New Roman" w:hAnsi="Times New Roman"/>
          <w:sz w:val="24"/>
          <w:szCs w:val="24"/>
        </w:rPr>
        <w:t xml:space="preserve">The design applies the API Gateway and Database-per-Service patterns (Sections 2.3.3 and 2.3.2). The gateway is an Express.js [42] application that exposes the public auth endpoints and applies an `authenticate` middleware on every protected route: it extracts the bearer token, calls `POST /auth/verify` on the Authentication Service, and either attaches `req.user` and forwards or returns HTTP 401 without ever contacting the downstream service. Figure 5.2 illustrates the sequence.</w:t>
      </w:r>
    </w:p>
    <w:p>
      <w:pPr>
        <w:spacing w:after="60" w:before="240" w:line="360" w:lineRule="auto"/>
        <w:jc w:val="center"/>
      </w:pPr>
      <w:r>
        <w:rPr>
          <w:rFonts w:ascii="Times New Roman" w:cs="Times New Roman" w:eastAsia="Times New Roman" w:hAnsi="Times New Roman"/>
          <w:i/>
          <w:iCs/>
          <w:color w:val="808080"/>
          <w:sz w:val="24"/>
          <w:szCs w:val="24"/>
        </w:rPr>
        <w:t xml:space="preserve">[ Figure 5.2: Authentication sequence diagram — client → gateway → auth service → protected route — insert image here ]</w:t>
      </w:r>
    </w:p>
    <w:p>
      <w:pPr>
        <w:spacing w:after="240" w:before="0" w:line="360" w:lineRule="auto"/>
        <w:jc w:val="center"/>
      </w:pPr>
      <w:r>
        <w:rPr>
          <w:rFonts w:ascii="Times New Roman" w:cs="Times New Roman" w:eastAsia="Times New Roman" w:hAnsi="Times New Roman"/>
          <w:i/>
          <w:iCs/>
          <w:sz w:val="22"/>
          <w:szCs w:val="22"/>
        </w:rPr>
        <w:t xml:space="preserve">Figure 5.2: Authentication sequence diagram</w:t>
      </w:r>
    </w:p>
    <w:p>
      <w:pPr>
        <w:spacing w:after="180" w:line="360" w:lineRule="auto"/>
        <w:jc w:val="both"/>
      </w:pPr>
      <w:r>
        <w:rPr>
          <w:rFonts w:ascii="Times New Roman" w:cs="Times New Roman" w:eastAsia="Times New Roman" w:hAnsi="Times New Roman"/>
          <w:sz w:val="24"/>
          <w:szCs w:val="24"/>
        </w:rPr>
        <w:t xml:space="preserve">The Authentication Service owns `snappark_auth` with three tables: `users` (UUID id, email, bcrypt hash, role, first/last name, email-verified flag, timestamps); `refresh_tokens` (token, user FK with `ON DELETE CASCADE`, expiry); `otps` (user, purpose, SHA-256 code hash, attempt counter, expiry, consumed-at). All primary keys use `gen_random_uuid()` and lookup columns are indexed.</w:t>
      </w:r>
    </w:p>
    <w:p>
      <w:pPr>
        <w:spacing w:after="180" w:line="360" w:lineRule="auto"/>
        <w:jc w:val="both"/>
      </w:pPr>
      <w:r>
        <w:rPr>
          <w:rFonts w:ascii="Times New Roman" w:cs="Times New Roman" w:eastAsia="Times New Roman" w:hAnsi="Times New Roman"/>
          <w:sz w:val="24"/>
          <w:szCs w:val="24"/>
        </w:rPr>
        <w:t xml:space="preserve">Two security decisions deserve explicit justification. </w:t>
      </w:r>
      <w:r>
        <w:rPr>
          <w:rFonts w:ascii="Times New Roman" w:cs="Times New Roman" w:eastAsia="Times New Roman" w:hAnsi="Times New Roman"/>
          <w:b/>
          <w:bCs/>
          <w:sz w:val="24"/>
          <w:szCs w:val="24"/>
        </w:rPr>
        <w:t xml:space="preserve">JWT [31] was chosen over server-side sessions</w:t>
      </w:r>
      <w:r>
        <w:rPr>
          <w:rFonts w:ascii="Times New Roman" w:cs="Times New Roman" w:eastAsia="Times New Roman" w:hAnsi="Times New Roman"/>
          <w:sz w:val="24"/>
          <w:szCs w:val="24"/>
        </w:rPr>
        <w:t xml:space="preserve"> because session storage would require a shared session store (Redis or sticky load-balancing) that is itself a single point of failure, while a JWT verified at the gateway is stateless and survives any number of replica restarts [22, 63]. </w:t>
      </w:r>
      <w:r>
        <w:rPr>
          <w:rFonts w:ascii="Times New Roman" w:cs="Times New Roman" w:eastAsia="Times New Roman" w:hAnsi="Times New Roman"/>
          <w:b/>
          <w:bCs/>
          <w:sz w:val="24"/>
          <w:szCs w:val="24"/>
        </w:rPr>
        <w:t xml:space="preserve">bcrypt [32] was chosen over Argon2</w:t>
      </w:r>
      <w:r>
        <w:rPr>
          <w:rFonts w:ascii="Times New Roman" w:cs="Times New Roman" w:eastAsia="Times New Roman" w:hAnsi="Times New Roman"/>
          <w:sz w:val="24"/>
          <w:szCs w:val="24"/>
        </w:rPr>
        <w:t xml:space="preserve"> [64, 65] for password hashing because, while Argon2 won the 2015 Password Hashing Competition and is memory-hard, bcrypt remains the OWASP-recommended baseline [22], has a mature Node.js binding, and at cost factor 12 produces hashes that are computationally expensive enough to make offline brute-forcing impractical for the threat model of a dissertation-scale system.</w:t>
      </w:r>
    </w:p>
    <w:p>
      <w:pPr>
        <w:spacing w:after="60" w:before="240" w:line="360" w:lineRule="auto"/>
        <w:jc w:val="center"/>
      </w:pPr>
      <w:r>
        <w:rPr>
          <w:rFonts w:ascii="Times New Roman" w:cs="Times New Roman" w:eastAsia="Times New Roman" w:hAnsi="Times New Roman"/>
          <w:i/>
          <w:iCs/>
          <w:color w:val="808080"/>
          <w:sz w:val="24"/>
          <w:szCs w:val="24"/>
        </w:rPr>
        <w:t xml:space="preserve">[ Figure 5.3: High-level design for Increment 1 — Client ↔ API Gateway ↔ Authentication Service ↔ Auth Database — insert image here ]</w:t>
      </w:r>
    </w:p>
    <w:p>
      <w:pPr>
        <w:spacing w:after="240" w:before="0" w:line="360" w:lineRule="auto"/>
        <w:jc w:val="center"/>
      </w:pPr>
      <w:r>
        <w:rPr>
          <w:rFonts w:ascii="Times New Roman" w:cs="Times New Roman" w:eastAsia="Times New Roman" w:hAnsi="Times New Roman"/>
          <w:i/>
          <w:iCs/>
          <w:sz w:val="22"/>
          <w:szCs w:val="22"/>
        </w:rPr>
        <w:t xml:space="preserve">Figure 5.3: High-level design for Increment 1</w:t>
      </w:r>
    </w:p>
    <w:p>
      <w:pPr>
        <w:pStyle w:val="Heading2"/>
        <w:spacing w:after="180" w:before="360"/>
      </w:pPr>
      <w:r>
        <w:rPr>
          <w:rFonts w:ascii="Times New Roman" w:cs="Times New Roman" w:eastAsia="Times New Roman" w:hAnsi="Times New Roman"/>
          <w:b/>
          <w:bCs/>
          <w:sz w:val="30"/>
          <w:szCs w:val="30"/>
        </w:rPr>
        <w:t xml:space="preserve">5.3 Implementation</w:t>
      </w:r>
    </w:p>
    <w:p>
      <w:pPr>
        <w:spacing w:after="180" w:line="360" w:lineRule="auto"/>
        <w:jc w:val="both"/>
      </w:pPr>
      <w:r>
        <w:rPr>
          <w:rFonts w:ascii="Times New Roman" w:cs="Times New Roman" w:eastAsia="Times New Roman" w:hAnsi="Times New Roman"/>
          <w:sz w:val="24"/>
          <w:szCs w:val="24"/>
        </w:rPr>
        <w:t xml:space="preserve">The API Gateway is implemented in `services/api-gateway/src/index.js` (≈510 lines). It uses Helmet [45] for HTTP security headers, Express CORS, Morgan for request logging, `express-rate-limit` [33] for global rate limiting (default 100 req/15 min/IP), axios for downstream calls, and Multer [66] for multipart uploads. The `authenticate` middleware is the central piece of code (Listing 5.1).</w:t>
      </w:r>
    </w:p>
    <w:p>
      <w:pPr>
        <w:shd w:fill="F4F4F4" w:val="clear"/>
        <w:spacing w:after="0" w:before="0" w:line="240" w:lineRule="auto"/>
        <w:ind w:left="360"/>
        <w:jc w:val="left"/>
      </w:pPr>
      <w:r>
        <w:rPr>
          <w:rFonts w:ascii="Consolas" w:cs="Consolas" w:eastAsia="Consolas" w:hAnsi="Consolas"/>
          <w:sz w:val="18"/>
          <w:szCs w:val="18"/>
        </w:rPr>
        <w:t xml:space="preserve">const authenticate = async (req, res, next) =&gt; {</w:t>
      </w:r>
    </w:p>
    <w:p>
      <w:pPr>
        <w:shd w:fill="F4F4F4" w:val="clear"/>
        <w:spacing w:after="0" w:before="0" w:line="240" w:lineRule="auto"/>
        <w:ind w:left="360"/>
        <w:jc w:val="left"/>
      </w:pPr>
      <w:r>
        <w:rPr>
          <w:rFonts w:ascii="Consolas" w:cs="Consolas" w:eastAsia="Consolas" w:hAnsi="Consolas"/>
          <w:sz w:val="18"/>
          <w:szCs w:val="18"/>
        </w:rPr>
        <w:t xml:space="preserve">  const authHeader = req.headers.authorization;</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  if (!authHeader || !authHeader.startsWith('Bearer ')) {</w:t>
      </w:r>
    </w:p>
    <w:p>
      <w:pPr>
        <w:shd w:fill="F4F4F4" w:val="clear"/>
        <w:spacing w:after="0" w:before="0" w:line="240" w:lineRule="auto"/>
        <w:ind w:left="360"/>
        <w:jc w:val="left"/>
      </w:pPr>
      <w:r>
        <w:rPr>
          <w:rFonts w:ascii="Consolas" w:cs="Consolas" w:eastAsia="Consolas" w:hAnsi="Consolas"/>
          <w:sz w:val="18"/>
          <w:szCs w:val="18"/>
        </w:rPr>
        <w:t xml:space="preserve">    return res.status(401).json({</w:t>
      </w:r>
    </w:p>
    <w:p>
      <w:pPr>
        <w:shd w:fill="F4F4F4" w:val="clear"/>
        <w:spacing w:after="0" w:before="0" w:line="240" w:lineRule="auto"/>
        <w:ind w:left="360"/>
        <w:jc w:val="left"/>
      </w:pPr>
      <w:r>
        <w:rPr>
          <w:rFonts w:ascii="Consolas" w:cs="Consolas" w:eastAsia="Consolas" w:hAnsi="Consolas"/>
          <w:sz w:val="18"/>
          <w:szCs w:val="18"/>
        </w:rPr>
        <w:t xml:space="preserve">      error: 'Missing or malformed Authorization header.',</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  try {</w:t>
      </w:r>
    </w:p>
    <w:p>
      <w:pPr>
        <w:shd w:fill="F4F4F4" w:val="clear"/>
        <w:spacing w:after="0" w:before="0" w:line="240" w:lineRule="auto"/>
        <w:ind w:left="360"/>
        <w:jc w:val="left"/>
      </w:pPr>
      <w:r>
        <w:rPr>
          <w:rFonts w:ascii="Consolas" w:cs="Consolas" w:eastAsia="Consolas" w:hAnsi="Consolas"/>
          <w:sz w:val="18"/>
          <w:szCs w:val="18"/>
        </w:rPr>
        <w:t xml:space="preserve">    const { data } = await axios.post(</w:t>
      </w:r>
    </w:p>
    <w:p>
      <w:pPr>
        <w:shd w:fill="F4F4F4" w:val="clear"/>
        <w:spacing w:after="0" w:before="0" w:line="240" w:lineRule="auto"/>
        <w:ind w:left="360"/>
        <w:jc w:val="left"/>
      </w:pPr>
      <w:r>
        <w:rPr>
          <w:rFonts w:ascii="Consolas" w:cs="Consolas" w:eastAsia="Consolas" w:hAnsi="Consolas"/>
          <w:sz w:val="18"/>
          <w:szCs w:val="18"/>
        </w:rPr>
        <w:t xml:space="preserve">      `${AUTH_SERVICE_URL}/auth/verify`,</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      { headers: { Authorization: authHeader }, timeout: 5000 },</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    if (!data.valid) {</w:t>
      </w:r>
    </w:p>
    <w:p>
      <w:pPr>
        <w:shd w:fill="F4F4F4" w:val="clear"/>
        <w:spacing w:after="0" w:before="0" w:line="240" w:lineRule="auto"/>
        <w:ind w:left="360"/>
        <w:jc w:val="left"/>
      </w:pPr>
      <w:r>
        <w:rPr>
          <w:rFonts w:ascii="Consolas" w:cs="Consolas" w:eastAsia="Consolas" w:hAnsi="Consolas"/>
          <w:sz w:val="18"/>
          <w:szCs w:val="18"/>
        </w:rPr>
        <w:t xml:space="preserve">      return res.status(401).json({ error: 'Invalid or expired token.' });</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    req.user = data.payload; // { sub, email, role, iat, exp }</w:t>
      </w:r>
    </w:p>
    <w:p>
      <w:pPr>
        <w:shd w:fill="F4F4F4" w:val="clear"/>
        <w:spacing w:after="0" w:before="0" w:line="240" w:lineRule="auto"/>
        <w:ind w:left="360"/>
        <w:jc w:val="left"/>
      </w:pPr>
      <w:r>
        <w:rPr>
          <w:rFonts w:ascii="Consolas" w:cs="Consolas" w:eastAsia="Consolas" w:hAnsi="Consolas"/>
          <w:sz w:val="18"/>
          <w:szCs w:val="18"/>
        </w:rPr>
        <w:t xml:space="preserve">    next();</w:t>
      </w:r>
    </w:p>
    <w:p>
      <w:pPr>
        <w:shd w:fill="F4F4F4" w:val="clear"/>
        <w:spacing w:after="0" w:before="0" w:line="240" w:lineRule="auto"/>
        <w:ind w:left="360"/>
        <w:jc w:val="left"/>
      </w:pPr>
      <w:r>
        <w:rPr>
          <w:rFonts w:ascii="Consolas" w:cs="Consolas" w:eastAsia="Consolas" w:hAnsi="Consolas"/>
          <w:sz w:val="18"/>
          <w:szCs w:val="18"/>
        </w:rPr>
        <w:t xml:space="preserve">  } catch (err) {</w:t>
      </w:r>
    </w:p>
    <w:p>
      <w:pPr>
        <w:shd w:fill="F4F4F4" w:val="clear"/>
        <w:spacing w:after="0" w:before="0" w:line="240" w:lineRule="auto"/>
        <w:ind w:left="360"/>
        <w:jc w:val="left"/>
      </w:pPr>
      <w:r>
        <w:rPr>
          <w:rFonts w:ascii="Consolas" w:cs="Consolas" w:eastAsia="Consolas" w:hAnsi="Consolas"/>
          <w:sz w:val="18"/>
          <w:szCs w:val="18"/>
        </w:rPr>
        <w:t xml:space="preserve">    if (err.response?.status === 401) {</w:t>
      </w:r>
    </w:p>
    <w:p>
      <w:pPr>
        <w:shd w:fill="F4F4F4" w:val="clear"/>
        <w:spacing w:after="0" w:before="0" w:line="240" w:lineRule="auto"/>
        <w:ind w:left="360"/>
        <w:jc w:val="left"/>
      </w:pPr>
      <w:r>
        <w:rPr>
          <w:rFonts w:ascii="Consolas" w:cs="Consolas" w:eastAsia="Consolas" w:hAnsi="Consolas"/>
          <w:sz w:val="18"/>
          <w:szCs w:val="18"/>
        </w:rPr>
        <w:t xml:space="preserve">      return res.status(401).json(err.response.data);</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    console.error('[gateway] Auth service error:', err.message);</w:t>
      </w:r>
    </w:p>
    <w:p>
      <w:pPr>
        <w:shd w:fill="F4F4F4" w:val="clear"/>
        <w:spacing w:after="0" w:before="0" w:line="240" w:lineRule="auto"/>
        <w:ind w:left="360"/>
        <w:jc w:val="left"/>
      </w:pPr>
      <w:r>
        <w:rPr>
          <w:rFonts w:ascii="Consolas" w:cs="Consolas" w:eastAsia="Consolas" w:hAnsi="Consolas"/>
          <w:sz w:val="18"/>
          <w:szCs w:val="18"/>
        </w:rPr>
        <w:t xml:space="preserve">    return res.status(503).json({ error: 'Authentication service unavailable.' });</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w:t>
      </w:r>
    </w:p>
    <w:p>
      <w:pPr>
        <w:spacing w:after="240" w:before="60" w:line="360" w:lineRule="auto"/>
        <w:jc w:val="center"/>
      </w:pPr>
      <w:r>
        <w:rPr>
          <w:rFonts w:ascii="Times New Roman" w:cs="Times New Roman" w:eastAsia="Times New Roman" w:hAnsi="Times New Roman"/>
          <w:i/>
          <w:iCs/>
          <w:sz w:val="22"/>
          <w:szCs w:val="22"/>
        </w:rPr>
        <w:t xml:space="preserve">Listing 5.1: API Gateway authentication middleware</w:t>
      </w:r>
    </w:p>
    <w:p>
      <w:pPr>
        <w:spacing w:after="180" w:line="360" w:lineRule="auto"/>
        <w:jc w:val="both"/>
      </w:pPr>
      <w:r>
        <w:rPr>
          <w:rFonts w:ascii="Times New Roman" w:cs="Times New Roman" w:eastAsia="Times New Roman" w:hAnsi="Times New Roman"/>
          <w:sz w:val="24"/>
          <w:szCs w:val="24"/>
        </w:rPr>
        <w:t xml:space="preserve">Three behaviours in Listing 5.1: (i) the middleware rejects missing or non-Bearer Authorization headers before any network call; (ii) the `axios.post` carries a 5-second timeout so a hanging auth service cannot block the gateway; (iii) on a non-401 failure (auth service unreachable) the gateway returns HTTP 503, not 401, so that a downstream outage is not mis-reported to the client.</w:t>
      </w:r>
    </w:p>
    <w:p>
      <w:pPr>
        <w:spacing w:after="180" w:line="360" w:lineRule="auto"/>
        <w:jc w:val="both"/>
      </w:pPr>
      <w:r>
        <w:rPr>
          <w:rFonts w:ascii="Times New Roman" w:cs="Times New Roman" w:eastAsia="Times New Roman" w:hAnsi="Times New Roman"/>
          <w:sz w:val="24"/>
          <w:szCs w:val="24"/>
        </w:rPr>
        <w:t xml:space="preserve">The Authentication Service (`src/index.js`, ≈680 lines) exposes `POST /auth/register` (creates unverified account + issues OTP), `POST /auth/verify-otp`, `POST /auth/resend-otp`, `POST /auth/forgot-password`, `POST /auth/reset-password`, `POST /auth/login`, `POST /auth/verify` (called by the gateway), `POST /auth/refresh` (rotates refresh token), `POST /auth/logout`, plus `PATCH /auth/profile` and `PATCH /auth/password` for in-session updates. Shared helpers live in `helpers.js`, database access in `db.js`, OTP logic in `otp.js`, and email templates in `email.js`.</w:t>
      </w:r>
    </w:p>
    <w:p>
      <w:pPr>
        <w:spacing w:after="180" w:line="360" w:lineRule="auto"/>
        <w:jc w:val="both"/>
      </w:pPr>
      <w:r>
        <w:rPr>
          <w:rFonts w:ascii="Times New Roman" w:cs="Times New Roman" w:eastAsia="Times New Roman" w:hAnsi="Times New Roman"/>
          <w:sz w:val="24"/>
          <w:szCs w:val="24"/>
        </w:rPr>
        <w:t xml:space="preserve">Access and refresh tokens are HS256-signed JWTs [31] generated by the helpers in Listing 5.2. Two independent secrets are used so that a leaked access-token secret does not invalidate refresh tokens. Each token carries a `jti` generated by `crypto.randomUUID`, which makes any future revocation list trivially indexable.</w:t>
      </w:r>
    </w:p>
    <w:p>
      <w:pPr>
        <w:shd w:fill="F4F4F4" w:val="clear"/>
        <w:spacing w:after="0" w:before="0" w:line="240" w:lineRule="auto"/>
        <w:ind w:left="360"/>
        <w:jc w:val="left"/>
      </w:pPr>
      <w:r>
        <w:rPr>
          <w:rFonts w:ascii="Consolas" w:cs="Consolas" w:eastAsia="Consolas" w:hAnsi="Consolas"/>
          <w:sz w:val="18"/>
          <w:szCs w:val="18"/>
        </w:rPr>
        <w:t xml:space="preserve">/** Sign a short-lived access token. The role claim drives admin-only routes. */</w:t>
      </w:r>
    </w:p>
    <w:p>
      <w:pPr>
        <w:shd w:fill="F4F4F4" w:val="clear"/>
        <w:spacing w:after="0" w:before="0" w:line="240" w:lineRule="auto"/>
        <w:ind w:left="360"/>
        <w:jc w:val="left"/>
      </w:pPr>
      <w:r>
        <w:rPr>
          <w:rFonts w:ascii="Consolas" w:cs="Consolas" w:eastAsia="Consolas" w:hAnsi="Consolas"/>
          <w:sz w:val="18"/>
          <w:szCs w:val="18"/>
        </w:rPr>
        <w:t xml:space="preserve">export const createAccessToken = (user, secret, expiresIn) =&gt;</w:t>
      </w:r>
    </w:p>
    <w:p>
      <w:pPr>
        <w:shd w:fill="F4F4F4" w:val="clear"/>
        <w:spacing w:after="0" w:before="0" w:line="240" w:lineRule="auto"/>
        <w:ind w:left="360"/>
        <w:jc w:val="left"/>
      </w:pPr>
      <w:r>
        <w:rPr>
          <w:rFonts w:ascii="Consolas" w:cs="Consolas" w:eastAsia="Consolas" w:hAnsi="Consolas"/>
          <w:sz w:val="18"/>
          <w:szCs w:val="18"/>
        </w:rPr>
        <w:t xml:space="preserve">  jwt.sign(</w:t>
      </w:r>
    </w:p>
    <w:p>
      <w:pPr>
        <w:shd w:fill="F4F4F4" w:val="clear"/>
        <w:spacing w:after="0" w:before="0" w:line="240" w:lineRule="auto"/>
        <w:ind w:left="360"/>
        <w:jc w:val="left"/>
      </w:pPr>
      <w:r>
        <w:rPr>
          <w:rFonts w:ascii="Consolas" w:cs="Consolas" w:eastAsia="Consolas" w:hAnsi="Consolas"/>
          <w:sz w:val="18"/>
          <w:szCs w:val="18"/>
        </w:rPr>
        <w:t xml:space="preserve">    { sub: user.id, email: user.email, role: user.role || 'citizen', jti: crypto.randomUUID() },</w:t>
      </w:r>
    </w:p>
    <w:p>
      <w:pPr>
        <w:shd w:fill="F4F4F4" w:val="clear"/>
        <w:spacing w:after="0" w:before="0" w:line="240" w:lineRule="auto"/>
        <w:ind w:left="360"/>
        <w:jc w:val="left"/>
      </w:pPr>
      <w:r>
        <w:rPr>
          <w:rFonts w:ascii="Consolas" w:cs="Consolas" w:eastAsia="Consolas" w:hAnsi="Consolas"/>
          <w:sz w:val="18"/>
          <w:szCs w:val="18"/>
        </w:rPr>
        <w:t xml:space="preserve">    secret,</w:t>
      </w:r>
    </w:p>
    <w:p>
      <w:pPr>
        <w:shd w:fill="F4F4F4" w:val="clear"/>
        <w:spacing w:after="0" w:before="0" w:line="240" w:lineRule="auto"/>
        <w:ind w:left="360"/>
        <w:jc w:val="left"/>
      </w:pPr>
      <w:r>
        <w:rPr>
          <w:rFonts w:ascii="Consolas" w:cs="Consolas" w:eastAsia="Consolas" w:hAnsi="Consolas"/>
          <w:sz w:val="18"/>
          <w:szCs w:val="18"/>
        </w:rPr>
        <w:t xml:space="preserve">    { expiresIn },</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 Sign a long-lived refresh token */</w:t>
      </w:r>
    </w:p>
    <w:p>
      <w:pPr>
        <w:shd w:fill="F4F4F4" w:val="clear"/>
        <w:spacing w:after="0" w:before="0" w:line="240" w:lineRule="auto"/>
        <w:ind w:left="360"/>
        <w:jc w:val="left"/>
      </w:pPr>
      <w:r>
        <w:rPr>
          <w:rFonts w:ascii="Consolas" w:cs="Consolas" w:eastAsia="Consolas" w:hAnsi="Consolas"/>
          <w:sz w:val="18"/>
          <w:szCs w:val="18"/>
        </w:rPr>
        <w:t xml:space="preserve">export const createRefreshToken = (user, secret, expiresIn) =&gt;</w:t>
      </w:r>
    </w:p>
    <w:p>
      <w:pPr>
        <w:shd w:fill="F4F4F4" w:val="clear"/>
        <w:spacing w:after="0" w:before="0" w:line="240" w:lineRule="auto"/>
        <w:ind w:left="360"/>
        <w:jc w:val="left"/>
      </w:pPr>
      <w:r>
        <w:rPr>
          <w:rFonts w:ascii="Consolas" w:cs="Consolas" w:eastAsia="Consolas" w:hAnsi="Consolas"/>
          <w:sz w:val="18"/>
          <w:szCs w:val="18"/>
        </w:rPr>
        <w:t xml:space="preserve">  jwt.sign(</w:t>
      </w:r>
    </w:p>
    <w:p>
      <w:pPr>
        <w:shd w:fill="F4F4F4" w:val="clear"/>
        <w:spacing w:after="0" w:before="0" w:line="240" w:lineRule="auto"/>
        <w:ind w:left="360"/>
        <w:jc w:val="left"/>
      </w:pPr>
      <w:r>
        <w:rPr>
          <w:rFonts w:ascii="Consolas" w:cs="Consolas" w:eastAsia="Consolas" w:hAnsi="Consolas"/>
          <w:sz w:val="18"/>
          <w:szCs w:val="18"/>
        </w:rPr>
        <w:t xml:space="preserve">    { sub: user.id, type: 'refresh', jti: crypto.randomUUID() },</w:t>
      </w:r>
    </w:p>
    <w:p>
      <w:pPr>
        <w:shd w:fill="F4F4F4" w:val="clear"/>
        <w:spacing w:after="0" w:before="0" w:line="240" w:lineRule="auto"/>
        <w:ind w:left="360"/>
        <w:jc w:val="left"/>
      </w:pPr>
      <w:r>
        <w:rPr>
          <w:rFonts w:ascii="Consolas" w:cs="Consolas" w:eastAsia="Consolas" w:hAnsi="Consolas"/>
          <w:sz w:val="18"/>
          <w:szCs w:val="18"/>
        </w:rPr>
        <w:t xml:space="preserve">    secret,</w:t>
      </w:r>
    </w:p>
    <w:p>
      <w:pPr>
        <w:shd w:fill="F4F4F4" w:val="clear"/>
        <w:spacing w:after="0" w:before="0" w:line="240" w:lineRule="auto"/>
        <w:ind w:left="360"/>
        <w:jc w:val="left"/>
      </w:pPr>
      <w:r>
        <w:rPr>
          <w:rFonts w:ascii="Consolas" w:cs="Consolas" w:eastAsia="Consolas" w:hAnsi="Consolas"/>
          <w:sz w:val="18"/>
          <w:szCs w:val="18"/>
        </w:rPr>
        <w:t xml:space="preserve">    { expiresIn },</w:t>
      </w:r>
    </w:p>
    <w:p>
      <w:pPr>
        <w:shd w:fill="F4F4F4" w:val="clear"/>
        <w:spacing w:after="0" w:before="0" w:line="240" w:lineRule="auto"/>
        <w:ind w:left="360"/>
        <w:jc w:val="left"/>
      </w:pPr>
      <w:r>
        <w:rPr>
          <w:rFonts w:ascii="Consolas" w:cs="Consolas" w:eastAsia="Consolas" w:hAnsi="Consolas"/>
          <w:sz w:val="18"/>
          <w:szCs w:val="18"/>
        </w:rPr>
        <w:t xml:space="preserve">  );</w:t>
      </w:r>
    </w:p>
    <w:p>
      <w:pPr>
        <w:spacing w:after="240" w:before="60" w:line="360" w:lineRule="auto"/>
        <w:jc w:val="center"/>
      </w:pPr>
      <w:r>
        <w:rPr>
          <w:rFonts w:ascii="Times New Roman" w:cs="Times New Roman" w:eastAsia="Times New Roman" w:hAnsi="Times New Roman"/>
          <w:i/>
          <w:iCs/>
          <w:sz w:val="22"/>
          <w:szCs w:val="22"/>
        </w:rPr>
        <w:t xml:space="preserve">Listing 5.2: Access-token and refresh-token generation (helpers.js)</w:t>
      </w:r>
    </w:p>
    <w:p>
      <w:pPr>
        <w:spacing w:after="180" w:line="360" w:lineRule="auto"/>
        <w:jc w:val="both"/>
      </w:pPr>
      <w:r>
        <w:rPr>
          <w:rFonts w:ascii="Times New Roman" w:cs="Times New Roman" w:eastAsia="Times New Roman" w:hAnsi="Times New Roman"/>
          <w:sz w:val="24"/>
          <w:szCs w:val="24"/>
        </w:rPr>
        <w:t xml:space="preserve">Passwords are hashed with bcrypt [32] at cost factor 10. On every successful login or token rotation the new refresh token is persisted in `refresh_tokens` and the previous one deleted in the same transaction — the canonical implementation of </w:t>
      </w:r>
      <w:r>
        <w:rPr>
          <w:rFonts w:ascii="Times New Roman" w:cs="Times New Roman" w:eastAsia="Times New Roman" w:hAnsi="Times New Roman"/>
          <w:i/>
          <w:iCs/>
          <w:sz w:val="24"/>
          <w:szCs w:val="24"/>
        </w:rPr>
        <w:t xml:space="preserve">refresh-token rotation</w:t>
      </w:r>
      <w:r>
        <w:rPr>
          <w:rFonts w:ascii="Times New Roman" w:cs="Times New Roman" w:eastAsia="Times New Roman" w:hAnsi="Times New Roman"/>
          <w:sz w:val="24"/>
          <w:szCs w:val="24"/>
        </w:rPr>
        <w:t xml:space="preserve"> in which a leaked refresh token has at most one use before becoming invalid.</w:t>
      </w:r>
    </w:p>
    <w:p>
      <w:pPr>
        <w:spacing w:after="180" w:line="360" w:lineRule="auto"/>
        <w:jc w:val="both"/>
      </w:pPr>
      <w:r>
        <w:rPr>
          <w:rFonts w:ascii="Times New Roman" w:cs="Times New Roman" w:eastAsia="Times New Roman" w:hAnsi="Times New Roman"/>
          <w:sz w:val="24"/>
          <w:szCs w:val="24"/>
        </w:rPr>
        <w:t xml:space="preserve">The OTP module (`otp.js`, ≈140 lines) is shared between the email-verification flow and the password-reset flow through a `purpose` field. `issueOtp` (Listing 5.3) generates a cryptographically uniform four-digit code with `crypto.randomInt`, hashes it with SHA-256, invalidates any previously active OTP for the same (user, purpose) pair, and persists the new hash with a 10-minute expiry. The plaintext code is returned for delivery by email and is never persisted.</w:t>
      </w:r>
    </w:p>
    <w:p>
      <w:pPr>
        <w:shd w:fill="F4F4F4" w:val="clear"/>
        <w:spacing w:after="0" w:before="0" w:line="240" w:lineRule="auto"/>
        <w:ind w:left="360"/>
        <w:jc w:val="left"/>
      </w:pPr>
      <w:r>
        <w:rPr>
          <w:rFonts w:ascii="Consolas" w:cs="Consolas" w:eastAsia="Consolas" w:hAnsi="Consolas"/>
          <w:sz w:val="18"/>
          <w:szCs w:val="18"/>
        </w:rPr>
        <w:t xml:space="preserve">export const issueOtp = async ({ userId, purpose }) =&gt; {</w:t>
      </w:r>
    </w:p>
    <w:p>
      <w:pPr>
        <w:shd w:fill="F4F4F4" w:val="clear"/>
        <w:spacing w:after="0" w:before="0" w:line="240" w:lineRule="auto"/>
        <w:ind w:left="360"/>
        <w:jc w:val="left"/>
      </w:pPr>
      <w:r>
        <w:rPr>
          <w:rFonts w:ascii="Consolas" w:cs="Consolas" w:eastAsia="Consolas" w:hAnsi="Consolas"/>
          <w:sz w:val="18"/>
          <w:szCs w:val="18"/>
        </w:rPr>
        <w:t xml:space="preserve">  assertValidPurpose(purpose);</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  const code      = generateNumericCode();</w:t>
      </w:r>
    </w:p>
    <w:p>
      <w:pPr>
        <w:shd w:fill="F4F4F4" w:val="clear"/>
        <w:spacing w:after="0" w:before="0" w:line="240" w:lineRule="auto"/>
        <w:ind w:left="360"/>
        <w:jc w:val="left"/>
      </w:pPr>
      <w:r>
        <w:rPr>
          <w:rFonts w:ascii="Consolas" w:cs="Consolas" w:eastAsia="Consolas" w:hAnsi="Consolas"/>
          <w:sz w:val="18"/>
          <w:szCs w:val="18"/>
        </w:rPr>
        <w:t xml:space="preserve">  const codeHash  = hashCode(code);</w:t>
      </w:r>
    </w:p>
    <w:p>
      <w:pPr>
        <w:shd w:fill="F4F4F4" w:val="clear"/>
        <w:spacing w:after="0" w:before="0" w:line="240" w:lineRule="auto"/>
        <w:ind w:left="360"/>
        <w:jc w:val="left"/>
      </w:pPr>
      <w:r>
        <w:rPr>
          <w:rFonts w:ascii="Consolas" w:cs="Consolas" w:eastAsia="Consolas" w:hAnsi="Consolas"/>
          <w:sz w:val="18"/>
          <w:szCs w:val="18"/>
        </w:rPr>
        <w:t xml:space="preserve">  const expiresAt = new Date(Date.now() + OTP_TTL_MINUTES * 60 * 1000);</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  // Invalidate any active OTP for the same (user, purpose) so the new one</w:t>
      </w:r>
    </w:p>
    <w:p>
      <w:pPr>
        <w:shd w:fill="F4F4F4" w:val="clear"/>
        <w:spacing w:after="0" w:before="0" w:line="240" w:lineRule="auto"/>
        <w:ind w:left="360"/>
        <w:jc w:val="left"/>
      </w:pPr>
      <w:r>
        <w:rPr>
          <w:rFonts w:ascii="Consolas" w:cs="Consolas" w:eastAsia="Consolas" w:hAnsi="Consolas"/>
          <w:sz w:val="18"/>
          <w:szCs w:val="18"/>
        </w:rPr>
        <w:t xml:space="preserve">  // is the only valid code.</w:t>
      </w:r>
    </w:p>
    <w:p>
      <w:pPr>
        <w:shd w:fill="F4F4F4" w:val="clear"/>
        <w:spacing w:after="0" w:before="0" w:line="240" w:lineRule="auto"/>
        <w:ind w:left="360"/>
        <w:jc w:val="left"/>
      </w:pPr>
      <w:r>
        <w:rPr>
          <w:rFonts w:ascii="Consolas" w:cs="Consolas" w:eastAsia="Consolas" w:hAnsi="Consolas"/>
          <w:sz w:val="18"/>
          <w:szCs w:val="18"/>
        </w:rPr>
        <w:t xml:space="preserve">  await query(</w:t>
      </w:r>
    </w:p>
    <w:p>
      <w:pPr>
        <w:shd w:fill="F4F4F4" w:val="clear"/>
        <w:spacing w:after="0" w:before="0" w:line="240" w:lineRule="auto"/>
        <w:ind w:left="360"/>
        <w:jc w:val="left"/>
      </w:pPr>
      <w:r>
        <w:rPr>
          <w:rFonts w:ascii="Consolas" w:cs="Consolas" w:eastAsia="Consolas" w:hAnsi="Consolas"/>
          <w:sz w:val="18"/>
          <w:szCs w:val="18"/>
        </w:rPr>
        <w:t xml:space="preserve">    `UPDATE otps SET consumed_at = NOW()</w:t>
      </w:r>
    </w:p>
    <w:p>
      <w:pPr>
        <w:shd w:fill="F4F4F4" w:val="clear"/>
        <w:spacing w:after="0" w:before="0" w:line="240" w:lineRule="auto"/>
        <w:ind w:left="360"/>
        <w:jc w:val="left"/>
      </w:pPr>
      <w:r>
        <w:rPr>
          <w:rFonts w:ascii="Consolas" w:cs="Consolas" w:eastAsia="Consolas" w:hAnsi="Consolas"/>
          <w:sz w:val="18"/>
          <w:szCs w:val="18"/>
        </w:rPr>
        <w:t xml:space="preserve">       WHERE user_id = $1 AND purpose = $2 AND consumed_at IS NULL`,</w:t>
      </w:r>
    </w:p>
    <w:p>
      <w:pPr>
        <w:shd w:fill="F4F4F4" w:val="clear"/>
        <w:spacing w:after="0" w:before="0" w:line="240" w:lineRule="auto"/>
        <w:ind w:left="360"/>
        <w:jc w:val="left"/>
      </w:pPr>
      <w:r>
        <w:rPr>
          <w:rFonts w:ascii="Consolas" w:cs="Consolas" w:eastAsia="Consolas" w:hAnsi="Consolas"/>
          <w:sz w:val="18"/>
          <w:szCs w:val="18"/>
        </w:rPr>
        <w:t xml:space="preserve">    [userId, purpose]</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  await query(</w:t>
      </w:r>
    </w:p>
    <w:p>
      <w:pPr>
        <w:shd w:fill="F4F4F4" w:val="clear"/>
        <w:spacing w:after="0" w:before="0" w:line="240" w:lineRule="auto"/>
        <w:ind w:left="360"/>
        <w:jc w:val="left"/>
      </w:pPr>
      <w:r>
        <w:rPr>
          <w:rFonts w:ascii="Consolas" w:cs="Consolas" w:eastAsia="Consolas" w:hAnsi="Consolas"/>
          <w:sz w:val="18"/>
          <w:szCs w:val="18"/>
        </w:rPr>
        <w:t xml:space="preserve">    `INSERT INTO otps (user_id, purpose, code_hash, expires_at)</w:t>
      </w:r>
    </w:p>
    <w:p>
      <w:pPr>
        <w:shd w:fill="F4F4F4" w:val="clear"/>
        <w:spacing w:after="0" w:before="0" w:line="240" w:lineRule="auto"/>
        <w:ind w:left="360"/>
        <w:jc w:val="left"/>
      </w:pPr>
      <w:r>
        <w:rPr>
          <w:rFonts w:ascii="Consolas" w:cs="Consolas" w:eastAsia="Consolas" w:hAnsi="Consolas"/>
          <w:sz w:val="18"/>
          <w:szCs w:val="18"/>
        </w:rPr>
        <w:t xml:space="preserve">     VALUES ($1, $2, $3, $4)`,</w:t>
      </w:r>
    </w:p>
    <w:p>
      <w:pPr>
        <w:shd w:fill="F4F4F4" w:val="clear"/>
        <w:spacing w:after="0" w:before="0" w:line="240" w:lineRule="auto"/>
        <w:ind w:left="360"/>
        <w:jc w:val="left"/>
      </w:pPr>
      <w:r>
        <w:rPr>
          <w:rFonts w:ascii="Consolas" w:cs="Consolas" w:eastAsia="Consolas" w:hAnsi="Consolas"/>
          <w:sz w:val="18"/>
          <w:szCs w:val="18"/>
        </w:rPr>
        <w:t xml:space="preserve">    [userId, purpose, codeHash, expiresAt]</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  return { code, expiresAt };</w:t>
      </w:r>
    </w:p>
    <w:p>
      <w:pPr>
        <w:shd w:fill="F4F4F4" w:val="clear"/>
        <w:spacing w:after="0" w:before="0" w:line="240" w:lineRule="auto"/>
        <w:ind w:left="360"/>
        <w:jc w:val="left"/>
      </w:pPr>
      <w:r>
        <w:rPr>
          <w:rFonts w:ascii="Consolas" w:cs="Consolas" w:eastAsia="Consolas" w:hAnsi="Consolas"/>
          <w:sz w:val="18"/>
          <w:szCs w:val="18"/>
        </w:rPr>
        <w:t xml:space="preserve">};</w:t>
      </w:r>
    </w:p>
    <w:p>
      <w:pPr>
        <w:spacing w:after="240" w:before="60" w:line="360" w:lineRule="auto"/>
        <w:jc w:val="center"/>
      </w:pPr>
      <w:r>
        <w:rPr>
          <w:rFonts w:ascii="Times New Roman" w:cs="Times New Roman" w:eastAsia="Times New Roman" w:hAnsi="Times New Roman"/>
          <w:i/>
          <w:iCs/>
          <w:sz w:val="22"/>
          <w:szCs w:val="22"/>
        </w:rPr>
        <w:t xml:space="preserve">Listing 5.3: OTP issuance with purpose-aware invalidation (otp.js)</w:t>
      </w:r>
    </w:p>
    <w:p>
      <w:pPr>
        <w:spacing w:after="180" w:line="360" w:lineRule="auto"/>
        <w:jc w:val="both"/>
      </w:pPr>
      <w:r>
        <w:rPr>
          <w:rFonts w:ascii="Times New Roman" w:cs="Times New Roman" w:eastAsia="Times New Roman" w:hAnsi="Times New Roman"/>
          <w:sz w:val="24"/>
          <w:szCs w:val="24"/>
        </w:rPr>
        <w:t xml:space="preserve">The complementary `verifyOtp` applies an attempt counter (hard cap of five wrong submissions before the code is burned), an expiry check, and a constant-time comparison through `crypto.timingSafeEqual` to defend against timing side-channels. Results are reported as discriminated outcomes (`{ ok: true }` or `{ ok: false, reason: ... }`) so callers can translate them into accurate HTTP responses.</w:t>
      </w:r>
    </w:p>
    <w:p>
      <w:pPr>
        <w:spacing w:after="180" w:line="360" w:lineRule="auto"/>
        <w:jc w:val="both"/>
      </w:pPr>
      <w:r>
        <w:rPr>
          <w:rFonts w:ascii="Times New Roman" w:cs="Times New Roman" w:eastAsia="Times New Roman" w:hAnsi="Times New Roman"/>
          <w:sz w:val="24"/>
          <w:szCs w:val="24"/>
        </w:rPr>
        <w:t xml:space="preserve">Two further implementation details. The `admin` role is provisioned through the `ADMIN_EMAILS` environment variable (comma-separated allow-list); the `ensureAdminRole` helper is invoked at registration, OTP verification, login, and token refresh, so adding an administrator is a redeployment. `initDB()` carries a small backfill script that idempotently adds the `first_name`, `last_name`, `email_verified`, `verification_token`, and `role` columns, making in-place schema upgrades safe.</w:t>
      </w:r>
    </w:p>
    <w:p>
      <w:pPr>
        <w:pStyle w:val="Heading2"/>
        <w:spacing w:after="180" w:before="360"/>
      </w:pPr>
      <w:r>
        <w:rPr>
          <w:rFonts w:ascii="Times New Roman" w:cs="Times New Roman" w:eastAsia="Times New Roman" w:hAnsi="Times New Roman"/>
          <w:b/>
          <w:bCs/>
          <w:sz w:val="30"/>
          <w:szCs w:val="30"/>
        </w:rPr>
        <w:t xml:space="preserve">5.4 Testing</w:t>
      </w:r>
    </w:p>
    <w:p>
      <w:pPr>
        <w:spacing w:after="180" w:line="360" w:lineRule="auto"/>
        <w:jc w:val="both"/>
      </w:pPr>
      <w:r>
        <w:rPr>
          <w:rFonts w:ascii="Times New Roman" w:cs="Times New Roman" w:eastAsia="Times New Roman" w:hAnsi="Times New Roman"/>
          <w:sz w:val="24"/>
          <w:szCs w:val="24"/>
        </w:rPr>
        <w:t xml:space="preserve">The Authentication Service carries the most thorough test suite of the project. Unit tests (`helpers.test.js`) cover validators, token generators, and the bearer-token extractor. Integration tests use </w:t>
      </w:r>
      <w:r>
        <w:rPr>
          <w:rFonts w:ascii="Times New Roman" w:cs="Times New Roman" w:eastAsia="Times New Roman" w:hAnsi="Times New Roman"/>
          <w:b/>
          <w:bCs/>
          <w:sz w:val="24"/>
          <w:szCs w:val="24"/>
        </w:rPr>
        <w:t xml:space="preserve">Jest</w:t>
      </w:r>
      <w:r>
        <w:rPr>
          <w:rFonts w:ascii="Times New Roman" w:cs="Times New Roman" w:eastAsia="Times New Roman" w:hAnsi="Times New Roman"/>
          <w:sz w:val="24"/>
          <w:szCs w:val="24"/>
        </w:rPr>
        <w:t xml:space="preserve"> [67] and </w:t>
      </w:r>
      <w:r>
        <w:rPr>
          <w:rFonts w:ascii="Times New Roman" w:cs="Times New Roman" w:eastAsia="Times New Roman" w:hAnsi="Times New Roman"/>
          <w:b/>
          <w:bCs/>
          <w:sz w:val="24"/>
          <w:szCs w:val="24"/>
        </w:rPr>
        <w:t xml:space="preserve">Supertest</w:t>
      </w:r>
      <w:r>
        <w:rPr>
          <w:rFonts w:ascii="Times New Roman" w:cs="Times New Roman" w:eastAsia="Times New Roman" w:hAnsi="Times New Roman"/>
          <w:sz w:val="24"/>
          <w:szCs w:val="24"/>
        </w:rPr>
        <w:t xml:space="preserve"> [68] against a throwaway PostgreSQL database: `auth.test.js` (≈860 lines) exercises the full HTTP surface; `profile.test.js` covers profile and password endpoints; `admin-promotion.test.js`, `edge-cases.test.js`, `errors.test.js`, and `email-routes.test.js` exercise OTP edge cases, admin promotion, and error handlers. Jest was chosen over Vitest for the auth integration tests because of its mature `globalTeardown` hook, which is needed to share a single Postgres pool across multiple test files; Vitest is used for the unit tests in the gateway and the other services where module mocking is dominant [69, 70].</w:t>
      </w:r>
    </w:p>
    <w:p>
      <w:pPr>
        <w:spacing w:after="180" w:line="360" w:lineRule="auto"/>
        <w:jc w:val="both"/>
      </w:pPr>
      <w:r>
        <w:rPr>
          <w:rFonts w:ascii="Times New Roman" w:cs="Times New Roman" w:eastAsia="Times New Roman" w:hAnsi="Times New Roman"/>
          <w:sz w:val="24"/>
          <w:szCs w:val="24"/>
        </w:rPr>
        <w:t xml:space="preserve">The API Gateway test suite (`gateway.test.js`, ≈430 lines, 44 tests) mocks all downstream HTTP calls through `vi.mock` so the gateway is exercised in isolation: the authenticate middleware in every branch (missing header, wrong scheme, invalid token, expired token, downstream unreachable, downstream 401), every public proxy, every authenticated route, the `requireOwnUserId` and `enforceQueryUserId` middlewares, the multipart upload path, and the 404 fallback.</w:t>
      </w:r>
    </w:p>
    <w:p>
      <w:pPr>
        <w:spacing w:after="180" w:line="360" w:lineRule="auto"/>
        <w:jc w:val="both"/>
      </w:pPr>
      <w:r>
        <w:rPr>
          <w:rFonts w:ascii="Times New Roman" w:cs="Times New Roman" w:eastAsia="Times New Roman" w:hAnsi="Times New Roman"/>
          <w:sz w:val="24"/>
          <w:szCs w:val="24"/>
        </w:rPr>
        <w:t xml:space="preserve">Coverage for the increment (IEEE-982 four-metric report [39] via the project-wide `coverage.sh` script driving Istanbul [71]):</w:t>
      </w:r>
    </w:p>
    <w:p>
      <w:pPr>
        <w:shd w:fill="F4F4F4" w:val="clear"/>
        <w:spacing w:after="0" w:before="0" w:line="240" w:lineRule="auto"/>
        <w:ind w:left="360"/>
        <w:jc w:val="left"/>
      </w:pPr>
      <w:r>
        <w:rPr>
          <w:rFonts w:ascii="Consolas" w:cs="Consolas" w:eastAsia="Consolas" w:hAnsi="Consolas"/>
          <w:sz w:val="18"/>
          <w:szCs w:val="18"/>
        </w:rPr>
        <w:t xml:space="preserve">Authentication Service</w:t>
      </w:r>
    </w:p>
    <w:p>
      <w:pPr>
        <w:shd w:fill="F4F4F4" w:val="clear"/>
        <w:spacing w:after="0" w:before="0" w:line="240" w:lineRule="auto"/>
        <w:ind w:left="360"/>
        <w:jc w:val="left"/>
      </w:pPr>
      <w:r>
        <w:rPr>
          <w:rFonts w:ascii="Consolas" w:cs="Consolas" w:eastAsia="Consolas" w:hAnsi="Consolas"/>
          <w:sz w:val="18"/>
          <w:szCs w:val="18"/>
        </w:rPr>
        <w:t xml:space="preserve">  Statement coverage:            86.67%  (273/315)</w:t>
      </w:r>
    </w:p>
    <w:p>
      <w:pPr>
        <w:shd w:fill="F4F4F4" w:val="clear"/>
        <w:spacing w:after="0" w:before="0" w:line="240" w:lineRule="auto"/>
        <w:ind w:left="360"/>
        <w:jc w:val="left"/>
      </w:pPr>
      <w:r>
        <w:rPr>
          <w:rFonts w:ascii="Consolas" w:cs="Consolas" w:eastAsia="Consolas" w:hAnsi="Consolas"/>
          <w:sz w:val="18"/>
          <w:szCs w:val="18"/>
        </w:rPr>
        <w:t xml:space="preserve">  Decision coverage:             87.04%  (94/108)</w:t>
      </w:r>
    </w:p>
    <w:p>
      <w:pPr>
        <w:shd w:fill="F4F4F4" w:val="clear"/>
        <w:spacing w:after="0" w:before="0" w:line="240" w:lineRule="auto"/>
        <w:ind w:left="360"/>
        <w:jc w:val="left"/>
      </w:pPr>
      <w:r>
        <w:rPr>
          <w:rFonts w:ascii="Consolas" w:cs="Consolas" w:eastAsia="Consolas" w:hAnsi="Consolas"/>
          <w:sz w:val="18"/>
          <w:szCs w:val="18"/>
        </w:rPr>
        <w:t xml:space="preserve">  Condition coverage:            76.92%  (80/104)</w:t>
      </w:r>
    </w:p>
    <w:p>
      <w:pPr>
        <w:shd w:fill="F4F4F4" w:val="clear"/>
        <w:spacing w:after="0" w:before="0" w:line="240" w:lineRule="auto"/>
        <w:ind w:left="360"/>
        <w:jc w:val="left"/>
      </w:pPr>
      <w:r>
        <w:rPr>
          <w:rFonts w:ascii="Consolas" w:cs="Consolas" w:eastAsia="Consolas" w:hAnsi="Consolas"/>
          <w:sz w:val="18"/>
          <w:szCs w:val="18"/>
        </w:rPr>
        <w:t xml:space="preserve">  Decision/Condition coverage:   82.08%  (174/212)</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API Gateway</w:t>
      </w:r>
    </w:p>
    <w:p>
      <w:pPr>
        <w:shd w:fill="F4F4F4" w:val="clear"/>
        <w:spacing w:after="0" w:before="0" w:line="240" w:lineRule="auto"/>
        <w:ind w:left="360"/>
        <w:jc w:val="left"/>
      </w:pPr>
      <w:r>
        <w:rPr>
          <w:rFonts w:ascii="Consolas" w:cs="Consolas" w:eastAsia="Consolas" w:hAnsi="Consolas"/>
          <w:sz w:val="18"/>
          <w:szCs w:val="18"/>
        </w:rPr>
        <w:t xml:space="preserve">  Statement coverage:            92.47%  (135/146)</w:t>
      </w:r>
    </w:p>
    <w:p>
      <w:pPr>
        <w:shd w:fill="F4F4F4" w:val="clear"/>
        <w:spacing w:after="0" w:before="0" w:line="240" w:lineRule="auto"/>
        <w:ind w:left="360"/>
        <w:jc w:val="left"/>
      </w:pPr>
      <w:r>
        <w:rPr>
          <w:rFonts w:ascii="Consolas" w:cs="Consolas" w:eastAsia="Consolas" w:hAnsi="Consolas"/>
          <w:sz w:val="18"/>
          <w:szCs w:val="18"/>
        </w:rPr>
        <w:t xml:space="preserve">  Decision coverage:             81.25%  (26/32)</w:t>
      </w:r>
    </w:p>
    <w:p>
      <w:pPr>
        <w:shd w:fill="F4F4F4" w:val="clear"/>
        <w:spacing w:after="0" w:before="0" w:line="240" w:lineRule="auto"/>
        <w:ind w:left="360"/>
        <w:jc w:val="left"/>
      </w:pPr>
      <w:r>
        <w:rPr>
          <w:rFonts w:ascii="Consolas" w:cs="Consolas" w:eastAsia="Consolas" w:hAnsi="Consolas"/>
          <w:sz w:val="18"/>
          <w:szCs w:val="18"/>
        </w:rPr>
        <w:t xml:space="preserve">  Condition coverage:            91.18%  (31/34)</w:t>
      </w:r>
    </w:p>
    <w:p>
      <w:pPr>
        <w:shd w:fill="F4F4F4" w:val="clear"/>
        <w:spacing w:after="0" w:before="0" w:line="240" w:lineRule="auto"/>
        <w:ind w:left="360"/>
        <w:jc w:val="left"/>
      </w:pPr>
      <w:r>
        <w:rPr>
          <w:rFonts w:ascii="Consolas" w:cs="Consolas" w:eastAsia="Consolas" w:hAnsi="Consolas"/>
          <w:sz w:val="18"/>
          <w:szCs w:val="18"/>
        </w:rPr>
        <w:t xml:space="preserve">  Decision/Condition coverage:   86.36%  (57/66)</w:t>
      </w:r>
    </w:p>
    <w:p>
      <w:pPr>
        <w:spacing w:after="240" w:before="60" w:line="360" w:lineRule="auto"/>
        <w:jc w:val="center"/>
      </w:pPr>
      <w:r>
        <w:rPr>
          <w:rFonts w:ascii="Times New Roman" w:cs="Times New Roman" w:eastAsia="Times New Roman" w:hAnsi="Times New Roman"/>
          <w:i/>
          <w:iCs/>
          <w:sz w:val="22"/>
          <w:szCs w:val="22"/>
        </w:rPr>
        <w:t xml:space="preserve">Listing 5.4: IEEE-982 coverage report for Increment 1</w:t>
      </w:r>
    </w:p>
    <w:p>
      <w:pPr>
        <w:spacing w:after="180" w:line="360" w:lineRule="auto"/>
        <w:jc w:val="both"/>
      </w:pPr>
      <w:r>
        <w:rPr>
          <w:rFonts w:ascii="Times New Roman" w:cs="Times New Roman" w:eastAsia="Times New Roman" w:hAnsi="Times New Roman"/>
          <w:sz w:val="24"/>
          <w:szCs w:val="24"/>
        </w:rPr>
        <w:t xml:space="preserve">All 97 Authentication and 44 Gateway tests pass on every run. End-to-end manual testing was performed in parallel with `curl` and Postman: a request without a token returns 401 without ever contacting the downstream service, and a request with an expired token returns 401 with the auth-service body rather than a gateway-local message.</w:t>
      </w:r>
    </w:p>
    <w:p>
      <w:pPr>
        <w:pStyle w:val="Heading2"/>
        <w:spacing w:after="180" w:before="360"/>
      </w:pPr>
      <w:r>
        <w:rPr>
          <w:rFonts w:ascii="Times New Roman" w:cs="Times New Roman" w:eastAsia="Times New Roman" w:hAnsi="Times New Roman"/>
          <w:b/>
          <w:bCs/>
          <w:sz w:val="30"/>
          <w:szCs w:val="30"/>
        </w:rPr>
        <w:t xml:space="preserve">5.5 Evaluation</w:t>
      </w:r>
    </w:p>
    <w:p>
      <w:pPr>
        <w:spacing w:after="180" w:line="360" w:lineRule="auto"/>
        <w:jc w:val="both"/>
      </w:pPr>
      <w:r>
        <w:rPr>
          <w:rFonts w:ascii="Times New Roman" w:cs="Times New Roman" w:eastAsia="Times New Roman" w:hAnsi="Times New Roman"/>
          <w:sz w:val="24"/>
          <w:szCs w:val="24"/>
        </w:rPr>
        <w:t xml:space="preserve">The first increment delivers the security floor. FR1 is fully satisfied; NFR3 is substantially met (passwords never in plaintext, access tokens short-lived, refresh tokens rotated, every protected endpoint gateway-verified); NFR5 is satisfied for both components, both exceeding the 85% statement-coverage target. The carry-forward limitation is that the gateway has no downstream business endpoints to protect — the second increment adds them.</w:t>
      </w:r>
    </w:p>
    <w:p>
      <w:pPr>
        <w:pStyle w:val="Heading1"/>
        <w:pageBreakBefore/>
        <w:spacing w:after="360" w:before="0"/>
      </w:pPr>
      <w:r>
        <w:rPr>
          <w:rFonts w:ascii="Times New Roman" w:cs="Times New Roman" w:eastAsia="Times New Roman" w:hAnsi="Times New Roman"/>
          <w:b/>
          <w:bCs/>
          <w:sz w:val="36"/>
          <w:szCs w:val="36"/>
        </w:rPr>
        <w:t xml:space="preserve">Chapter 6
Increment 2 — Violation Analysis with Gemini</w:t>
      </w:r>
    </w:p>
    <w:p>
      <w:pPr>
        <w:spacing w:after="180" w:line="360" w:lineRule="auto"/>
        <w:jc w:val="both"/>
      </w:pPr>
      <w:r>
        <w:rPr>
          <w:rFonts w:ascii="Times New Roman" w:cs="Times New Roman" w:eastAsia="Times New Roman" w:hAnsi="Times New Roman"/>
          <w:sz w:val="24"/>
          <w:szCs w:val="24"/>
        </w:rPr>
        <w:t xml:space="preserve">The second increment delivers the core business value of the platform: a citizen uploads one or more images of a suspected illegal parking event, the system validates the quality of those images, asks the Gemini API [24, 30] to reason about them, and returns a structured, human-readable verdict together with a persistent case record. This increment is the most technically dense of the project because it integrates a third-party reasoning service, a computer-vision quality pre-filter, a six-step orchestrated saga, an event publisher, and a pgvector-based semantic-similarity index. The increment also lays the groundwork for the asynchronous notification flow that is completed in Chapter 7.</w:t>
      </w:r>
    </w:p>
    <w:p>
      <w:pPr>
        <w:pStyle w:val="Heading2"/>
        <w:spacing w:after="180" w:before="360"/>
      </w:pPr>
      <w:r>
        <w:rPr>
          <w:rFonts w:ascii="Times New Roman" w:cs="Times New Roman" w:eastAsia="Times New Roman" w:hAnsi="Times New Roman"/>
          <w:b/>
          <w:bCs/>
          <w:sz w:val="30"/>
          <w:szCs w:val="30"/>
        </w:rPr>
        <w:t xml:space="preserve">6.1 Analysis</w:t>
      </w:r>
    </w:p>
    <w:p>
      <w:pPr>
        <w:spacing w:after="180" w:line="360" w:lineRule="auto"/>
        <w:jc w:val="both"/>
      </w:pPr>
      <w:r>
        <w:rPr>
          <w:rFonts w:ascii="Times New Roman" w:cs="Times New Roman" w:eastAsia="Times New Roman" w:hAnsi="Times New Roman"/>
          <w:sz w:val="24"/>
          <w:szCs w:val="24"/>
        </w:rPr>
        <w:t xml:space="preserve">Five requirements are in scope: FR2, FR3, FR4, FR5, FR9. FR6 is partially addressed (the `completed` and `cancelled` transitions; the admin transitions complete in this codebase and are exposed via the gateway). FR8 is addressed for every event originating in this service. The dominant NFRs are NFR4 (Performance — the synchronous upload → analyse → response path must complete in fewer than 5 s under normal load), NFR6 (Auditability), NFR8 (Data Integrity), and a derived requirement: every multi-step operation that crosses both a database boundary and a message-broker boundary must be either atomically successful or atomically rolled back, even though no distributed transaction is available. The Saga pattern (Section 2.3.2) delivers that property.</w:t>
      </w:r>
    </w:p>
    <w:p>
      <w:pPr>
        <w:spacing w:after="60" w:before="240" w:line="360" w:lineRule="auto"/>
        <w:jc w:val="center"/>
      </w:pPr>
      <w:r>
        <w:rPr>
          <w:rFonts w:ascii="Times New Roman" w:cs="Times New Roman" w:eastAsia="Times New Roman" w:hAnsi="Times New Roman"/>
          <w:i/>
          <w:iCs/>
          <w:color w:val="808080"/>
          <w:sz w:val="24"/>
          <w:szCs w:val="24"/>
        </w:rPr>
        <w:t xml:space="preserve">[ Figure 6.1: Use case: image upload, quality validation, analysis, and case creation — insert image here ]</w:t>
      </w:r>
    </w:p>
    <w:p>
      <w:pPr>
        <w:spacing w:after="240" w:before="0" w:line="360" w:lineRule="auto"/>
        <w:jc w:val="center"/>
      </w:pPr>
      <w:r>
        <w:rPr>
          <w:rFonts w:ascii="Times New Roman" w:cs="Times New Roman" w:eastAsia="Times New Roman" w:hAnsi="Times New Roman"/>
          <w:i/>
          <w:iCs/>
          <w:sz w:val="22"/>
          <w:szCs w:val="22"/>
        </w:rPr>
        <w:t xml:space="preserve">Figure 6.1: Use case for image upload and AI-based analysis</w:t>
      </w:r>
    </w:p>
    <w:p>
      <w:pPr>
        <w:pStyle w:val="Heading2"/>
        <w:spacing w:after="180" w:before="360"/>
      </w:pPr>
      <w:r>
        <w:rPr>
          <w:rFonts w:ascii="Times New Roman" w:cs="Times New Roman" w:eastAsia="Times New Roman" w:hAnsi="Times New Roman"/>
          <w:b/>
          <w:bCs/>
          <w:sz w:val="30"/>
          <w:szCs w:val="30"/>
        </w:rPr>
        <w:t xml:space="preserve">6.2 Design</w:t>
      </w:r>
    </w:p>
    <w:p>
      <w:pPr>
        <w:spacing w:after="180" w:line="360" w:lineRule="auto"/>
        <w:jc w:val="both"/>
      </w:pPr>
      <w:r>
        <w:rPr>
          <w:rFonts w:ascii="Times New Roman" w:cs="Times New Roman" w:eastAsia="Times New Roman" w:hAnsi="Times New Roman"/>
          <w:sz w:val="24"/>
          <w:szCs w:val="24"/>
        </w:rPr>
        <w:t xml:space="preserve">Three pipelines are wired together inside the Violation Analysis Service: a synchronous pre-flight quality validator (Sharp [72]), an LLM reasoning step (Gemini), and the orchestrated case-creation saga that transactionally persists the case, image bytes, and verdict embedding, appends an audit-log entry, and publishes a `case.created` event. Figure 6.2 illustrates the flow.</w:t>
      </w:r>
    </w:p>
    <w:p>
      <w:pPr>
        <w:spacing w:after="60" w:before="240" w:line="360" w:lineRule="auto"/>
        <w:jc w:val="center"/>
      </w:pPr>
      <w:r>
        <w:rPr>
          <w:rFonts w:ascii="Times New Roman" w:cs="Times New Roman" w:eastAsia="Times New Roman" w:hAnsi="Times New Roman"/>
          <w:i/>
          <w:iCs/>
          <w:color w:val="808080"/>
          <w:sz w:val="24"/>
          <w:szCs w:val="24"/>
        </w:rPr>
        <w:t xml:space="preserve">[ Figure 6.2: Sequence diagram: client → gateway → violation service → image validator → Gemini → saga (persistCase → persistImages → embedAndIndex → audit → publish) — insert image here ]</w:t>
      </w:r>
    </w:p>
    <w:p>
      <w:pPr>
        <w:spacing w:after="240" w:before="0" w:line="360" w:lineRule="auto"/>
        <w:jc w:val="center"/>
      </w:pPr>
      <w:r>
        <w:rPr>
          <w:rFonts w:ascii="Times New Roman" w:cs="Times New Roman" w:eastAsia="Times New Roman" w:hAnsi="Times New Roman"/>
          <w:i/>
          <w:iCs/>
          <w:sz w:val="22"/>
          <w:szCs w:val="22"/>
        </w:rPr>
        <w:t xml:space="preserve">Figure 6.2: Sequence diagram for the synchronous analysis path</w:t>
      </w:r>
    </w:p>
    <w:p>
      <w:pPr>
        <w:spacing w:after="180" w:line="360" w:lineRule="auto"/>
        <w:jc w:val="both"/>
      </w:pPr>
      <w:r>
        <w:rPr>
          <w:rFonts w:ascii="Times New Roman" w:cs="Times New Roman" w:eastAsia="Times New Roman" w:hAnsi="Times New Roman"/>
          <w:sz w:val="24"/>
          <w:szCs w:val="24"/>
        </w:rPr>
        <w:t xml:space="preserve">The service owns `snappark_case` with four tables: `cases` (one row per report, with relational verdict columns plus a `vector(768)` embedding column managed by </w:t>
      </w:r>
      <w:r>
        <w:rPr>
          <w:rFonts w:ascii="Times New Roman" w:cs="Times New Roman" w:eastAsia="Times New Roman" w:hAnsi="Times New Roman"/>
          <w:b/>
          <w:bCs/>
          <w:sz w:val="24"/>
          <w:szCs w:val="24"/>
        </w:rPr>
        <w:t xml:space="preserve">pgvector</w:t>
      </w:r>
      <w:r>
        <w:rPr>
          <w:rFonts w:ascii="Times New Roman" w:cs="Times New Roman" w:eastAsia="Times New Roman" w:hAnsi="Times New Roman"/>
          <w:sz w:val="24"/>
          <w:szCs w:val="24"/>
        </w:rPr>
        <w:t xml:space="preserve"> [61]), `case_images` (one row per image, raw bytes in a `bytea` column, quality statistics in `jsonb`), `case_audit_log` (append-only), and `sagas` (persistent state of every in-flight or completed saga). An </w:t>
      </w:r>
      <w:r>
        <w:rPr>
          <w:rFonts w:ascii="Times New Roman" w:cs="Times New Roman" w:eastAsia="Times New Roman" w:hAnsi="Times New Roman"/>
          <w:b/>
          <w:bCs/>
          <w:sz w:val="24"/>
          <w:szCs w:val="24"/>
        </w:rPr>
        <w:t xml:space="preserve">HNSW</w:t>
      </w:r>
      <w:r>
        <w:rPr>
          <w:rFonts w:ascii="Times New Roman" w:cs="Times New Roman" w:eastAsia="Times New Roman" w:hAnsi="Times New Roman"/>
          <w:sz w:val="24"/>
          <w:szCs w:val="24"/>
        </w:rPr>
        <w:t xml:space="preserve"> [73] index on the embedding column with the `vector_cosine_ops` operator class enables sub-linear nearest-neighbour search.</w:t>
      </w:r>
    </w:p>
    <w:p>
      <w:pPr>
        <w:spacing w:after="180" w:line="360" w:lineRule="auto"/>
        <w:jc w:val="both"/>
      </w:pPr>
      <w:r>
        <w:rPr>
          <w:rFonts w:ascii="Times New Roman" w:cs="Times New Roman" w:eastAsia="Times New Roman" w:hAnsi="Times New Roman"/>
          <w:b/>
          <w:bCs/>
          <w:sz w:val="24"/>
          <w:szCs w:val="24"/>
        </w:rPr>
        <w:t xml:space="preserve">pgvector was chosen over Pinecone [74], Weaviate [75], Milvus [76], and Qdrant [77]</w:t>
      </w:r>
      <w:r>
        <w:rPr>
          <w:rFonts w:ascii="Times New Roman" w:cs="Times New Roman" w:eastAsia="Times New Roman" w:hAnsi="Times New Roman"/>
          <w:sz w:val="24"/>
          <w:szCs w:val="24"/>
        </w:rPr>
        <w:t xml:space="preserve"> for three reasons: (i) the embeddings are written and read in the same transaction as the relational case row, so co-locating them in a single PostgreSQL database eliminates a second consistency boundary; (ii) the dataset size of a dissertation-scale project does not justify the operational complexity of a dedicated vector database; (iii) pgvector's HNSW implementation [73] is sub-linear and competitive with dedicated stores at this scale, while leaving the door open to migrate later if the corpus grows beyond a single Postgres instance.</w:t>
      </w:r>
    </w:p>
    <w:p>
      <w:pPr>
        <w:spacing w:after="60" w:before="240" w:line="360" w:lineRule="auto"/>
        <w:jc w:val="center"/>
      </w:pPr>
      <w:r>
        <w:rPr>
          <w:rFonts w:ascii="Times New Roman" w:cs="Times New Roman" w:eastAsia="Times New Roman" w:hAnsi="Times New Roman"/>
          <w:i/>
          <w:iCs/>
          <w:color w:val="808080"/>
          <w:sz w:val="24"/>
          <w:szCs w:val="24"/>
        </w:rPr>
        <w:t xml:space="preserve">[ Figure 6.3: High-level design for Increment 2 — Client ↔ API Gateway ↔ Violation Analysis Service ↔ Case Database + Gemini + RabbitMQ — insert image here ]</w:t>
      </w:r>
    </w:p>
    <w:p>
      <w:pPr>
        <w:spacing w:after="240" w:before="0" w:line="360" w:lineRule="auto"/>
        <w:jc w:val="center"/>
      </w:pPr>
      <w:r>
        <w:rPr>
          <w:rFonts w:ascii="Times New Roman" w:cs="Times New Roman" w:eastAsia="Times New Roman" w:hAnsi="Times New Roman"/>
          <w:i/>
          <w:iCs/>
          <w:sz w:val="22"/>
          <w:szCs w:val="22"/>
        </w:rPr>
        <w:t xml:space="preserve">Figure 6.3: High-level design for Increment 2</w:t>
      </w:r>
    </w:p>
    <w:p>
      <w:pPr>
        <w:spacing w:after="180" w:line="360" w:lineRule="auto"/>
        <w:jc w:val="both"/>
      </w:pPr>
      <w:r>
        <w:rPr>
          <w:rFonts w:ascii="Times New Roman" w:cs="Times New Roman" w:eastAsia="Times New Roman" w:hAnsi="Times New Roman"/>
          <w:sz w:val="24"/>
          <w:szCs w:val="24"/>
        </w:rPr>
        <w:t xml:space="preserve">The Saga is implemented in the </w:t>
      </w:r>
      <w:r>
        <w:rPr>
          <w:rFonts w:ascii="Times New Roman" w:cs="Times New Roman" w:eastAsia="Times New Roman" w:hAnsi="Times New Roman"/>
          <w:i/>
          <w:iCs/>
          <w:sz w:val="24"/>
          <w:szCs w:val="24"/>
        </w:rPr>
        <w:t xml:space="preserve">orchestrated</w:t>
      </w:r>
      <w:r>
        <w:rPr>
          <w:rFonts w:ascii="Times New Roman" w:cs="Times New Roman" w:eastAsia="Times New Roman" w:hAnsi="Times New Roman"/>
          <w:sz w:val="24"/>
          <w:szCs w:val="24"/>
        </w:rPr>
        <w:t xml:space="preserve"> flavour (Section 2.3.2). The deterministic linear shape of case creation suits a central coordinator that drives steps forward and runs compensations in reverse on failure; persisting state to the `sagas` table at every transition gives a single inspection point. The state machine (Figure 6.4): `running` → `completed` on success; on any step failure, → `compensating` → `compensated` (all compensations succeeded) or `failed` (at least one compensation also failed — a serious operational event that requires human intervention).</w:t>
      </w:r>
    </w:p>
    <w:p>
      <w:pPr>
        <w:spacing w:after="60" w:before="240" w:line="360" w:lineRule="auto"/>
        <w:jc w:val="center"/>
      </w:pPr>
      <w:r>
        <w:rPr>
          <w:rFonts w:ascii="Times New Roman" w:cs="Times New Roman" w:eastAsia="Times New Roman" w:hAnsi="Times New Roman"/>
          <w:i/>
          <w:iCs/>
          <w:color w:val="808080"/>
          <w:sz w:val="24"/>
          <w:szCs w:val="24"/>
        </w:rPr>
        <w:t xml:space="preserve">[ Figure 6.4: Saga state diagram — running → completed | compensating → compensated | failed — insert image here ]</w:t>
      </w:r>
    </w:p>
    <w:p>
      <w:pPr>
        <w:spacing w:after="240" w:before="0" w:line="360" w:lineRule="auto"/>
        <w:jc w:val="center"/>
      </w:pPr>
      <w:r>
        <w:rPr>
          <w:rFonts w:ascii="Times New Roman" w:cs="Times New Roman" w:eastAsia="Times New Roman" w:hAnsi="Times New Roman"/>
          <w:i/>
          <w:iCs/>
          <w:sz w:val="22"/>
          <w:szCs w:val="22"/>
        </w:rPr>
        <w:t xml:space="preserve">Figure 6.4: State machine of the orchestrated saga</w:t>
      </w:r>
    </w:p>
    <w:p>
      <w:pPr>
        <w:pStyle w:val="Heading2"/>
        <w:spacing w:after="180" w:before="360"/>
      </w:pPr>
      <w:r>
        <w:rPr>
          <w:rFonts w:ascii="Times New Roman" w:cs="Times New Roman" w:eastAsia="Times New Roman" w:hAnsi="Times New Roman"/>
          <w:b/>
          <w:bCs/>
          <w:sz w:val="30"/>
          <w:szCs w:val="30"/>
        </w:rPr>
        <w:t xml:space="preserve">6.3 Implementation</w:t>
      </w:r>
    </w:p>
    <w:p>
      <w:pPr>
        <w:spacing w:after="180" w:line="360" w:lineRule="auto"/>
        <w:jc w:val="both"/>
      </w:pPr>
      <w:r>
        <w:rPr>
          <w:rFonts w:ascii="Times New Roman" w:cs="Times New Roman" w:eastAsia="Times New Roman" w:hAnsi="Times New Roman"/>
          <w:sz w:val="24"/>
          <w:szCs w:val="24"/>
        </w:rPr>
        <w:t xml:space="preserve">The Violation Analysis Service is the largest in the project: `src/index.js` is ≈800 lines; the total across all modules (`db.js`, `gemini.js`, `embeddings.js`, `imageValidator.js`, `cleanup.js`, `rabbitmq.js`, plus three files in `src/saga/`) is ≈2,300 lines.</w:t>
      </w:r>
    </w:p>
    <w:p>
      <w:pPr>
        <w:pStyle w:val="Heading3"/>
        <w:spacing w:after="120" w:before="240"/>
      </w:pPr>
      <w:r>
        <w:rPr>
          <w:rFonts w:ascii="Times New Roman" w:cs="Times New Roman" w:eastAsia="Times New Roman" w:hAnsi="Times New Roman"/>
          <w:b/>
          <w:bCs/>
          <w:sz w:val="26"/>
          <w:szCs w:val="26"/>
        </w:rPr>
        <w:t xml:space="preserve">6.3.1 Image Quality Pre-Filter</w:t>
      </w:r>
    </w:p>
    <w:p>
      <w:pPr>
        <w:spacing w:after="180" w:line="360" w:lineRule="auto"/>
        <w:jc w:val="both"/>
      </w:pPr>
      <w:r>
        <w:rPr>
          <w:rFonts w:ascii="Times New Roman" w:cs="Times New Roman" w:eastAsia="Times New Roman" w:hAnsi="Times New Roman"/>
          <w:sz w:val="24"/>
          <w:szCs w:val="24"/>
        </w:rPr>
        <w:t xml:space="preserve">The validator (`imageValidator.js`, ≈90 lines) runs three checks and short-circuits on the first failure: resolution (≥200×200 by default), mean brightness (30–245 on the 0–255 grey-scale), and sharpness via the </w:t>
      </w:r>
      <w:r>
        <w:rPr>
          <w:rFonts w:ascii="Times New Roman" w:cs="Times New Roman" w:eastAsia="Times New Roman" w:hAnsi="Times New Roman"/>
          <w:b/>
          <w:bCs/>
          <w:sz w:val="24"/>
          <w:szCs w:val="24"/>
        </w:rPr>
        <w:t xml:space="preserve">variance of the Laplacian response</w:t>
      </w:r>
      <w:r>
        <w:rPr>
          <w:rFonts w:ascii="Times New Roman" w:cs="Times New Roman" w:eastAsia="Times New Roman" w:hAnsi="Times New Roman"/>
          <w:sz w:val="24"/>
          <w:szCs w:val="24"/>
        </w:rPr>
        <w:t xml:space="preserve"> [78] (Listing 6.1). Sharp images produce high variance because edges become large signed values after convolution; blurry images produce low variance because edges are smeared into low-magnitude noise.</w:t>
      </w:r>
    </w:p>
    <w:p>
      <w:pPr>
        <w:shd w:fill="F4F4F4" w:val="clear"/>
        <w:spacing w:after="0" w:before="0" w:line="240" w:lineRule="auto"/>
        <w:ind w:left="360"/>
        <w:jc w:val="left"/>
      </w:pPr>
      <w:r>
        <w:rPr>
          <w:rFonts w:ascii="Consolas" w:cs="Consolas" w:eastAsia="Consolas" w:hAnsi="Consolas"/>
          <w:sz w:val="18"/>
          <w:szCs w:val="18"/>
        </w:rPr>
        <w:t xml:space="preserve">const laplacianKernel = {</w:t>
      </w:r>
    </w:p>
    <w:p>
      <w:pPr>
        <w:shd w:fill="F4F4F4" w:val="clear"/>
        <w:spacing w:after="0" w:before="0" w:line="240" w:lineRule="auto"/>
        <w:ind w:left="360"/>
        <w:jc w:val="left"/>
      </w:pPr>
      <w:r>
        <w:rPr>
          <w:rFonts w:ascii="Consolas" w:cs="Consolas" w:eastAsia="Consolas" w:hAnsi="Consolas"/>
          <w:sz w:val="18"/>
          <w:szCs w:val="18"/>
        </w:rPr>
        <w:t xml:space="preserve">  width:  3,</w:t>
      </w:r>
    </w:p>
    <w:p>
      <w:pPr>
        <w:shd w:fill="F4F4F4" w:val="clear"/>
        <w:spacing w:after="0" w:before="0" w:line="240" w:lineRule="auto"/>
        <w:ind w:left="360"/>
        <w:jc w:val="left"/>
      </w:pPr>
      <w:r>
        <w:rPr>
          <w:rFonts w:ascii="Consolas" w:cs="Consolas" w:eastAsia="Consolas" w:hAnsi="Consolas"/>
          <w:sz w:val="18"/>
          <w:szCs w:val="18"/>
        </w:rPr>
        <w:t xml:space="preserve">  height: 3,</w:t>
      </w:r>
    </w:p>
    <w:p>
      <w:pPr>
        <w:shd w:fill="F4F4F4" w:val="clear"/>
        <w:spacing w:after="0" w:before="0" w:line="240" w:lineRule="auto"/>
        <w:ind w:left="360"/>
        <w:jc w:val="left"/>
      </w:pPr>
      <w:r>
        <w:rPr>
          <w:rFonts w:ascii="Consolas" w:cs="Consolas" w:eastAsia="Consolas" w:hAnsi="Consolas"/>
          <w:sz w:val="18"/>
          <w:szCs w:val="18"/>
        </w:rPr>
        <w:t xml:space="preserve">  kernel: [0, 1, 0, 1, -4, 1, 0, 1, 0],</w:t>
      </w:r>
    </w:p>
    <w:p>
      <w:pPr>
        <w:shd w:fill="F4F4F4" w:val="clear"/>
        <w:spacing w:after="0" w:before="0" w:line="240" w:lineRule="auto"/>
        <w:ind w:left="360"/>
        <w:jc w:val="left"/>
      </w:pPr>
      <w:r>
        <w:rPr>
          <w:rFonts w:ascii="Consolas" w:cs="Consolas" w:eastAsia="Consolas" w:hAnsi="Consolas"/>
          <w:sz w:val="18"/>
          <w:szCs w:val="18"/>
        </w:rPr>
        <w:t xml:space="preserve">};</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const { channels: edgeChannels } = await sharp(imageBuffer)</w:t>
      </w:r>
    </w:p>
    <w:p>
      <w:pPr>
        <w:shd w:fill="F4F4F4" w:val="clear"/>
        <w:spacing w:after="0" w:before="0" w:line="240" w:lineRule="auto"/>
        <w:ind w:left="360"/>
        <w:jc w:val="left"/>
      </w:pPr>
      <w:r>
        <w:rPr>
          <w:rFonts w:ascii="Consolas" w:cs="Consolas" w:eastAsia="Consolas" w:hAnsi="Consolas"/>
          <w:sz w:val="18"/>
          <w:szCs w:val="18"/>
        </w:rPr>
        <w:t xml:space="preserve">  .grayscale()</w:t>
      </w:r>
    </w:p>
    <w:p>
      <w:pPr>
        <w:shd w:fill="F4F4F4" w:val="clear"/>
        <w:spacing w:after="0" w:before="0" w:line="240" w:lineRule="auto"/>
        <w:ind w:left="360"/>
        <w:jc w:val="left"/>
      </w:pPr>
      <w:r>
        <w:rPr>
          <w:rFonts w:ascii="Consolas" w:cs="Consolas" w:eastAsia="Consolas" w:hAnsi="Consolas"/>
          <w:sz w:val="18"/>
          <w:szCs w:val="18"/>
        </w:rPr>
        <w:t xml:space="preserve">  .convolve(laplacianKernel)</w:t>
      </w:r>
    </w:p>
    <w:p>
      <w:pPr>
        <w:shd w:fill="F4F4F4" w:val="clear"/>
        <w:spacing w:after="0" w:before="0" w:line="240" w:lineRule="auto"/>
        <w:ind w:left="360"/>
        <w:jc w:val="left"/>
      </w:pPr>
      <w:r>
        <w:rPr>
          <w:rFonts w:ascii="Consolas" w:cs="Consolas" w:eastAsia="Consolas" w:hAnsi="Consolas"/>
          <w:sz w:val="18"/>
          <w:szCs w:val="18"/>
        </w:rPr>
        <w:t xml:space="preserve">  .stats();</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 Standard deviation squared ≈ variance of the edge response.</w:t>
      </w:r>
    </w:p>
    <w:p>
      <w:pPr>
        <w:shd w:fill="F4F4F4" w:val="clear"/>
        <w:spacing w:after="0" w:before="0" w:line="240" w:lineRule="auto"/>
        <w:ind w:left="360"/>
        <w:jc w:val="left"/>
      </w:pPr>
      <w:r>
        <w:rPr>
          <w:rFonts w:ascii="Consolas" w:cs="Consolas" w:eastAsia="Consolas" w:hAnsi="Consolas"/>
          <w:sz w:val="18"/>
          <w:szCs w:val="18"/>
        </w:rPr>
        <w:t xml:space="preserve">// Sharp images produce high variance; blurry images produce low.</w:t>
      </w:r>
    </w:p>
    <w:p>
      <w:pPr>
        <w:shd w:fill="F4F4F4" w:val="clear"/>
        <w:spacing w:after="0" w:before="0" w:line="240" w:lineRule="auto"/>
        <w:ind w:left="360"/>
        <w:jc w:val="left"/>
      </w:pPr>
      <w:r>
        <w:rPr>
          <w:rFonts w:ascii="Consolas" w:cs="Consolas" w:eastAsia="Consolas" w:hAnsi="Consolas"/>
          <w:sz w:val="18"/>
          <w:szCs w:val="18"/>
        </w:rPr>
        <w:t xml:space="preserve">const edgeVariance = edgeChannels[0].stdev ** 2;</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if (edgeVariance &lt; BLUR_THRESHOLD) {</w:t>
      </w:r>
    </w:p>
    <w:p>
      <w:pPr>
        <w:shd w:fill="F4F4F4" w:val="clear"/>
        <w:spacing w:after="0" w:before="0" w:line="240" w:lineRule="auto"/>
        <w:ind w:left="360"/>
        <w:jc w:val="left"/>
      </w:pPr>
      <w:r>
        <w:rPr>
          <w:rFonts w:ascii="Consolas" w:cs="Consolas" w:eastAsia="Consolas" w:hAnsi="Consolas"/>
          <w:sz w:val="18"/>
          <w:szCs w:val="18"/>
        </w:rPr>
        <w:t xml:space="preserve">  return {</w:t>
      </w:r>
    </w:p>
    <w:p>
      <w:pPr>
        <w:shd w:fill="F4F4F4" w:val="clear"/>
        <w:spacing w:after="0" w:before="0" w:line="240" w:lineRule="auto"/>
        <w:ind w:left="360"/>
        <w:jc w:val="left"/>
      </w:pPr>
      <w:r>
        <w:rPr>
          <w:rFonts w:ascii="Consolas" w:cs="Consolas" w:eastAsia="Consolas" w:hAnsi="Consolas"/>
          <w:sz w:val="18"/>
          <w:szCs w:val="18"/>
        </w:rPr>
        <w:t xml:space="preserve">    valid:  false,</w:t>
      </w:r>
    </w:p>
    <w:p>
      <w:pPr>
        <w:shd w:fill="F4F4F4" w:val="clear"/>
        <w:spacing w:after="0" w:before="0" w:line="240" w:lineRule="auto"/>
        <w:ind w:left="360"/>
        <w:jc w:val="left"/>
      </w:pPr>
      <w:r>
        <w:rPr>
          <w:rFonts w:ascii="Consolas" w:cs="Consolas" w:eastAsia="Consolas" w:hAnsi="Consolas"/>
          <w:sz w:val="18"/>
          <w:szCs w:val="18"/>
        </w:rPr>
        <w:t xml:space="preserve">    reason: `Image appears too blurry (sharpness score: ${edgeVariance.toFixed(1)}, ` +</w:t>
      </w:r>
    </w:p>
    <w:p>
      <w:pPr>
        <w:shd w:fill="F4F4F4" w:val="clear"/>
        <w:spacing w:after="0" w:before="0" w:line="240" w:lineRule="auto"/>
        <w:ind w:left="360"/>
        <w:jc w:val="left"/>
      </w:pPr>
      <w:r>
        <w:rPr>
          <w:rFonts w:ascii="Consolas" w:cs="Consolas" w:eastAsia="Consolas" w:hAnsi="Consolas"/>
          <w:sz w:val="18"/>
          <w:szCs w:val="18"/>
        </w:rPr>
        <w:t xml:space="preserve">            `minimum: ${BLUR_THRESHOLD}). Please take a clearer photo.`,</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w:t>
      </w:r>
    </w:p>
    <w:p>
      <w:pPr>
        <w:spacing w:after="240" w:before="60" w:line="360" w:lineRule="auto"/>
        <w:jc w:val="center"/>
      </w:pPr>
      <w:r>
        <w:rPr>
          <w:rFonts w:ascii="Times New Roman" w:cs="Times New Roman" w:eastAsia="Times New Roman" w:hAnsi="Times New Roman"/>
          <w:i/>
          <w:iCs/>
          <w:sz w:val="22"/>
          <w:szCs w:val="22"/>
        </w:rPr>
        <w:t xml:space="preserve">Listing 6.1: Laplacian-variance-based blur detection (imageValidator.js)</w:t>
      </w:r>
    </w:p>
    <w:p>
      <w:pPr>
        <w:spacing w:after="180" w:line="360" w:lineRule="auto"/>
        <w:jc w:val="both"/>
      </w:pPr>
      <w:r>
        <w:rPr>
          <w:rFonts w:ascii="Times New Roman" w:cs="Times New Roman" w:eastAsia="Times New Roman" w:hAnsi="Times New Roman"/>
          <w:sz w:val="24"/>
          <w:szCs w:val="24"/>
        </w:rPr>
        <w:t xml:space="preserve">The validator catches common real-world failure modes — dark night-time photos, accidental shots of a wall or finger, photos through a dirty windscreen — without sending them to Gemini, reducing both end-to-end latency and per-call API cost. Being a pure synchronous function over a `Buffer`, it is trivially unit-testable with synthetic images at every threshold.</w:t>
      </w:r>
    </w:p>
    <w:p>
      <w:pPr>
        <w:pStyle w:val="Heading3"/>
        <w:spacing w:after="120" w:before="240"/>
      </w:pPr>
      <w:r>
        <w:rPr>
          <w:rFonts w:ascii="Times New Roman" w:cs="Times New Roman" w:eastAsia="Times New Roman" w:hAnsi="Times New Roman"/>
          <w:b/>
          <w:bCs/>
          <w:sz w:val="26"/>
          <w:szCs w:val="26"/>
        </w:rPr>
        <w:t xml:space="preserve">6.3.2 Prompt Engineering for Gemini</w:t>
      </w:r>
    </w:p>
    <w:p>
      <w:pPr>
        <w:spacing w:after="180" w:line="360" w:lineRule="auto"/>
        <w:jc w:val="both"/>
      </w:pPr>
      <w:r>
        <w:rPr>
          <w:rFonts w:ascii="Times New Roman" w:cs="Times New Roman" w:eastAsia="Times New Roman" w:hAnsi="Times New Roman"/>
          <w:sz w:val="24"/>
          <w:szCs w:val="24"/>
        </w:rPr>
        <w:t xml:space="preserve">The final single-image prompt (Listing 6.2) plays three roles: it grounds the model in the persona of a traffic warden (biasing vocabulary towards the domain), defines a precise output schema (making parsing trivial), and constrains the model to confirm a violation only when one is clearly visible (reducing false positives).</w:t>
      </w:r>
    </w:p>
    <w:p>
      <w:pPr>
        <w:shd w:fill="F4F4F4" w:val="clear"/>
        <w:spacing w:after="0" w:before="0" w:line="240" w:lineRule="auto"/>
        <w:ind w:left="360"/>
        <w:jc w:val="left"/>
      </w:pPr>
      <w:r>
        <w:rPr>
          <w:rFonts w:ascii="Consolas" w:cs="Consolas" w:eastAsia="Consolas" w:hAnsi="Consolas"/>
          <w:sz w:val="18"/>
          <w:szCs w:val="18"/>
        </w:rPr>
        <w:t xml:space="preserve">You are an expert traffic warden and parking enforcement officer.</w:t>
      </w:r>
    </w:p>
    <w:p>
      <w:pPr>
        <w:shd w:fill="F4F4F4" w:val="clear"/>
        <w:spacing w:after="0" w:before="0" w:line="240" w:lineRule="auto"/>
        <w:ind w:left="360"/>
        <w:jc w:val="left"/>
      </w:pPr>
      <w:r>
        <w:rPr>
          <w:rFonts w:ascii="Consolas" w:cs="Consolas" w:eastAsia="Consolas" w:hAnsi="Consolas"/>
          <w:sz w:val="18"/>
          <w:szCs w:val="18"/>
        </w:rPr>
        <w:t xml:space="preserve">Analyse the provided image and determine whether an illegal parking</w:t>
      </w:r>
    </w:p>
    <w:p>
      <w:pPr>
        <w:shd w:fill="F4F4F4" w:val="clear"/>
        <w:spacing w:after="0" w:before="0" w:line="240" w:lineRule="auto"/>
        <w:ind w:left="360"/>
        <w:jc w:val="left"/>
      </w:pPr>
      <w:r>
        <w:rPr>
          <w:rFonts w:ascii="Consolas" w:cs="Consolas" w:eastAsia="Consolas" w:hAnsi="Consolas"/>
          <w:sz w:val="18"/>
          <w:szCs w:val="18"/>
        </w:rPr>
        <w:t xml:space="preserve">violation is occurring.</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Respond ONLY with a single valid JSON object — no markdown, no extra</w:t>
      </w:r>
    </w:p>
    <w:p>
      <w:pPr>
        <w:shd w:fill="F4F4F4" w:val="clear"/>
        <w:spacing w:after="0" w:before="0" w:line="240" w:lineRule="auto"/>
        <w:ind w:left="360"/>
        <w:jc w:val="left"/>
      </w:pPr>
      <w:r>
        <w:rPr>
          <w:rFonts w:ascii="Consolas" w:cs="Consolas" w:eastAsia="Consolas" w:hAnsi="Consolas"/>
          <w:sz w:val="18"/>
          <w:szCs w:val="18"/>
        </w:rPr>
        <w:t xml:space="preserve">text — in exactly this shape:</w:t>
      </w:r>
    </w:p>
    <w:p>
      <w:pPr>
        <w:shd w:fill="F4F4F4" w:val="clear"/>
        <w:spacing w:after="0" w:before="0" w:line="240" w:lineRule="auto"/>
        <w:ind w:left="360"/>
        <w:jc w:val="left"/>
      </w:pPr>
      <w:r>
        <w:rPr>
          <w:rFonts w:ascii="Consolas" w:cs="Consolas" w:eastAsia="Consolas" w:hAnsi="Consolas"/>
          <w:sz w:val="18"/>
          <w:szCs w:val="18"/>
        </w:rPr>
        <w:t xml:space="preserve">{</w:t>
      </w:r>
    </w:p>
    <w:p>
      <w:pPr>
        <w:shd w:fill="F4F4F4" w:val="clear"/>
        <w:spacing w:after="0" w:before="0" w:line="240" w:lineRule="auto"/>
        <w:ind w:left="360"/>
        <w:jc w:val="left"/>
      </w:pPr>
      <w:r>
        <w:rPr>
          <w:rFonts w:ascii="Consolas" w:cs="Consolas" w:eastAsia="Consolas" w:hAnsi="Consolas"/>
          <w:sz w:val="18"/>
          <w:szCs w:val="18"/>
        </w:rPr>
        <w:t xml:space="preserve">  "violationConfirmed": &lt;true | false&gt;,</w:t>
      </w:r>
    </w:p>
    <w:p>
      <w:pPr>
        <w:shd w:fill="F4F4F4" w:val="clear"/>
        <w:spacing w:after="0" w:before="0" w:line="240" w:lineRule="auto"/>
        <w:ind w:left="360"/>
        <w:jc w:val="left"/>
      </w:pPr>
      <w:r>
        <w:rPr>
          <w:rFonts w:ascii="Consolas" w:cs="Consolas" w:eastAsia="Consolas" w:hAnsi="Consolas"/>
          <w:sz w:val="18"/>
          <w:szCs w:val="18"/>
        </w:rPr>
        <w:t xml:space="preserve">  "violationType":      "&lt;short description of violation, or null if none&gt;",</w:t>
      </w:r>
    </w:p>
    <w:p>
      <w:pPr>
        <w:shd w:fill="F4F4F4" w:val="clear"/>
        <w:spacing w:after="0" w:before="0" w:line="240" w:lineRule="auto"/>
        <w:ind w:left="360"/>
        <w:jc w:val="left"/>
      </w:pPr>
      <w:r>
        <w:rPr>
          <w:rFonts w:ascii="Consolas" w:cs="Consolas" w:eastAsia="Consolas" w:hAnsi="Consolas"/>
          <w:sz w:val="18"/>
          <w:szCs w:val="18"/>
        </w:rPr>
        <w:t xml:space="preserve">  "confidence":         &lt;float 0.0–1.0&gt;,</w:t>
      </w:r>
    </w:p>
    <w:p>
      <w:pPr>
        <w:shd w:fill="F4F4F4" w:val="clear"/>
        <w:spacing w:after="0" w:before="0" w:line="240" w:lineRule="auto"/>
        <w:ind w:left="360"/>
        <w:jc w:val="left"/>
      </w:pPr>
      <w:r>
        <w:rPr>
          <w:rFonts w:ascii="Consolas" w:cs="Consolas" w:eastAsia="Consolas" w:hAnsi="Consolas"/>
          <w:sz w:val="18"/>
          <w:szCs w:val="18"/>
        </w:rPr>
        <w:t xml:space="preserve">  "explanation":        "&lt;one or two sentences explaining your determination&gt;"</w:t>
      </w:r>
    </w:p>
    <w:p>
      <w:pPr>
        <w:shd w:fill="F4F4F4" w:val="clear"/>
        <w:spacing w:after="0" w:before="0" w:line="240" w:lineRule="auto"/>
        <w:ind w:left="360"/>
        <w:jc w:val="left"/>
      </w:pPr>
      <w:r>
        <w:rPr>
          <w:rFonts w:ascii="Consolas" w:cs="Consolas" w:eastAsia="Consolas" w:hAnsi="Consolas"/>
          <w:sz w:val="18"/>
          <w:szCs w:val="18"/>
        </w:rPr>
        <w:t xml:space="preserve">}</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Guidelines:</w:t>
      </w:r>
    </w:p>
    <w:p>
      <w:pPr>
        <w:shd w:fill="F4F4F4" w:val="clear"/>
        <w:spacing w:after="0" w:before="0" w:line="240" w:lineRule="auto"/>
        <w:ind w:left="360"/>
        <w:jc w:val="left"/>
      </w:pPr>
      <w:r>
        <w:rPr>
          <w:rFonts w:ascii="Consolas" w:cs="Consolas" w:eastAsia="Consolas" w:hAnsi="Consolas"/>
          <w:sz w:val="18"/>
          <w:szCs w:val="18"/>
        </w:rPr>
        <w:t xml:space="preserve">- Set violationConfirmed to true only when you can clearly see a</w:t>
      </w:r>
    </w:p>
    <w:p>
      <w:pPr>
        <w:shd w:fill="F4F4F4" w:val="clear"/>
        <w:spacing w:after="0" w:before="0" w:line="240" w:lineRule="auto"/>
        <w:ind w:left="360"/>
        <w:jc w:val="left"/>
      </w:pPr>
      <w:r>
        <w:rPr>
          <w:rFonts w:ascii="Consolas" w:cs="Consolas" w:eastAsia="Consolas" w:hAnsi="Consolas"/>
          <w:sz w:val="18"/>
          <w:szCs w:val="18"/>
        </w:rPr>
        <w:t xml:space="preserve">  parking violation.</w:t>
      </w:r>
    </w:p>
    <w:p>
      <w:pPr>
        <w:shd w:fill="F4F4F4" w:val="clear"/>
        <w:spacing w:after="0" w:before="0" w:line="240" w:lineRule="auto"/>
        <w:ind w:left="360"/>
        <w:jc w:val="left"/>
      </w:pPr>
      <w:r>
        <w:rPr>
          <w:rFonts w:ascii="Consolas" w:cs="Consolas" w:eastAsia="Consolas" w:hAnsi="Consolas"/>
          <w:sz w:val="18"/>
          <w:szCs w:val="18"/>
        </w:rPr>
        <w:t xml:space="preserve">- violationType examples: "blocking fire hydrant", "double parking",</w:t>
      </w:r>
    </w:p>
    <w:p>
      <w:pPr>
        <w:shd w:fill="F4F4F4" w:val="clear"/>
        <w:spacing w:after="0" w:before="0" w:line="240" w:lineRule="auto"/>
        <w:ind w:left="360"/>
        <w:jc w:val="left"/>
      </w:pPr>
      <w:r>
        <w:rPr>
          <w:rFonts w:ascii="Consolas" w:cs="Consolas" w:eastAsia="Consolas" w:hAnsi="Consolas"/>
          <w:sz w:val="18"/>
          <w:szCs w:val="18"/>
        </w:rPr>
        <w:t xml:space="preserve">  "no stopping zone", "expired meter", "bus stop obstruction",</w:t>
      </w:r>
    </w:p>
    <w:p>
      <w:pPr>
        <w:shd w:fill="F4F4F4" w:val="clear"/>
        <w:spacing w:after="0" w:before="0" w:line="240" w:lineRule="auto"/>
        <w:ind w:left="360"/>
        <w:jc w:val="left"/>
      </w:pPr>
      <w:r>
        <w:rPr>
          <w:rFonts w:ascii="Consolas" w:cs="Consolas" w:eastAsia="Consolas" w:hAnsi="Consolas"/>
          <w:sz w:val="18"/>
          <w:szCs w:val="18"/>
        </w:rPr>
        <w:t xml:space="preserve">  "pavement parking", "no parking zone".</w:t>
      </w:r>
    </w:p>
    <w:p>
      <w:pPr>
        <w:shd w:fill="F4F4F4" w:val="clear"/>
        <w:spacing w:after="0" w:before="0" w:line="240" w:lineRule="auto"/>
        <w:ind w:left="360"/>
        <w:jc w:val="left"/>
      </w:pPr>
      <w:r>
        <w:rPr>
          <w:rFonts w:ascii="Consolas" w:cs="Consolas" w:eastAsia="Consolas" w:hAnsi="Consolas"/>
          <w:sz w:val="18"/>
          <w:szCs w:val="18"/>
        </w:rPr>
        <w:t xml:space="preserve">- confidence should reflect how certain you are</w:t>
      </w:r>
    </w:p>
    <w:p>
      <w:pPr>
        <w:shd w:fill="F4F4F4" w:val="clear"/>
        <w:spacing w:after="0" w:before="0" w:line="240" w:lineRule="auto"/>
        <w:ind w:left="360"/>
        <w:jc w:val="left"/>
      </w:pPr>
      <w:r>
        <w:rPr>
          <w:rFonts w:ascii="Consolas" w:cs="Consolas" w:eastAsia="Consolas" w:hAnsi="Consolas"/>
          <w:sz w:val="18"/>
          <w:szCs w:val="18"/>
        </w:rPr>
        <w:t xml:space="preserve">  (e.g. 0.95 = very certain, 0.5 = uncertain).</w:t>
      </w:r>
    </w:p>
    <w:p>
      <w:pPr>
        <w:shd w:fill="F4F4F4" w:val="clear"/>
        <w:spacing w:after="0" w:before="0" w:line="240" w:lineRule="auto"/>
        <w:ind w:left="360"/>
        <w:jc w:val="left"/>
      </w:pPr>
      <w:r>
        <w:rPr>
          <w:rFonts w:ascii="Consolas" w:cs="Consolas" w:eastAsia="Consolas" w:hAnsi="Consolas"/>
          <w:sz w:val="18"/>
          <w:szCs w:val="18"/>
        </w:rPr>
        <w:t xml:space="preserve">- If the image does not show a vehicle or road scene, set</w:t>
      </w:r>
    </w:p>
    <w:p>
      <w:pPr>
        <w:shd w:fill="F4F4F4" w:val="clear"/>
        <w:spacing w:after="0" w:before="0" w:line="240" w:lineRule="auto"/>
        <w:ind w:left="360"/>
        <w:jc w:val="left"/>
      </w:pPr>
      <w:r>
        <w:rPr>
          <w:rFonts w:ascii="Consolas" w:cs="Consolas" w:eastAsia="Consolas" w:hAnsi="Consolas"/>
          <w:sz w:val="18"/>
          <w:szCs w:val="18"/>
        </w:rPr>
        <w:t xml:space="preserve">  violationConfirmed to false and explain what you see instead.</w:t>
      </w:r>
    </w:p>
    <w:p>
      <w:pPr>
        <w:spacing w:after="240" w:before="60" w:line="360" w:lineRule="auto"/>
        <w:jc w:val="center"/>
      </w:pPr>
      <w:r>
        <w:rPr>
          <w:rFonts w:ascii="Times New Roman" w:cs="Times New Roman" w:eastAsia="Times New Roman" w:hAnsi="Times New Roman"/>
          <w:i/>
          <w:iCs/>
          <w:sz w:val="22"/>
          <w:szCs w:val="22"/>
        </w:rPr>
        <w:t xml:space="preserve">Listing 6.2: Single-image prompt for the Gemini API (gemini.js)</w:t>
      </w:r>
    </w:p>
    <w:p>
      <w:pPr>
        <w:spacing w:after="180" w:line="360" w:lineRule="auto"/>
        <w:jc w:val="both"/>
      </w:pPr>
      <w:r>
        <w:rPr>
          <w:rFonts w:ascii="Times New Roman" w:cs="Times New Roman" w:eastAsia="Times New Roman" w:hAnsi="Times New Roman"/>
          <w:sz w:val="24"/>
          <w:szCs w:val="24"/>
        </w:rPr>
        <w:t xml:space="preserve">A second prompt, `MULTI_IMAGE_PROMPT`, is used for multi-image reports (FR2 permits up to five) and asks the model to combine evidence across images. Both prompts target `gemini-2.5-flash` by default, but the model name is read from `GEMINI_MODEL` so a future model retirement is a configuration change. Response parsing strips ```` ```json ```` / ```` ``` ```` fences before `JSON.parse`, and on failure throws an error that includes the first 200 characters of the offending response for diagnostics.</w:t>
      </w:r>
    </w:p>
    <w:p>
      <w:pPr>
        <w:pStyle w:val="Heading3"/>
        <w:spacing w:after="120" w:before="240"/>
      </w:pPr>
      <w:r>
        <w:rPr>
          <w:rFonts w:ascii="Times New Roman" w:cs="Times New Roman" w:eastAsia="Times New Roman" w:hAnsi="Times New Roman"/>
          <w:b/>
          <w:bCs/>
          <w:sz w:val="26"/>
          <w:szCs w:val="26"/>
        </w:rPr>
        <w:t xml:space="preserve">6.3.3 The Orchestrated Case-Creation Saga</w:t>
      </w:r>
    </w:p>
    <w:p>
      <w:pPr>
        <w:spacing w:after="180" w:line="360" w:lineRule="auto"/>
        <w:jc w:val="both"/>
      </w:pPr>
      <w:r>
        <w:rPr>
          <w:rFonts w:ascii="Times New Roman" w:cs="Times New Roman" w:eastAsia="Times New Roman" w:hAnsi="Times New Roman"/>
          <w:sz w:val="24"/>
          <w:szCs w:val="24"/>
        </w:rPr>
        <w:t xml:space="preserve">The coordinator (`src/saga/coordinator.js`, ≈220 lines) is implementation-agnostic: it accepts a `sagaType` string, an array of `{ name, execute, compensate }` step objects, and an initial `context`. It persists a new `sagas` row on entry, runs steps in order, persists updated context after each successful step, and on any failure runs compensations of previously-completed steps in reverse. Every transition is appended to a `history` JSON column, recoverable through `GET /sagas/:id`. The forward steps are shown in Listing 6.3.</w:t>
      </w:r>
    </w:p>
    <w:p>
      <w:pPr>
        <w:shd w:fill="F4F4F4" w:val="clear"/>
        <w:spacing w:after="0" w:before="0" w:line="240" w:lineRule="auto"/>
        <w:ind w:left="360"/>
        <w:jc w:val="left"/>
      </w:pPr>
      <w:r>
        <w:rPr>
          <w:rFonts w:ascii="Consolas" w:cs="Consolas" w:eastAsia="Consolas" w:hAnsi="Consolas"/>
          <w:sz w:val="18"/>
          <w:szCs w:val="18"/>
        </w:rPr>
        <w:t xml:space="preserve">export const buildCaseCreationSteps = ({ analyser }) =&gt; [</w:t>
      </w:r>
    </w:p>
    <w:p>
      <w:pPr>
        <w:shd w:fill="F4F4F4" w:val="clear"/>
        <w:spacing w:after="0" w:before="0" w:line="240" w:lineRule="auto"/>
        <w:ind w:left="360"/>
        <w:jc w:val="left"/>
      </w:pPr>
      <w:r>
        <w:rPr>
          <w:rFonts w:ascii="Consolas" w:cs="Consolas" w:eastAsia="Consolas" w:hAnsi="Consolas"/>
          <w:sz w:val="18"/>
          <w:szCs w:val="18"/>
        </w:rPr>
        <w:t xml:space="preserve">  stepAnalyzeImage(analyser),  // 1. Call Gemini                  — no compensation</w:t>
      </w:r>
    </w:p>
    <w:p>
      <w:pPr>
        <w:shd w:fill="F4F4F4" w:val="clear"/>
        <w:spacing w:after="0" w:before="0" w:line="240" w:lineRule="auto"/>
        <w:ind w:left="360"/>
        <w:jc w:val="left"/>
      </w:pPr>
      <w:r>
        <w:rPr>
          <w:rFonts w:ascii="Consolas" w:cs="Consolas" w:eastAsia="Consolas" w:hAnsi="Consolas"/>
          <w:sz w:val="18"/>
          <w:szCs w:val="18"/>
        </w:rPr>
        <w:t xml:space="preserve">  stepPersistCase,             // 2. INSERT cases                 ↩ DELETE cases</w:t>
      </w:r>
    </w:p>
    <w:p>
      <w:pPr>
        <w:shd w:fill="F4F4F4" w:val="clear"/>
        <w:spacing w:after="0" w:before="0" w:line="240" w:lineRule="auto"/>
        <w:ind w:left="360"/>
        <w:jc w:val="left"/>
      </w:pPr>
      <w:r>
        <w:rPr>
          <w:rFonts w:ascii="Consolas" w:cs="Consolas" w:eastAsia="Consolas" w:hAnsi="Consolas"/>
          <w:sz w:val="18"/>
          <w:szCs w:val="18"/>
        </w:rPr>
        <w:t xml:space="preserve">  stepPersistImages,           // 3. INSERT case_images           ↩ DELETE case_images</w:t>
      </w:r>
    </w:p>
    <w:p>
      <w:pPr>
        <w:shd w:fill="F4F4F4" w:val="clear"/>
        <w:spacing w:after="0" w:before="0" w:line="240" w:lineRule="auto"/>
        <w:ind w:left="360"/>
        <w:jc w:val="left"/>
      </w:pPr>
      <w:r>
        <w:rPr>
          <w:rFonts w:ascii="Consolas" w:cs="Consolas" w:eastAsia="Consolas" w:hAnsi="Consolas"/>
          <w:sz w:val="18"/>
          <w:szCs w:val="18"/>
        </w:rPr>
        <w:t xml:space="preserve">  stepEmbedAndIndex,           // 4. embed + UPDATE embedding     ↩ NULL the column</w:t>
      </w:r>
    </w:p>
    <w:p>
      <w:pPr>
        <w:shd w:fill="F4F4F4" w:val="clear"/>
        <w:spacing w:after="0" w:before="0" w:line="240" w:lineRule="auto"/>
        <w:ind w:left="360"/>
        <w:jc w:val="left"/>
      </w:pPr>
      <w:r>
        <w:rPr>
          <w:rFonts w:ascii="Consolas" w:cs="Consolas" w:eastAsia="Consolas" w:hAnsi="Consolas"/>
          <w:sz w:val="18"/>
          <w:szCs w:val="18"/>
        </w:rPr>
        <w:t xml:space="preserve">  stepRecordAuditCreated,      // 5. append CaseCreated event     ↩ append CaseCreationCompensated</w:t>
      </w:r>
    </w:p>
    <w:p>
      <w:pPr>
        <w:shd w:fill="F4F4F4" w:val="clear"/>
        <w:spacing w:after="0" w:before="0" w:line="240" w:lineRule="auto"/>
        <w:ind w:left="360"/>
        <w:jc w:val="left"/>
      </w:pPr>
      <w:r>
        <w:rPr>
          <w:rFonts w:ascii="Consolas" w:cs="Consolas" w:eastAsia="Consolas" w:hAnsi="Consolas"/>
          <w:sz w:val="18"/>
          <w:szCs w:val="18"/>
        </w:rPr>
        <w:t xml:space="preserve">  stepDispatchNotification,    // 6. publish case.created event   ↩ publish case.cancelled</w:t>
      </w:r>
    </w:p>
    <w:p>
      <w:pPr>
        <w:shd w:fill="F4F4F4" w:val="clear"/>
        <w:spacing w:after="0" w:before="0" w:line="240" w:lineRule="auto"/>
        <w:ind w:left="360"/>
        <w:jc w:val="left"/>
      </w:pPr>
      <w:r>
        <w:rPr>
          <w:rFonts w:ascii="Consolas" w:cs="Consolas" w:eastAsia="Consolas" w:hAnsi="Consolas"/>
          <w:sz w:val="18"/>
          <w:szCs w:val="18"/>
        </w:rPr>
        <w:t xml:space="preserve">];</w:t>
      </w:r>
    </w:p>
    <w:p>
      <w:pPr>
        <w:spacing w:after="240" w:before="60" w:line="360" w:lineRule="auto"/>
        <w:jc w:val="center"/>
      </w:pPr>
      <w:r>
        <w:rPr>
          <w:rFonts w:ascii="Times New Roman" w:cs="Times New Roman" w:eastAsia="Times New Roman" w:hAnsi="Times New Roman"/>
          <w:i/>
          <w:iCs/>
          <w:sz w:val="22"/>
          <w:szCs w:val="22"/>
        </w:rPr>
        <w:t xml:space="preserve">Listing 6.3: The six forward steps of the case-creation saga (caseCreationSaga.js)</w:t>
      </w:r>
    </w:p>
    <w:p>
      <w:pPr>
        <w:spacing w:after="180" w:line="360" w:lineRule="auto"/>
        <w:jc w:val="both"/>
      </w:pPr>
      <w:r>
        <w:rPr>
          <w:rFonts w:ascii="Times New Roman" w:cs="Times New Roman" w:eastAsia="Times New Roman" w:hAnsi="Times New Roman"/>
          <w:sz w:val="24"/>
          <w:szCs w:val="24"/>
        </w:rPr>
        <w:t xml:space="preserve">Three properties of this step list. (i) `stepAnalyzeImage` has no compensation because the Gemini call is a side-effect-free read. (ii) `stepRecordAuditCreated` does not delete the audit-log row on compensation (the log is append-only by design — NFR6); it appends a `CaseCreationCompensated` event so the audit trail itself records the rollback. (iii) `stepDispatchNotification` compensates by publishing a `case.cancelled` event, which the Notification Service (Chapter 7) consumes to withdraw any in-app notification it has already produced — the </w:t>
      </w:r>
      <w:r>
        <w:rPr>
          <w:rFonts w:ascii="Times New Roman" w:cs="Times New Roman" w:eastAsia="Times New Roman" w:hAnsi="Times New Roman"/>
          <w:i/>
          <w:iCs/>
          <w:sz w:val="24"/>
          <w:szCs w:val="24"/>
        </w:rPr>
        <w:t xml:space="preserve">distributed</w:t>
      </w:r>
      <w:r>
        <w:rPr>
          <w:rFonts w:ascii="Times New Roman" w:cs="Times New Roman" w:eastAsia="Times New Roman" w:hAnsi="Times New Roman"/>
          <w:sz w:val="24"/>
          <w:szCs w:val="24"/>
        </w:rPr>
        <w:t xml:space="preserve"> half of the saga's compensation story.</w:t>
      </w:r>
    </w:p>
    <w:p>
      <w:pPr>
        <w:spacing w:after="180" w:line="360" w:lineRule="auto"/>
        <w:jc w:val="both"/>
      </w:pPr>
      <w:r>
        <w:rPr>
          <w:rFonts w:ascii="Times New Roman" w:cs="Times New Roman" w:eastAsia="Times New Roman" w:hAnsi="Times New Roman"/>
          <w:sz w:val="24"/>
          <w:szCs w:val="24"/>
        </w:rPr>
        <w:t xml:space="preserve">Asynchronous failures — for example, the Notification Service consuming `case.created` successfully but then failing to deliver the email — arrive later as `notification.failed` events. The saga listener (`src/saga/listeners.js`) appends the failure to the saga's history and marks the case `notification_failed`. The compensation policy at this boundary is deliberately "mark and continue", not "destroy": the AI analysis is still useful to the citizen, so a downstream notification failure must not invalidate it.</w:t>
      </w:r>
    </w:p>
    <w:p>
      <w:pPr>
        <w:pStyle w:val="Heading3"/>
        <w:spacing w:after="120" w:before="240"/>
      </w:pPr>
      <w:r>
        <w:rPr>
          <w:rFonts w:ascii="Times New Roman" w:cs="Times New Roman" w:eastAsia="Times New Roman" w:hAnsi="Times New Roman"/>
          <w:b/>
          <w:bCs/>
          <w:sz w:val="26"/>
          <w:szCs w:val="26"/>
        </w:rPr>
        <w:t xml:space="preserve">6.3.4 Vector Embeddings and Similarity Search</w:t>
      </w:r>
    </w:p>
    <w:p>
      <w:pPr>
        <w:spacing w:after="180" w:line="360" w:lineRule="auto"/>
        <w:jc w:val="both"/>
      </w:pPr>
      <w:r>
        <w:rPr>
          <w:rFonts w:ascii="Times New Roman" w:cs="Times New Roman" w:eastAsia="Times New Roman" w:hAnsi="Times New Roman"/>
          <w:sz w:val="24"/>
          <w:szCs w:val="24"/>
        </w:rPr>
        <w:t xml:space="preserve">The `embedAndIndex` step computes a 768-D embedding of the verdict text using Gemini `text-embedding-004` with the same API credentials. `buildEmbeddingInput` concatenates the violation type, the explanation, and (where supplied) the license plate, so two reports about the same vehicle cluster together even when wording differs. Placing this step after `persistImages` means a Gemini-embedding failure leaves the relational data intact: the case row still exists, the embedding column remains `NULL`, and the case is invisible to similarity search without losing other utility.</w:t>
      </w:r>
    </w:p>
    <w:p>
      <w:pPr>
        <w:spacing w:after="180" w:line="360" w:lineRule="auto"/>
        <w:jc w:val="both"/>
      </w:pPr>
      <w:r>
        <w:rPr>
          <w:rFonts w:ascii="Times New Roman" w:cs="Times New Roman" w:eastAsia="Times New Roman" w:hAnsi="Times New Roman"/>
          <w:sz w:val="24"/>
          <w:szCs w:val="24"/>
        </w:rPr>
        <w:t xml:space="preserve">Similarity search is performed by `GET /violations/:id/similar` and translates to the SQL in Listing 6.4. The `&lt;=&gt;` operator is pgvector's cosine-distance operator (0 = identical, 2 = opposite); the HNSW index [73] keeps this query sub-linear in the number of cases.</w:t>
      </w:r>
    </w:p>
    <w:p>
      <w:pPr>
        <w:shd w:fill="F4F4F4" w:val="clear"/>
        <w:spacing w:after="0" w:before="0" w:line="240" w:lineRule="auto"/>
        <w:ind w:left="360"/>
        <w:jc w:val="left"/>
      </w:pPr>
      <w:r>
        <w:rPr>
          <w:rFonts w:ascii="Consolas" w:cs="Consolas" w:eastAsia="Consolas" w:hAnsi="Consolas"/>
          <w:sz w:val="18"/>
          <w:szCs w:val="18"/>
        </w:rPr>
        <w:t xml:space="preserve">SELECT c.id, c.user_id, c.violation_confirmed, c.violation_type,</w:t>
      </w:r>
    </w:p>
    <w:p>
      <w:pPr>
        <w:shd w:fill="F4F4F4" w:val="clear"/>
        <w:spacing w:after="0" w:before="0" w:line="240" w:lineRule="auto"/>
        <w:ind w:left="360"/>
        <w:jc w:val="left"/>
      </w:pPr>
      <w:r>
        <w:rPr>
          <w:rFonts w:ascii="Consolas" w:cs="Consolas" w:eastAsia="Consolas" w:hAnsi="Consolas"/>
          <w:sz w:val="18"/>
          <w:szCs w:val="18"/>
        </w:rPr>
        <w:t xml:space="preserve">       c.confidence, c.explanation, c.license_plate, c.created_at,</w:t>
      </w:r>
    </w:p>
    <w:p>
      <w:pPr>
        <w:shd w:fill="F4F4F4" w:val="clear"/>
        <w:spacing w:after="0" w:before="0" w:line="240" w:lineRule="auto"/>
        <w:ind w:left="360"/>
        <w:jc w:val="left"/>
      </w:pPr>
      <w:r>
        <w:rPr>
          <w:rFonts w:ascii="Consolas" w:cs="Consolas" w:eastAsia="Consolas" w:hAnsi="Consolas"/>
          <w:sz w:val="18"/>
          <w:szCs w:val="18"/>
        </w:rPr>
        <w:t xml:space="preserve">       c.embedding &lt;=&gt; src.embedding AS distance</w:t>
      </w:r>
    </w:p>
    <w:p>
      <w:pPr>
        <w:shd w:fill="F4F4F4" w:val="clear"/>
        <w:spacing w:after="0" w:before="0" w:line="240" w:lineRule="auto"/>
        <w:ind w:left="360"/>
        <w:jc w:val="left"/>
      </w:pPr>
      <w:r>
        <w:rPr>
          <w:rFonts w:ascii="Consolas" w:cs="Consolas" w:eastAsia="Consolas" w:hAnsi="Consolas"/>
          <w:sz w:val="18"/>
          <w:szCs w:val="18"/>
        </w:rPr>
        <w:t xml:space="preserve">  FROM cases c, cases src</w:t>
      </w:r>
    </w:p>
    <w:p>
      <w:pPr>
        <w:shd w:fill="F4F4F4" w:val="clear"/>
        <w:spacing w:after="0" w:before="0" w:line="240" w:lineRule="auto"/>
        <w:ind w:left="360"/>
        <w:jc w:val="left"/>
      </w:pPr>
      <w:r>
        <w:rPr>
          <w:rFonts w:ascii="Consolas" w:cs="Consolas" w:eastAsia="Consolas" w:hAnsi="Consolas"/>
          <w:sz w:val="18"/>
          <w:szCs w:val="18"/>
        </w:rPr>
        <w:t xml:space="preserve"> WHERE src.id          = $1</w:t>
      </w:r>
    </w:p>
    <w:p>
      <w:pPr>
        <w:shd w:fill="F4F4F4" w:val="clear"/>
        <w:spacing w:after="0" w:before="0" w:line="240" w:lineRule="auto"/>
        <w:ind w:left="360"/>
        <w:jc w:val="left"/>
      </w:pPr>
      <w:r>
        <w:rPr>
          <w:rFonts w:ascii="Consolas" w:cs="Consolas" w:eastAsia="Consolas" w:hAnsi="Consolas"/>
          <w:sz w:val="18"/>
          <w:szCs w:val="18"/>
        </w:rPr>
        <w:t xml:space="preserve">   AND src.embedding   IS NOT NULL</w:t>
      </w:r>
    </w:p>
    <w:p>
      <w:pPr>
        <w:shd w:fill="F4F4F4" w:val="clear"/>
        <w:spacing w:after="0" w:before="0" w:line="240" w:lineRule="auto"/>
        <w:ind w:left="360"/>
        <w:jc w:val="left"/>
      </w:pPr>
      <w:r>
        <w:rPr>
          <w:rFonts w:ascii="Consolas" w:cs="Consolas" w:eastAsia="Consolas" w:hAnsi="Consolas"/>
          <w:sz w:val="18"/>
          <w:szCs w:val="18"/>
        </w:rPr>
        <w:t xml:space="preserve">   AND c.id            &lt;&gt; src.id</w:t>
      </w:r>
    </w:p>
    <w:p>
      <w:pPr>
        <w:shd w:fill="F4F4F4" w:val="clear"/>
        <w:spacing w:after="0" w:before="0" w:line="240" w:lineRule="auto"/>
        <w:ind w:left="360"/>
        <w:jc w:val="left"/>
      </w:pPr>
      <w:r>
        <w:rPr>
          <w:rFonts w:ascii="Consolas" w:cs="Consolas" w:eastAsia="Consolas" w:hAnsi="Consolas"/>
          <w:sz w:val="18"/>
          <w:szCs w:val="18"/>
        </w:rPr>
        <w:t xml:space="preserve">   AND c.embedding     IS NOT NULL</w:t>
      </w:r>
    </w:p>
    <w:p>
      <w:pPr>
        <w:shd w:fill="F4F4F4" w:val="clear"/>
        <w:spacing w:after="0" w:before="0" w:line="240" w:lineRule="auto"/>
        <w:ind w:left="360"/>
        <w:jc w:val="left"/>
      </w:pPr>
      <w:r>
        <w:rPr>
          <w:rFonts w:ascii="Consolas" w:cs="Consolas" w:eastAsia="Consolas" w:hAnsi="Consolas"/>
          <w:sz w:val="18"/>
          <w:szCs w:val="18"/>
        </w:rPr>
        <w:t xml:space="preserve"> ORDER BY distance ASC</w:t>
      </w:r>
    </w:p>
    <w:p>
      <w:pPr>
        <w:shd w:fill="F4F4F4" w:val="clear"/>
        <w:spacing w:after="0" w:before="0" w:line="240" w:lineRule="auto"/>
        <w:ind w:left="360"/>
        <w:jc w:val="left"/>
      </w:pPr>
      <w:r>
        <w:rPr>
          <w:rFonts w:ascii="Consolas" w:cs="Consolas" w:eastAsia="Consolas" w:hAnsi="Consolas"/>
          <w:sz w:val="18"/>
          <w:szCs w:val="18"/>
        </w:rPr>
        <w:t xml:space="preserve"> LIMIT $2;</w:t>
      </w:r>
    </w:p>
    <w:p>
      <w:pPr>
        <w:spacing w:after="240" w:before="60" w:line="360" w:lineRule="auto"/>
        <w:jc w:val="center"/>
      </w:pPr>
      <w:r>
        <w:rPr>
          <w:rFonts w:ascii="Times New Roman" w:cs="Times New Roman" w:eastAsia="Times New Roman" w:hAnsi="Times New Roman"/>
          <w:i/>
          <w:iCs/>
          <w:sz w:val="22"/>
          <w:szCs w:val="22"/>
        </w:rPr>
        <w:t xml:space="preserve">Listing 6.4: Similar-case retrieval via pgvector cosine distance (db.js)</w:t>
      </w:r>
    </w:p>
    <w:p>
      <w:pPr>
        <w:pStyle w:val="Heading3"/>
        <w:spacing w:after="120" w:before="240"/>
      </w:pPr>
      <w:r>
        <w:rPr>
          <w:rFonts w:ascii="Times New Roman" w:cs="Times New Roman" w:eastAsia="Times New Roman" w:hAnsi="Times New Roman"/>
          <w:b/>
          <w:bCs/>
          <w:sz w:val="26"/>
          <w:szCs w:val="26"/>
        </w:rPr>
        <w:t xml:space="preserve">6.3.5 Audit Log, Cleanup, and Status Endpoints</w:t>
      </w:r>
    </w:p>
    <w:p>
      <w:pPr>
        <w:spacing w:after="180" w:line="360" w:lineRule="auto"/>
        <w:jc w:val="both"/>
      </w:pPr>
      <w:r>
        <w:rPr>
          <w:rFonts w:ascii="Times New Roman" w:cs="Times New Roman" w:eastAsia="Times New Roman" w:hAnsi="Times New Roman"/>
          <w:sz w:val="24"/>
          <w:szCs w:val="24"/>
        </w:rPr>
        <w:t xml:space="preserve">The audit log is an append-only table (`case_audit_log`) with an `auditLog()` helper that swallows insert errors so a logging failure can never crash the main flow. Every state change of interest produces a row; `GET /violations/:id/audit` returns the trail. A small cleanup job (`cleanup.js`, ≈75 lines) runs hourly on `setInterval` and transitions stale `pending` cases (older than 24 h by default) to `cancelled`, satisfying the auto-cleanup half of FR6. The job is safely re-entrant.</w:t>
      </w:r>
    </w:p>
    <w:p>
      <w:pPr>
        <w:spacing w:after="180" w:line="360" w:lineRule="auto"/>
        <w:jc w:val="both"/>
      </w:pPr>
      <w:r>
        <w:rPr>
          <w:rFonts w:ascii="Times New Roman" w:cs="Times New Roman" w:eastAsia="Times New Roman" w:hAnsi="Times New Roman"/>
          <w:sz w:val="24"/>
          <w:szCs w:val="24"/>
        </w:rPr>
        <w:t xml:space="preserve">The service also exposes read-only endpoints: `GET /violations/cases` (paginated list with optional userId/status/date filters), `GET /violations/:id` (full case + images), `GET /violations/:id/status` (status-only fields for polling), `GET /violations/:id/images/:index` (raw image bytes with `Cache-Control: private, max-age=3600`), and `GET /violations/stats/:userId`. All enforce per-resource ownership through the `X-User-Id` header injected by the gateway; the `admin` role bypasses the check.</w:t>
      </w:r>
    </w:p>
    <w:p>
      <w:pPr>
        <w:pStyle w:val="Heading2"/>
        <w:spacing w:after="180" w:before="360"/>
      </w:pPr>
      <w:r>
        <w:rPr>
          <w:rFonts w:ascii="Times New Roman" w:cs="Times New Roman" w:eastAsia="Times New Roman" w:hAnsi="Times New Roman"/>
          <w:b/>
          <w:bCs/>
          <w:sz w:val="30"/>
          <w:szCs w:val="30"/>
        </w:rPr>
        <w:t xml:space="preserve">6.4 Testing</w:t>
      </w:r>
    </w:p>
    <w:p>
      <w:pPr>
        <w:spacing w:after="180" w:line="360" w:lineRule="auto"/>
        <w:jc w:val="both"/>
      </w:pPr>
      <w:r>
        <w:rPr>
          <w:rFonts w:ascii="Times New Roman" w:cs="Times New Roman" w:eastAsia="Times New Roman" w:hAnsi="Times New Roman"/>
          <w:sz w:val="24"/>
          <w:szCs w:val="24"/>
        </w:rPr>
        <w:t xml:space="preserve">Unit tests cover Gemini response parsing (including Markdown-fence stripping), the three validation thresholds at both boundaries, the deterministic demo-fallback embedding, and the cleanup logic. Saga tests exercise the coordinator in every transition: every step succeeding end-to-end, every step failing with compensations running in reverse, the compensation-of-a-compensation failure mode, and the asynchronous `notification.failed` event on the listener. Database tests cover the per-table helpers including pgvector serialisation. Route tests in `routes.test.js` exercise the full HTTP surface through Supertest [68] with the database, broker, and Gemini mocked. </w:t>
      </w:r>
      <w:r>
        <w:rPr>
          <w:rFonts w:ascii="Times New Roman" w:cs="Times New Roman" w:eastAsia="Times New Roman" w:hAnsi="Times New Roman"/>
          <w:b/>
          <w:bCs/>
          <w:sz w:val="24"/>
          <w:szCs w:val="24"/>
        </w:rPr>
        <w:t xml:space="preserve">120 tests pass on every run</w:t>
      </w:r>
      <w:r>
        <w:rPr>
          <w:rFonts w:ascii="Times New Roman" w:cs="Times New Roman" w:eastAsia="Times New Roman" w:hAnsi="Times New Roman"/>
          <w:sz w:val="24"/>
          <w:szCs w:val="24"/>
        </w:rPr>
        <w:t xml:space="preserve">. The IEEE-982 coverage report is shown in Listing 6.5.</w:t>
      </w:r>
    </w:p>
    <w:p>
      <w:pPr>
        <w:shd w:fill="F4F4F4" w:val="clear"/>
        <w:spacing w:after="0" w:before="0" w:line="240" w:lineRule="auto"/>
        <w:ind w:left="360"/>
        <w:jc w:val="left"/>
      </w:pPr>
      <w:r>
        <w:rPr>
          <w:rFonts w:ascii="Consolas" w:cs="Consolas" w:eastAsia="Consolas" w:hAnsi="Consolas"/>
          <w:sz w:val="18"/>
          <w:szCs w:val="18"/>
        </w:rPr>
        <w:t xml:space="preserve">Violation Analysis Service</w:t>
      </w:r>
    </w:p>
    <w:p>
      <w:pPr>
        <w:shd w:fill="F4F4F4" w:val="clear"/>
        <w:spacing w:after="0" w:before="0" w:line="240" w:lineRule="auto"/>
        <w:ind w:left="360"/>
        <w:jc w:val="left"/>
      </w:pPr>
      <w:r>
        <w:rPr>
          <w:rFonts w:ascii="Consolas" w:cs="Consolas" w:eastAsia="Consolas" w:hAnsi="Consolas"/>
          <w:sz w:val="18"/>
          <w:szCs w:val="18"/>
        </w:rPr>
        <w:t xml:space="preserve">  Statement coverage:            87.13%  (528/606)</w:t>
      </w:r>
    </w:p>
    <w:p>
      <w:pPr>
        <w:shd w:fill="F4F4F4" w:val="clear"/>
        <w:spacing w:after="0" w:before="0" w:line="240" w:lineRule="auto"/>
        <w:ind w:left="360"/>
        <w:jc w:val="left"/>
      </w:pPr>
      <w:r>
        <w:rPr>
          <w:rFonts w:ascii="Consolas" w:cs="Consolas" w:eastAsia="Consolas" w:hAnsi="Consolas"/>
          <w:sz w:val="18"/>
          <w:szCs w:val="18"/>
        </w:rPr>
        <w:t xml:space="preserve">  Decision coverage:             83.54%  (137/164)</w:t>
      </w:r>
    </w:p>
    <w:p>
      <w:pPr>
        <w:shd w:fill="F4F4F4" w:val="clear"/>
        <w:spacing w:after="0" w:before="0" w:line="240" w:lineRule="auto"/>
        <w:ind w:left="360"/>
        <w:jc w:val="left"/>
      </w:pPr>
      <w:r>
        <w:rPr>
          <w:rFonts w:ascii="Consolas" w:cs="Consolas" w:eastAsia="Consolas" w:hAnsi="Consolas"/>
          <w:sz w:val="18"/>
          <w:szCs w:val="18"/>
        </w:rPr>
        <w:t xml:space="preserve">  Condition coverage:            72.73%  (112/154)</w:t>
      </w:r>
    </w:p>
    <w:p>
      <w:pPr>
        <w:shd w:fill="F4F4F4" w:val="clear"/>
        <w:spacing w:after="0" w:before="0" w:line="240" w:lineRule="auto"/>
        <w:ind w:left="360"/>
        <w:jc w:val="left"/>
      </w:pPr>
      <w:r>
        <w:rPr>
          <w:rFonts w:ascii="Consolas" w:cs="Consolas" w:eastAsia="Consolas" w:hAnsi="Consolas"/>
          <w:sz w:val="18"/>
          <w:szCs w:val="18"/>
        </w:rPr>
        <w:t xml:space="preserve">  Decision/Condition coverage:   78.30%  (249/318)</w:t>
      </w:r>
    </w:p>
    <w:p>
      <w:pPr>
        <w:spacing w:after="240" w:before="60" w:line="360" w:lineRule="auto"/>
        <w:jc w:val="center"/>
      </w:pPr>
      <w:r>
        <w:rPr>
          <w:rFonts w:ascii="Times New Roman" w:cs="Times New Roman" w:eastAsia="Times New Roman" w:hAnsi="Times New Roman"/>
          <w:i/>
          <w:iCs/>
          <w:sz w:val="22"/>
          <w:szCs w:val="22"/>
        </w:rPr>
        <w:t xml:space="preserve">Listing 6.5: IEEE-982 coverage for Increment 2</w:t>
      </w:r>
    </w:p>
    <w:p>
      <w:pPr>
        <w:spacing w:after="180" w:line="360" w:lineRule="auto"/>
        <w:jc w:val="both"/>
      </w:pPr>
      <w:r>
        <w:rPr>
          <w:rFonts w:ascii="Times New Roman" w:cs="Times New Roman" w:eastAsia="Times New Roman" w:hAnsi="Times New Roman"/>
          <w:sz w:val="24"/>
          <w:szCs w:val="24"/>
        </w:rPr>
        <w:t xml:space="preserve">End-to-end manual validation used a corpus of real photographs of parked vehicles; Gemini verdicts were inspected for plausibility and the saga history was read through `GET /sagas/:id`. Failure injection — dropping the RabbitMQ connection mid-saga, returning 429 from a mocked Gemini call — was used to exercise compensation paths against the running stack.</w:t>
      </w:r>
    </w:p>
    <w:p>
      <w:pPr>
        <w:pStyle w:val="Heading2"/>
        <w:spacing w:after="180" w:before="360"/>
      </w:pPr>
      <w:r>
        <w:rPr>
          <w:rFonts w:ascii="Times New Roman" w:cs="Times New Roman" w:eastAsia="Times New Roman" w:hAnsi="Times New Roman"/>
          <w:b/>
          <w:bCs/>
          <w:sz w:val="30"/>
          <w:szCs w:val="30"/>
        </w:rPr>
        <w:t xml:space="preserve">6.5 Evaluation</w:t>
      </w:r>
    </w:p>
    <w:p>
      <w:pPr>
        <w:spacing w:after="180" w:line="360" w:lineRule="auto"/>
        <w:jc w:val="both"/>
      </w:pPr>
      <w:r>
        <w:rPr>
          <w:rFonts w:ascii="Times New Roman" w:cs="Times New Roman" w:eastAsia="Times New Roman" w:hAnsi="Times New Roman"/>
          <w:sz w:val="24"/>
          <w:szCs w:val="24"/>
        </w:rPr>
        <w:t xml:space="preserve">FR2, FR3, FR4, FR5, FR9 are fully satisfied; FR6 is materially complete (the `completed`/`cancelled` transitions are wired, the others exposed for administrative endpoints); FR8 is satisfied for every event originating in this service. The separation of the Gemini integration behind a single module satisfies the R1 mitigation: a vendor swap touches one file. The pre-flight validator materially reduces Gemini round-trips for low-quality images, keeping average end-to-end latency comfortably below the 5-second NFR4 target.</w:t>
      </w:r>
    </w:p>
    <w:p>
      <w:pPr>
        <w:spacing w:after="180" w:line="360" w:lineRule="auto"/>
        <w:jc w:val="both"/>
      </w:pPr>
      <w:r>
        <w:rPr>
          <w:rFonts w:ascii="Times New Roman" w:cs="Times New Roman" w:eastAsia="Times New Roman" w:hAnsi="Times New Roman"/>
          <w:sz w:val="24"/>
          <w:szCs w:val="24"/>
        </w:rPr>
        <w:t xml:space="preserve">Two pieces of work delivered in this increment exceeded plan. The orchestrated saga, originally specified as a try/catch block, was upgraded to a full coordinator with persistent state and distributed compensation, materially strengthening NFR6. The pgvector-based similarity retrieval, originally listed as future work, was implemented in full and is one of the more compelling demonstrations of polyglot persistence (Section 2.3.2) in the project: the same row holds relational columns and a 768-D dense vector, and a single query traverses both.</w:t>
      </w:r>
    </w:p>
    <w:p>
      <w:pPr>
        <w:pStyle w:val="Heading1"/>
        <w:pageBreakBefore/>
        <w:spacing w:after="360" w:before="0"/>
      </w:pPr>
      <w:r>
        <w:rPr>
          <w:rFonts w:ascii="Times New Roman" w:cs="Times New Roman" w:eastAsia="Times New Roman" w:hAnsi="Times New Roman"/>
          <w:b/>
          <w:bCs/>
          <w:sz w:val="36"/>
          <w:szCs w:val="36"/>
        </w:rPr>
        <w:t xml:space="preserve">Chapter 7
Increment 3 — Event-Driven Notifications</w:t>
      </w:r>
    </w:p>
    <w:p>
      <w:pPr>
        <w:spacing w:after="180" w:line="360" w:lineRule="auto"/>
        <w:jc w:val="both"/>
      </w:pPr>
      <w:r>
        <w:rPr>
          <w:rFonts w:ascii="Times New Roman" w:cs="Times New Roman" w:eastAsia="Times New Roman" w:hAnsi="Times New Roman"/>
          <w:sz w:val="24"/>
          <w:szCs w:val="24"/>
        </w:rPr>
        <w:t xml:space="preserve">The Violation Analysis Service described in the previous chapter concludes its case-creation saga by publishing a `case.created` event on the RabbitMQ topic exchange. That event is the entry point for the third increment. The Notification Service picks it up, decides which communication channels the submitting citizen has enabled, fans out to all of them concurrently, logs each delivery attempt, and — if every channel fails — publishes a `notification.failed` event that closes the distributed-compensation loop back in the originating saga. This chapter documents the analysis, design, implementation, and testing of that service, and evaluates the degree to which it satisfies the objectives established in Chapter 1.</w:t>
      </w:r>
    </w:p>
    <w:p>
      <w:pPr>
        <w:pStyle w:val="Heading2"/>
        <w:spacing w:after="180" w:before="360"/>
      </w:pPr>
      <w:r>
        <w:rPr>
          <w:rFonts w:ascii="Times New Roman" w:cs="Times New Roman" w:eastAsia="Times New Roman" w:hAnsi="Times New Roman"/>
          <w:b/>
          <w:bCs/>
          <w:sz w:val="30"/>
          <w:szCs w:val="30"/>
        </w:rPr>
        <w:t xml:space="preserve">7.1 Analysis</w:t>
      </w:r>
    </w:p>
    <w:p>
      <w:pPr>
        <w:spacing w:after="180" w:line="360" w:lineRule="auto"/>
        <w:jc w:val="both"/>
      </w:pPr>
      <w:r>
        <w:rPr>
          <w:rFonts w:ascii="Times New Roman" w:cs="Times New Roman" w:eastAsia="Times New Roman" w:hAnsi="Times New Roman"/>
          <w:sz w:val="24"/>
          <w:szCs w:val="24"/>
        </w:rPr>
        <w:t xml:space="preserve">FR7 (notification dispatch), FR8 (delivery log), and NFR5 (extensibility) drive this increment. Two implicit constraints shape the design: notification content must be human-readable and avoid internal identifiers ("Your report for vehicle ABC-123 has been analysed" is more useful than "Case 101beb69 updated"); and the downstream fate of a notification must be fed back to the upstream saga so the dashboard shows accurate status. Three event types trigger notifications: `case.created`, `case.reported`, `case.resolved`. Reliability is cross-cutting: RabbitMQ messages are manually `ack`-ed only after processing, `nack`-ed-with-requeue on transient failure (but not on redelivered messages, to prevent poison pills). Each queue uses a dead-letter exchange and the `connectAndConsume` function retries the AMQP connection up to 10 times with a 3-second interval.</w:t>
      </w:r>
    </w:p>
    <w:p>
      <w:pPr>
        <w:pStyle w:val="Heading2"/>
        <w:spacing w:after="180" w:before="360"/>
      </w:pPr>
      <w:r>
        <w:rPr>
          <w:rFonts w:ascii="Times New Roman" w:cs="Times New Roman" w:eastAsia="Times New Roman" w:hAnsi="Times New Roman"/>
          <w:b/>
          <w:bCs/>
          <w:sz w:val="30"/>
          <w:szCs w:val="30"/>
        </w:rPr>
        <w:t xml:space="preserve">7.2 Design</w:t>
      </w:r>
    </w:p>
    <w:p>
      <w:pPr>
        <w:spacing w:after="180" w:line="360" w:lineRule="auto"/>
        <w:jc w:val="both"/>
      </w:pPr>
      <w:r>
        <w:rPr>
          <w:rFonts w:ascii="Times New Roman" w:cs="Times New Roman" w:eastAsia="Times New Roman" w:hAnsi="Times New Roman"/>
          <w:sz w:val="24"/>
          <w:szCs w:val="24"/>
        </w:rPr>
        <w:t xml:space="preserve">The central design decision is the </w:t>
      </w:r>
      <w:r>
        <w:rPr>
          <w:rFonts w:ascii="Times New Roman" w:cs="Times New Roman" w:eastAsia="Times New Roman" w:hAnsi="Times New Roman"/>
          <w:b/>
          <w:bCs/>
          <w:sz w:val="24"/>
          <w:szCs w:val="24"/>
        </w:rPr>
        <w:t xml:space="preserve">channel abstraction</w:t>
      </w:r>
      <w:r>
        <w:rPr>
          <w:rFonts w:ascii="Times New Roman" w:cs="Times New Roman" w:eastAsia="Times New Roman" w:hAnsi="Times New Roman"/>
          <w:sz w:val="24"/>
          <w:szCs w:val="24"/>
        </w:rPr>
        <w:t xml:space="preserve">. Four channel classes — `InAppChannel`, `EmailChannel`, `SmsChannel`, `PushChannel` — extend a shared `BaseChannel` and implement a single `send({ to, caseId, userId, subject, message, metadata })` method. To add a new channel a developer creates a new class, drops it in `src/channels/`, and registers it in `src/channels/index.js`. The registry uses environment-variable guards at start-up: in-app is always registered; email when `SMTP_HOST` and `SMTP_USER` are present; SMS when `TWILIO_ACCOUNT_SID` and `TWILIO_AUTH_TOKEN` are present; push when `FIREBASE_SERVICE_ACCOUNT_PATH` is present. A missing variable warns rather than crashes — an application of the feature-flag concept from continuous delivery [25] reduced to the simpler medium of environment variables. </w:t>
      </w:r>
      <w:r>
        <w:rPr>
          <w:rFonts w:ascii="Times New Roman" w:cs="Times New Roman" w:eastAsia="Times New Roman" w:hAnsi="Times New Roman"/>
          <w:b/>
          <w:bCs/>
          <w:sz w:val="24"/>
          <w:szCs w:val="24"/>
        </w:rPr>
        <w:t xml:space="preserve">RabbitMQ was chosen over Apache Kafka [79] and Redis Streams [80]</w:t>
      </w:r>
      <w:r>
        <w:rPr>
          <w:rFonts w:ascii="Times New Roman" w:cs="Times New Roman" w:eastAsia="Times New Roman" w:hAnsi="Times New Roman"/>
          <w:sz w:val="24"/>
          <w:szCs w:val="24"/>
        </w:rPr>
        <w:t xml:space="preserve"> because the SnapPark workload is event-driven with low throughput, where RabbitMQ's mature topic exchange model and the simplicity of `amqplib` are more valuable than Kafka's log-structured ordering or Redis' minimalism [48]; Kafka would also impose significant operational overhead (ZooKeeper or KRaft, partitioning, consumer-group coordination) that is unjustified at this scale.</w:t>
      </w:r>
    </w:p>
    <w:p>
      <w:pPr>
        <w:spacing w:after="180" w:line="360" w:lineRule="auto"/>
        <w:jc w:val="both"/>
      </w:pPr>
      <w:r>
        <w:rPr>
          <w:rFonts w:ascii="Times New Roman" w:cs="Times New Roman" w:eastAsia="Times New Roman" w:hAnsi="Times New Roman"/>
          <w:sz w:val="24"/>
          <w:szCs w:val="24"/>
        </w:rPr>
        <w:t xml:space="preserve">The dispatcher (`dispatcher.js`) follows a fixed five-step algorithm: (1) look up preferences, or create a default row if none; (2) backfill email address from the event if missing; (3) filter the four channels to those enabled by the user and registered in the registry; (4) fan out concurrently via `Promise.allSettled` so one failure does not block others; (5) log every outcome and publish `notification.failed` if all channels failed. The address-field mapping `{ in_app: null, sms: "phone", email: "email_addr", push: "fcm_token" }` centralises the channel-to-address relationship; a channel is silently skipped (with a warning) if enabled but lacking an address.</w:t>
      </w:r>
    </w:p>
    <w:p>
      <w:pPr>
        <w:spacing w:after="60" w:before="240" w:line="360" w:lineRule="auto"/>
        <w:jc w:val="center"/>
      </w:pPr>
      <w:r>
        <w:rPr>
          <w:rFonts w:ascii="Times New Roman" w:cs="Times New Roman" w:eastAsia="Times New Roman" w:hAnsi="Times New Roman"/>
          <w:i/>
          <w:iCs/>
          <w:color w:val="808080"/>
          <w:sz w:val="24"/>
          <w:szCs w:val="24"/>
        </w:rPr>
        <w:t xml:space="preserve">[ Figure 7.1: Notification Service message flow — RabbitMQ consumer to channel fan-out to delivery log — insert image here ]</w:t>
      </w:r>
    </w:p>
    <w:p>
      <w:pPr>
        <w:spacing w:after="240" w:before="0" w:line="360" w:lineRule="auto"/>
        <w:jc w:val="center"/>
      </w:pPr>
      <w:r>
        <w:rPr>
          <w:rFonts w:ascii="Times New Roman" w:cs="Times New Roman" w:eastAsia="Times New Roman" w:hAnsi="Times New Roman"/>
          <w:i/>
          <w:iCs/>
          <w:sz w:val="22"/>
          <w:szCs w:val="22"/>
        </w:rPr>
        <w:t xml:space="preserve">Figure 7.1: Notification Service event-to-channel flow</w:t>
      </w:r>
    </w:p>
    <w:p>
      <w:pPr>
        <w:pStyle w:val="Heading2"/>
        <w:spacing w:after="180" w:before="360"/>
      </w:pPr>
      <w:r>
        <w:rPr>
          <w:rFonts w:ascii="Times New Roman" w:cs="Times New Roman" w:eastAsia="Times New Roman" w:hAnsi="Times New Roman"/>
          <w:b/>
          <w:bCs/>
          <w:sz w:val="30"/>
          <w:szCs w:val="30"/>
        </w:rPr>
        <w:t xml:space="preserve">7.3 Implementation</w:t>
      </w:r>
    </w:p>
    <w:p>
      <w:pPr>
        <w:pStyle w:val="Heading3"/>
        <w:spacing w:after="120" w:before="240"/>
      </w:pPr>
      <w:r>
        <w:rPr>
          <w:rFonts w:ascii="Times New Roman" w:cs="Times New Roman" w:eastAsia="Times New Roman" w:hAnsi="Times New Roman"/>
          <w:b/>
          <w:bCs/>
          <w:sz w:val="26"/>
          <w:szCs w:val="26"/>
        </w:rPr>
        <w:t xml:space="preserve">7.3.1 RabbitMQ Consumer</w:t>
      </w:r>
    </w:p>
    <w:p>
      <w:pPr>
        <w:spacing w:after="180" w:line="360" w:lineRule="auto"/>
        <w:jc w:val="both"/>
      </w:pPr>
      <w:r>
        <w:rPr>
          <w:rFonts w:ascii="Times New Roman" w:cs="Times New Roman" w:eastAsia="Times New Roman" w:hAnsi="Times New Roman"/>
          <w:sz w:val="24"/>
          <w:szCs w:val="24"/>
        </w:rPr>
        <w:t xml:space="preserve">`connectAndConsume` creates one durable queue per event type (`notification-service.case-created`, `…case-reported`, `…case-resolved`), each bound to the `snappark` topic exchange with the matching routing key. `prefetch(1)` delivers at most one unacknowledged message at a time. Each queue uses `x-dead-letter-exchange: ""` and `x-dead-letter-routing-key: &lt;queue&gt;.dlq` so unprocessable messages are captured rather than dropped. The handler `ack`s on success or `nack`s on failure; the requeue flag is `!msg.fields.redelivered`, giving a transient failure one retry before the message is sent to the DLQ.</w:t>
      </w:r>
    </w:p>
    <w:p>
      <w:pPr>
        <w:pStyle w:val="Heading3"/>
        <w:spacing w:after="120" w:before="240"/>
      </w:pPr>
      <w:r>
        <w:rPr>
          <w:rFonts w:ascii="Times New Roman" w:cs="Times New Roman" w:eastAsia="Times New Roman" w:hAnsi="Times New Roman"/>
          <w:b/>
          <w:bCs/>
          <w:sz w:val="26"/>
          <w:szCs w:val="26"/>
        </w:rPr>
        <w:t xml:space="preserve">7.3.2 Dispatcher and Message Builders</w:t>
      </w:r>
    </w:p>
    <w:p>
      <w:pPr>
        <w:spacing w:after="180" w:line="360" w:lineRule="auto"/>
        <w:jc w:val="both"/>
      </w:pPr>
      <w:r>
        <w:rPr>
          <w:rFonts w:ascii="Times New Roman" w:cs="Times New Roman" w:eastAsia="Times New Roman" w:hAnsi="Times New Roman"/>
          <w:sz w:val="24"/>
          <w:szCs w:val="24"/>
        </w:rPr>
        <w:t xml:space="preserve">Three `buildMessage` closures produce content per event. The `caseRef` helper returns `"vehicle &lt;licensePlate&gt;"` when the event carries a plate, falling back to `"case &lt;shortId&gt;…"` — a one-line function with an outsized effect on user engagement. The `case.created` builder branches on `violationConfirmed` to produce one of two messages; both share the same `subject` field (Listing 7.1).</w:t>
      </w:r>
    </w:p>
    <w:p>
      <w:pPr>
        <w:shd w:fill="F4F4F4" w:val="clear"/>
        <w:spacing w:after="0" w:before="0" w:line="240" w:lineRule="auto"/>
        <w:ind w:left="360"/>
        <w:jc w:val="left"/>
      </w:pPr>
      <w:r>
        <w:rPr>
          <w:rFonts w:ascii="Consolas" w:cs="Consolas" w:eastAsia="Consolas" w:hAnsi="Consolas"/>
          <w:sz w:val="18"/>
          <w:szCs w:val="18"/>
        </w:rPr>
        <w:t xml:space="preserve">const buildMessage = {</w:t>
      </w:r>
    </w:p>
    <w:p>
      <w:pPr>
        <w:shd w:fill="F4F4F4" w:val="clear"/>
        <w:spacing w:after="0" w:before="0" w:line="240" w:lineRule="auto"/>
        <w:ind w:left="360"/>
        <w:jc w:val="left"/>
      </w:pPr>
      <w:r>
        <w:rPr>
          <w:rFonts w:ascii="Consolas" w:cs="Consolas" w:eastAsia="Consolas" w:hAnsi="Consolas"/>
          <w:sz w:val="18"/>
          <w:szCs w:val="18"/>
        </w:rPr>
        <w:t xml:space="preserve">  'case.created': (event) =&gt; {</w:t>
      </w:r>
    </w:p>
    <w:p>
      <w:pPr>
        <w:shd w:fill="F4F4F4" w:val="clear"/>
        <w:spacing w:after="0" w:before="0" w:line="240" w:lineRule="auto"/>
        <w:ind w:left="360"/>
        <w:jc w:val="left"/>
      </w:pPr>
      <w:r>
        <w:rPr>
          <w:rFonts w:ascii="Consolas" w:cs="Consolas" w:eastAsia="Consolas" w:hAnsi="Consolas"/>
          <w:sz w:val="18"/>
          <w:szCs w:val="18"/>
        </w:rPr>
        <w:t xml:space="preserve">    const ref = caseRef(event);</w:t>
      </w:r>
    </w:p>
    <w:p>
      <w:pPr>
        <w:shd w:fill="F4F4F4" w:val="clear"/>
        <w:spacing w:after="0" w:before="0" w:line="240" w:lineRule="auto"/>
        <w:ind w:left="360"/>
        <w:jc w:val="left"/>
      </w:pPr>
      <w:r>
        <w:rPr>
          <w:rFonts w:ascii="Consolas" w:cs="Consolas" w:eastAsia="Consolas" w:hAnsi="Consolas"/>
          <w:sz w:val="18"/>
          <w:szCs w:val="18"/>
        </w:rPr>
        <w:t xml:space="preserve">    const violationLabel = event.violationConfirmed</w:t>
      </w:r>
    </w:p>
    <w:p>
      <w:pPr>
        <w:shd w:fill="F4F4F4" w:val="clear"/>
        <w:spacing w:after="0" w:before="0" w:line="240" w:lineRule="auto"/>
        <w:ind w:left="360"/>
        <w:jc w:val="left"/>
      </w:pPr>
      <w:r>
        <w:rPr>
          <w:rFonts w:ascii="Consolas" w:cs="Consolas" w:eastAsia="Consolas" w:hAnsi="Consolas"/>
          <w:sz w:val="18"/>
          <w:szCs w:val="18"/>
        </w:rPr>
        <w:t xml:space="preserve">      ? `Violation detected: ${event.violationType} `</w:t>
      </w:r>
    </w:p>
    <w:p>
      <w:pPr>
        <w:shd w:fill="F4F4F4" w:val="clear"/>
        <w:spacing w:after="0" w:before="0" w:line="240" w:lineRule="auto"/>
        <w:ind w:left="360"/>
        <w:jc w:val="left"/>
      </w:pPr>
      <w:r>
        <w:rPr>
          <w:rFonts w:ascii="Consolas" w:cs="Consolas" w:eastAsia="Consolas" w:hAnsi="Consolas"/>
          <w:sz w:val="18"/>
          <w:szCs w:val="18"/>
        </w:rPr>
        <w:t xml:space="preserve">        + `(confidence: ${(event.confidence * 100).toFixed(0)}%)`</w:t>
      </w:r>
    </w:p>
    <w:p>
      <w:pPr>
        <w:shd w:fill="F4F4F4" w:val="clear"/>
        <w:spacing w:after="0" w:before="0" w:line="240" w:lineRule="auto"/>
        <w:ind w:left="360"/>
        <w:jc w:val="left"/>
      </w:pPr>
      <w:r>
        <w:rPr>
          <w:rFonts w:ascii="Consolas" w:cs="Consolas" w:eastAsia="Consolas" w:hAnsi="Consolas"/>
          <w:sz w:val="18"/>
          <w:szCs w:val="18"/>
        </w:rPr>
        <w:t xml:space="preserve">      : 'No violation detected in the submitted image.';</w:t>
      </w:r>
    </w:p>
    <w:p>
      <w:pPr>
        <w:shd w:fill="F4F4F4" w:val="clear"/>
        <w:spacing w:after="0" w:before="0" w:line="240" w:lineRule="auto"/>
        <w:ind w:left="360"/>
        <w:jc w:val="left"/>
      </w:pPr>
      <w:r>
        <w:rPr>
          <w:rFonts w:ascii="Consolas" w:cs="Consolas" w:eastAsia="Consolas" w:hAnsi="Consolas"/>
          <w:sz w:val="18"/>
          <w:szCs w:val="18"/>
        </w:rPr>
        <w:t xml:space="preserve">    return {</w:t>
      </w:r>
    </w:p>
    <w:p>
      <w:pPr>
        <w:shd w:fill="F4F4F4" w:val="clear"/>
        <w:spacing w:after="0" w:before="0" w:line="240" w:lineRule="auto"/>
        <w:ind w:left="360"/>
        <w:jc w:val="left"/>
      </w:pPr>
      <w:r>
        <w:rPr>
          <w:rFonts w:ascii="Consolas" w:cs="Consolas" w:eastAsia="Consolas" w:hAnsi="Consolas"/>
          <w:sz w:val="18"/>
          <w:szCs w:val="18"/>
        </w:rPr>
        <w:t xml:space="preserve">      message: `Your parking report for ${ref} has been analysed. ${violationLabel}`,</w:t>
      </w:r>
    </w:p>
    <w:p>
      <w:pPr>
        <w:shd w:fill="F4F4F4" w:val="clear"/>
        <w:spacing w:after="0" w:before="0" w:line="240" w:lineRule="auto"/>
        <w:ind w:left="360"/>
        <w:jc w:val="left"/>
      </w:pPr>
      <w:r>
        <w:rPr>
          <w:rFonts w:ascii="Consolas" w:cs="Consolas" w:eastAsia="Consolas" w:hAnsi="Consolas"/>
          <w:sz w:val="18"/>
          <w:szCs w:val="18"/>
        </w:rPr>
        <w:t xml:space="preserve">      subject: event.violationConfirmed</w:t>
      </w:r>
    </w:p>
    <w:p>
      <w:pPr>
        <w:shd w:fill="F4F4F4" w:val="clear"/>
        <w:spacing w:after="0" w:before="0" w:line="240" w:lineRule="auto"/>
        <w:ind w:left="360"/>
        <w:jc w:val="left"/>
      </w:pPr>
      <w:r>
        <w:rPr>
          <w:rFonts w:ascii="Consolas" w:cs="Consolas" w:eastAsia="Consolas" w:hAnsi="Consolas"/>
          <w:sz w:val="18"/>
          <w:szCs w:val="18"/>
        </w:rPr>
        <w:t xml:space="preserve">        ? `Violation Detected — ${event.violationType} (${ref})`</w:t>
      </w:r>
    </w:p>
    <w:p>
      <w:pPr>
        <w:shd w:fill="F4F4F4" w:val="clear"/>
        <w:spacing w:after="0" w:before="0" w:line="240" w:lineRule="auto"/>
        <w:ind w:left="360"/>
        <w:jc w:val="left"/>
      </w:pPr>
      <w:r>
        <w:rPr>
          <w:rFonts w:ascii="Consolas" w:cs="Consolas" w:eastAsia="Consolas" w:hAnsi="Consolas"/>
          <w:sz w:val="18"/>
          <w:szCs w:val="18"/>
        </w:rPr>
        <w:t xml:space="preserve">        : `Parking Report — No Violation Found (${ref})`,</w:t>
      </w:r>
    </w:p>
    <w:p>
      <w:pPr>
        <w:shd w:fill="F4F4F4" w:val="clear"/>
        <w:spacing w:after="0" w:before="0" w:line="240" w:lineRule="auto"/>
        <w:ind w:left="360"/>
        <w:jc w:val="left"/>
      </w:pPr>
      <w:r>
        <w:rPr>
          <w:rFonts w:ascii="Consolas" w:cs="Consolas" w:eastAsia="Consolas" w:hAnsi="Consolas"/>
          <w:sz w:val="18"/>
          <w:szCs w:val="18"/>
        </w:rPr>
        <w:t xml:space="preserve">      metadata: { eventType: 'case.created', caseId: event.id, ... },</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  ...</w:t>
      </w:r>
    </w:p>
    <w:p>
      <w:pPr>
        <w:shd w:fill="F4F4F4" w:val="clear"/>
        <w:spacing w:after="0" w:before="0" w:line="240" w:lineRule="auto"/>
        <w:ind w:left="360"/>
        <w:jc w:val="left"/>
      </w:pPr>
      <w:r>
        <w:rPr>
          <w:rFonts w:ascii="Consolas" w:cs="Consolas" w:eastAsia="Consolas" w:hAnsi="Consolas"/>
          <w:sz w:val="18"/>
          <w:szCs w:val="18"/>
        </w:rPr>
        <w:t xml:space="preserve">};</w:t>
      </w:r>
    </w:p>
    <w:p>
      <w:pPr>
        <w:spacing w:after="240" w:before="60" w:line="360" w:lineRule="auto"/>
        <w:jc w:val="center"/>
      </w:pPr>
      <w:r>
        <w:rPr>
          <w:rFonts w:ascii="Times New Roman" w:cs="Times New Roman" w:eastAsia="Times New Roman" w:hAnsi="Times New Roman"/>
          <w:i/>
          <w:iCs/>
          <w:sz w:val="22"/>
          <w:szCs w:val="22"/>
        </w:rPr>
        <w:t xml:space="preserve">Listing 7.1: The case.created message builder (dispatcher.js)</w:t>
      </w:r>
    </w:p>
    <w:p>
      <w:pPr>
        <w:pStyle w:val="Heading3"/>
        <w:spacing w:after="120" w:before="240"/>
      </w:pPr>
      <w:r>
        <w:rPr>
          <w:rFonts w:ascii="Times New Roman" w:cs="Times New Roman" w:eastAsia="Times New Roman" w:hAnsi="Times New Roman"/>
          <w:b/>
          <w:bCs/>
          <w:sz w:val="26"/>
          <w:szCs w:val="26"/>
        </w:rPr>
        <w:t xml:space="preserve">7.3.3 Delivery Log and the notification.failed Feedback Loop</w:t>
      </w:r>
    </w:p>
    <w:p>
      <w:pPr>
        <w:spacing w:after="180" w:line="360" w:lineRule="auto"/>
        <w:jc w:val="both"/>
      </w:pPr>
      <w:r>
        <w:rPr>
          <w:rFonts w:ascii="Times New Roman" w:cs="Times New Roman" w:eastAsia="Times New Roman" w:hAnsi="Times New Roman"/>
          <w:sz w:val="24"/>
          <w:szCs w:val="24"/>
        </w:rPr>
        <w:t xml:space="preserve">After every channel attempt the dispatcher inserts a row into `delivery_log` (channel, outcome status `sent`|`failed`, provider response object, any error). The log is exposed through `GET /notifications/delivery-log/:caseId` and is the primary evidence for FR8. When every outcome is `success: false`, `publishNotificationFailed` is called with the saga id from the incoming event; the saga listener in the Violation Analysis Service then appends a `NotificationFailed` entry and marks the case `notification_failed`. The compensation policy is deliberately conservative: the case itself is not rolled back because the AI analysis is still useful regardless of whether the notification was delivered.</w:t>
      </w:r>
    </w:p>
    <w:p>
      <w:pPr>
        <w:pStyle w:val="Heading3"/>
        <w:spacing w:after="120" w:before="240"/>
      </w:pPr>
      <w:r>
        <w:rPr>
          <w:rFonts w:ascii="Times New Roman" w:cs="Times New Roman" w:eastAsia="Times New Roman" w:hAnsi="Times New Roman"/>
          <w:b/>
          <w:bCs/>
          <w:sz w:val="26"/>
          <w:szCs w:val="26"/>
        </w:rPr>
        <w:t xml:space="preserve">7.3.4 Notification Preferences and the In-App Channel</w:t>
      </w:r>
    </w:p>
    <w:p>
      <w:pPr>
        <w:spacing w:after="180" w:line="360" w:lineRule="auto"/>
        <w:jc w:val="both"/>
      </w:pPr>
      <w:r>
        <w:rPr>
          <w:rFonts w:ascii="Times New Roman" w:cs="Times New Roman" w:eastAsia="Times New Roman" w:hAnsi="Times New Roman"/>
          <w:sz w:val="24"/>
          <w:szCs w:val="24"/>
        </w:rPr>
        <w:t xml:space="preserve">`notification_preferences` holds one row per user with boolean columns for each channel and address columns (`email_addr`, `phone`, `fcm_token`). A new citizen has no row until their first case: the dispatcher upserts a default row with `in_app = true` and `email = true`, pre-filling `email_addr` from the event's `userEmail`. This auto-create-on-first-use satisfies the requirement that a citizen receives at least one notification without first visiting Settings. The `InAppChannel` stores the notification in the `notifications` table and returns the row UUID as `providerResponse.notificationId`. `GET /notifications`, `PATCH /notifications/:id/read`, and `GET /notifications/unread-count/:userId` round out the in-app feed; the unread-count endpoint is polled every 30 seconds by the web client.</w:t>
      </w:r>
    </w:p>
    <w:p>
      <w:pPr>
        <w:pStyle w:val="Heading2"/>
        <w:spacing w:after="180" w:before="360"/>
      </w:pPr>
      <w:r>
        <w:rPr>
          <w:rFonts w:ascii="Times New Roman" w:cs="Times New Roman" w:eastAsia="Times New Roman" w:hAnsi="Times New Roman"/>
          <w:b/>
          <w:bCs/>
          <w:sz w:val="30"/>
          <w:szCs w:val="30"/>
        </w:rPr>
        <w:t xml:space="preserve">7.4 Testing</w:t>
      </w:r>
    </w:p>
    <w:p>
      <w:pPr>
        <w:spacing w:after="180" w:line="360" w:lineRule="auto"/>
        <w:jc w:val="both"/>
      </w:pPr>
      <w:r>
        <w:rPr>
          <w:rFonts w:ascii="Times New Roman" w:cs="Times New Roman" w:eastAsia="Times New Roman" w:hAnsi="Times New Roman"/>
          <w:sz w:val="24"/>
          <w:szCs w:val="24"/>
        </w:rPr>
        <w:t xml:space="preserve">81 tests across 7 files. `dispatcher.test.js` (25) exercises every event type with all four channels in combination, preference auto-creation, and the all-channels-failed path that publishes `notification.failed`. `dispatcher-branches.test.js` (16) covers boundary paths (unknown event type, `caseRef` fallback, partial channel failures). `channels.test.js`/`channels-impl.test.js` test the abstraction layer and the concrete EmailChannel/InAppChannel. `channels-registry.test.js` verifies graceful start-up with missing credentials. `db.test.js` covers the snake_case-to-camelCase normalisation in `upsertNotificationPreferences`. `routes.test.js` exercises the full HTTP surface through Supertest including the `PUT /preferences/:userId` endpoint that accepts both camelCase and snake_case. Coverage:</w:t>
      </w:r>
    </w:p>
    <w:p>
      <w:pPr>
        <w:shd w:fill="F4F4F4" w:val="clear"/>
        <w:spacing w:after="0" w:before="0" w:line="240" w:lineRule="auto"/>
        <w:ind w:left="360"/>
        <w:jc w:val="left"/>
      </w:pPr>
      <w:r>
        <w:rPr>
          <w:rFonts w:ascii="Consolas" w:cs="Consolas" w:eastAsia="Consolas" w:hAnsi="Consolas"/>
          <w:sz w:val="18"/>
          <w:szCs w:val="18"/>
        </w:rPr>
        <w:t xml:space="preserve">Notification Service</w:t>
      </w:r>
    </w:p>
    <w:p>
      <w:pPr>
        <w:shd w:fill="F4F4F4" w:val="clear"/>
        <w:spacing w:after="0" w:before="0" w:line="240" w:lineRule="auto"/>
        <w:ind w:left="360"/>
        <w:jc w:val="left"/>
      </w:pPr>
      <w:r>
        <w:rPr>
          <w:rFonts w:ascii="Consolas" w:cs="Consolas" w:eastAsia="Consolas" w:hAnsi="Consolas"/>
          <w:sz w:val="18"/>
          <w:szCs w:val="18"/>
        </w:rPr>
        <w:t xml:space="preserve">  Statement coverage:            93.52%  (231/247)</w:t>
      </w:r>
    </w:p>
    <w:p>
      <w:pPr>
        <w:shd w:fill="F4F4F4" w:val="clear"/>
        <w:spacing w:after="0" w:before="0" w:line="240" w:lineRule="auto"/>
        <w:ind w:left="360"/>
        <w:jc w:val="left"/>
      </w:pPr>
      <w:r>
        <w:rPr>
          <w:rFonts w:ascii="Consolas" w:cs="Consolas" w:eastAsia="Consolas" w:hAnsi="Consolas"/>
          <w:sz w:val="18"/>
          <w:szCs w:val="18"/>
        </w:rPr>
        <w:t xml:space="preserve">  Decision coverage:             94.20%  (130/138)</w:t>
      </w:r>
    </w:p>
    <w:p>
      <w:pPr>
        <w:shd w:fill="F4F4F4" w:val="clear"/>
        <w:spacing w:after="0" w:before="0" w:line="240" w:lineRule="auto"/>
        <w:ind w:left="360"/>
        <w:jc w:val="left"/>
      </w:pPr>
      <w:r>
        <w:rPr>
          <w:rFonts w:ascii="Consolas" w:cs="Consolas" w:eastAsia="Consolas" w:hAnsi="Consolas"/>
          <w:sz w:val="18"/>
          <w:szCs w:val="18"/>
        </w:rPr>
        <w:t xml:space="preserve">  Condition coverage:            88.41%  (115/130)</w:t>
      </w:r>
    </w:p>
    <w:p>
      <w:pPr>
        <w:shd w:fill="F4F4F4" w:val="clear"/>
        <w:spacing w:after="0" w:before="0" w:line="240" w:lineRule="auto"/>
        <w:ind w:left="360"/>
        <w:jc w:val="left"/>
      </w:pPr>
      <w:r>
        <w:rPr>
          <w:rFonts w:ascii="Consolas" w:cs="Consolas" w:eastAsia="Consolas" w:hAnsi="Consolas"/>
          <w:sz w:val="18"/>
          <w:szCs w:val="18"/>
        </w:rPr>
        <w:t xml:space="preserve">  Decision/Condition coverage:   91.27%  (245/268)</w:t>
      </w:r>
    </w:p>
    <w:p>
      <w:pPr>
        <w:spacing w:after="240" w:before="60" w:line="360" w:lineRule="auto"/>
        <w:jc w:val="center"/>
      </w:pPr>
      <w:r>
        <w:rPr>
          <w:rFonts w:ascii="Times New Roman" w:cs="Times New Roman" w:eastAsia="Times New Roman" w:hAnsi="Times New Roman"/>
          <w:i/>
          <w:iCs/>
          <w:sz w:val="22"/>
          <w:szCs w:val="22"/>
        </w:rPr>
        <w:t xml:space="preserve">Listing 7.2: IEEE-982 coverage for Increment 3</w:t>
      </w:r>
    </w:p>
    <w:p>
      <w:pPr>
        <w:spacing w:after="180" w:line="360" w:lineRule="auto"/>
        <w:jc w:val="both"/>
      </w:pPr>
      <w:r>
        <w:rPr>
          <w:rFonts w:ascii="Times New Roman" w:cs="Times New Roman" w:eastAsia="Times New Roman" w:hAnsi="Times New Roman"/>
          <w:sz w:val="24"/>
          <w:szCs w:val="24"/>
        </w:rPr>
        <w:t xml:space="preserve">Condition coverage is slightly lower than decision coverage because several compound booleans in the dispatcher (the three-part filter on `enabledChannels`) and the registry guards in `channels/index.js` (the `if (process.env.SMTP_HOST &amp;&amp; …)` clauses) are difficult to exercise in both directions within a single test run.</w:t>
      </w:r>
    </w:p>
    <w:p>
      <w:pPr>
        <w:pStyle w:val="Heading2"/>
        <w:spacing w:after="180" w:before="360"/>
      </w:pPr>
      <w:r>
        <w:rPr>
          <w:rFonts w:ascii="Times New Roman" w:cs="Times New Roman" w:eastAsia="Times New Roman" w:hAnsi="Times New Roman"/>
          <w:b/>
          <w:bCs/>
          <w:sz w:val="30"/>
          <w:szCs w:val="30"/>
        </w:rPr>
        <w:t xml:space="preserve">7.5 Evaluation</w:t>
      </w:r>
    </w:p>
    <w:p>
      <w:pPr>
        <w:spacing w:after="180" w:line="360" w:lineRule="auto"/>
        <w:jc w:val="both"/>
      </w:pPr>
      <w:r>
        <w:rPr>
          <w:rFonts w:ascii="Times New Roman" w:cs="Times New Roman" w:eastAsia="Times New Roman" w:hAnsi="Times New Roman"/>
          <w:sz w:val="24"/>
          <w:szCs w:val="24"/>
        </w:rPr>
        <w:t xml:space="preserve">FR7 and FR8 are fully satisfied. NFR5 is demonstrably satisfied: a fifth channel can be added by writing a class that extends `BaseChannel`, dropping it alongside the existing four, and adding one `channels.set()` call — no other file in the service changes and no other service is aware of the new channel's existence. The service is the lightest of the three core microservices in terms of domain logic but arguably the most instructive architecturally: it shows that the event-driven paradigm enables an almost-pure application of the Open–Closed Principle to notification dispatch.</w:t>
      </w:r>
    </w:p>
    <w:p>
      <w:pPr>
        <w:pStyle w:val="Heading1"/>
        <w:pageBreakBefore/>
        <w:spacing w:after="360" w:before="0"/>
      </w:pPr>
      <w:r>
        <w:rPr>
          <w:rFonts w:ascii="Times New Roman" w:cs="Times New Roman" w:eastAsia="Times New Roman" w:hAnsi="Times New Roman"/>
          <w:b/>
          <w:bCs/>
          <w:sz w:val="36"/>
          <w:szCs w:val="36"/>
        </w:rPr>
        <w:t xml:space="preserve">Chapter 8
Increment 4 — Web Frontend, Deployment and Orchestration</w:t>
      </w:r>
    </w:p>
    <w:p>
      <w:pPr>
        <w:spacing w:after="180" w:line="360" w:lineRule="auto"/>
        <w:jc w:val="both"/>
      </w:pPr>
      <w:r>
        <w:rPr>
          <w:rFonts w:ascii="Times New Roman" w:cs="Times New Roman" w:eastAsia="Times New Roman" w:hAnsi="Times New Roman"/>
          <w:sz w:val="24"/>
          <w:szCs w:val="24"/>
        </w:rPr>
        <w:t xml:space="preserve">The three preceding increments delivered a fully functional backend: a working API Gateway, an Authentication Service, a Violation Analysis Service complete with its orchestrated saga and vector similarity index, and a Notification Service that fans out to multiple channels. Without a user-facing client, however, the platform exists only as a set of HTTP endpoints navigable only through `curl` or a REST client. The fourth increment addresses this gap with two parallel streams of work: the web frontend, which gives citizens and administrators a polished interface for every journey the system supports, and the deployment layer, which packages the entire platform as a Docker Compose stack for local development and a set of Kubernetes manifests for cloud deployment.</w:t>
      </w:r>
    </w:p>
    <w:p>
      <w:pPr>
        <w:pStyle w:val="Heading2"/>
        <w:spacing w:after="180" w:before="360"/>
      </w:pPr>
      <w:r>
        <w:rPr>
          <w:rFonts w:ascii="Times New Roman" w:cs="Times New Roman" w:eastAsia="Times New Roman" w:hAnsi="Times New Roman"/>
          <w:b/>
          <w:bCs/>
          <w:sz w:val="30"/>
          <w:szCs w:val="30"/>
        </w:rPr>
        <w:t xml:space="preserve">8.1 Analysis</w:t>
      </w:r>
    </w:p>
    <w:p>
      <w:pPr>
        <w:spacing w:after="180" w:line="360" w:lineRule="auto"/>
        <w:jc w:val="both"/>
      </w:pPr>
      <w:r>
        <w:rPr>
          <w:rFonts w:ascii="Times New Roman" w:cs="Times New Roman" w:eastAsia="Times New Roman" w:hAnsi="Times New Roman"/>
          <w:sz w:val="24"/>
          <w:szCs w:val="24"/>
        </w:rPr>
        <w:t xml:space="preserve">The frontend exposes FR1, FR2, FR3, FR4, FR5, FR6, and FR9. NFR1–NFR3 apply indirectly through the JWT-based authentication scheme; NFR7 (deployability) is satisfied by Docker Compose and Kubernetes. </w:t>
      </w:r>
      <w:r>
        <w:rPr>
          <w:rFonts w:ascii="Times New Roman" w:cs="Times New Roman" w:eastAsia="Times New Roman" w:hAnsi="Times New Roman"/>
          <w:b/>
          <w:bCs/>
          <w:sz w:val="24"/>
          <w:szCs w:val="24"/>
        </w:rPr>
        <w:t xml:space="preserve">Next.js [43] was chosen over a plain Vite+React SPA, Vue [81], Angular [82], and SvelteKit [83]</w:t>
      </w:r>
      <w:r>
        <w:rPr>
          <w:rFonts w:ascii="Times New Roman" w:cs="Times New Roman" w:eastAsia="Times New Roman" w:hAnsi="Times New Roman"/>
          <w:sz w:val="24"/>
          <w:szCs w:val="24"/>
        </w:rPr>
        <w:t xml:space="preserve"> for three reasons: (i) its App Router makes file-system-based routing trivial (a new directory + `page.tsx` is a new route); (ii) server-side rendering gives public pages fully-populated HTML, helping accessibility and first-paint; (iii) Next.js is the most widely documented React framework in industry and aligns with the expectations of an employer reviewing a portfolio project. </w:t>
      </w:r>
      <w:r>
        <w:rPr>
          <w:rFonts w:ascii="Times New Roman" w:cs="Times New Roman" w:eastAsia="Times New Roman" w:hAnsi="Times New Roman"/>
          <w:b/>
          <w:bCs/>
          <w:sz w:val="24"/>
          <w:szCs w:val="24"/>
        </w:rPr>
        <w:t xml:space="preserve">TypeScript [84] is used throughout</w:t>
      </w:r>
      <w:r>
        <w:rPr>
          <w:rFonts w:ascii="Times New Roman" w:cs="Times New Roman" w:eastAsia="Times New Roman" w:hAnsi="Times New Roman"/>
          <w:sz w:val="24"/>
          <w:szCs w:val="24"/>
        </w:rPr>
        <w:t xml:space="preserve"> to catch shape mismatches between client and server at compile time. </w:t>
      </w:r>
      <w:r>
        <w:rPr>
          <w:rFonts w:ascii="Times New Roman" w:cs="Times New Roman" w:eastAsia="Times New Roman" w:hAnsi="Times New Roman"/>
          <w:b/>
          <w:bCs/>
          <w:sz w:val="24"/>
          <w:szCs w:val="24"/>
        </w:rPr>
        <w:t xml:space="preserve">Tailwind CSS [85] was preferred over Material UI [86], Bootstrap [87], and Chakra UI [88]</w:t>
      </w:r>
      <w:r>
        <w:rPr>
          <w:rFonts w:ascii="Times New Roman" w:cs="Times New Roman" w:eastAsia="Times New Roman" w:hAnsi="Times New Roman"/>
          <w:sz w:val="24"/>
          <w:szCs w:val="24"/>
        </w:rPr>
        <w:t xml:space="preserve"> because the custom visual language of SnapPark is more naturally expressed through utility classes than through a pre-built theme, and because Tailwind's tree-shaking produces the smallest production CSS bundle of the four. A mobile-native client (React Native / Flutter) was ruled out because the requirements specify a web application and a single codebase keeps the dissertation focused.</w:t>
      </w:r>
    </w:p>
    <w:p>
      <w:pPr>
        <w:pStyle w:val="Heading2"/>
        <w:spacing w:after="180" w:before="360"/>
      </w:pPr>
      <w:r>
        <w:rPr>
          <w:rFonts w:ascii="Times New Roman" w:cs="Times New Roman" w:eastAsia="Times New Roman" w:hAnsi="Times New Roman"/>
          <w:b/>
          <w:bCs/>
          <w:sz w:val="30"/>
          <w:szCs w:val="30"/>
        </w:rPr>
        <w:t xml:space="preserve">8.2 Design</w:t>
      </w:r>
    </w:p>
    <w:p>
      <w:pPr>
        <w:spacing w:after="180" w:line="360" w:lineRule="auto"/>
        <w:jc w:val="both"/>
      </w:pPr>
      <w:r>
        <w:rPr>
          <w:rFonts w:ascii="Times New Roman" w:cs="Times New Roman" w:eastAsia="Times New Roman" w:hAnsi="Times New Roman"/>
          <w:sz w:val="24"/>
          <w:szCs w:val="24"/>
        </w:rPr>
        <w:t xml:space="preserve">The app is structured around two route groups in the Next.js App Router. </w:t>
      </w:r>
      <w:r>
        <w:rPr>
          <w:rFonts w:ascii="Times New Roman" w:cs="Times New Roman" w:eastAsia="Times New Roman" w:hAnsi="Times New Roman"/>
          <w:b/>
          <w:bCs/>
          <w:sz w:val="24"/>
          <w:szCs w:val="24"/>
        </w:rPr>
        <w:t xml:space="preserve">Unauthenticated:</w:t>
      </w:r>
      <w:r>
        <w:rPr>
          <w:rFonts w:ascii="Times New Roman" w:cs="Times New Roman" w:eastAsia="Times New Roman" w:hAnsi="Times New Roman"/>
          <w:sz w:val="24"/>
          <w:szCs w:val="24"/>
        </w:rPr>
        <w:t xml:space="preserve"> `/` (landing), `/register`, `/verify-otp`, `/login`, `/forgot-password`, `/reset-password`. </w:t>
      </w:r>
      <w:r>
        <w:rPr>
          <w:rFonts w:ascii="Times New Roman" w:cs="Times New Roman" w:eastAsia="Times New Roman" w:hAnsi="Times New Roman"/>
          <w:b/>
          <w:bCs/>
          <w:sz w:val="24"/>
          <w:szCs w:val="24"/>
        </w:rPr>
        <w:t xml:space="preserve">Authenticated</w:t>
      </w:r>
      <w:r>
        <w:rPr>
          <w:rFonts w:ascii="Times New Roman" w:cs="Times New Roman" w:eastAsia="Times New Roman" w:hAnsi="Times New Roman"/>
          <w:sz w:val="24"/>
          <w:szCs w:val="24"/>
        </w:rPr>
        <w:t xml:space="preserve"> (wrapped in a layout that enforces a valid JWT and renders the dashboard navigation): `/dashboard`, `/upload`, `/cases/[id]`, `/notifications`, `/settings`, `/admin`. The admin route additionally enforces the `admin` role claim; non-admin users see a 403.</w:t>
      </w:r>
    </w:p>
    <w:p>
      <w:pPr>
        <w:spacing w:after="60" w:before="240" w:line="360" w:lineRule="auto"/>
        <w:jc w:val="center"/>
      </w:pPr>
      <w:r>
        <w:rPr>
          <w:rFonts w:ascii="Times New Roman" w:cs="Times New Roman" w:eastAsia="Times New Roman" w:hAnsi="Times New Roman"/>
          <w:i/>
          <w:iCs/>
          <w:color w:val="808080"/>
          <w:sz w:val="24"/>
          <w:szCs w:val="24"/>
        </w:rPr>
        <w:t xml:space="preserve">[ Figure 8.1: Next.js App Router directory structure showing the authenticated and unauthenticated route groups — insert image here ]</w:t>
      </w:r>
    </w:p>
    <w:p>
      <w:pPr>
        <w:spacing w:after="240" w:before="0" w:line="360" w:lineRule="auto"/>
        <w:jc w:val="center"/>
      </w:pPr>
      <w:r>
        <w:rPr>
          <w:rFonts w:ascii="Times New Roman" w:cs="Times New Roman" w:eastAsia="Times New Roman" w:hAnsi="Times New Roman"/>
          <w:i/>
          <w:iCs/>
          <w:sz w:val="22"/>
          <w:szCs w:val="22"/>
        </w:rPr>
        <w:t xml:space="preserve">Figure 8.1: Next.js App Router directory structure</w:t>
      </w:r>
    </w:p>
    <w:p>
      <w:pPr>
        <w:spacing w:after="180" w:line="360" w:lineRule="auto"/>
        <w:jc w:val="both"/>
      </w:pPr>
      <w:r>
        <w:rPr>
          <w:rFonts w:ascii="Times New Roman" w:cs="Times New Roman" w:eastAsia="Times New Roman" w:hAnsi="Times New Roman"/>
          <w:sz w:val="24"/>
          <w:szCs w:val="24"/>
        </w:rPr>
        <w:t xml:space="preserve">The JWT is stored in `localStorage` and attached as `Authorization: Bearer …` by the centralised client in `src/lib/api.ts`. This is a pragmatic choice for a coursework project; a production deployment would prefer `httpOnly` cookies to eliminate XSS as an attack vector on the token [22, 89]. The cookie approach requires server-side Next.js route handlers that would add implementation complexity without pedagogical benefit. The trade-off is documented in Section 9.3. Every layout is responsive from 375 px (small phone) to 1440 px (desktop) through Tailwind's `sm:`/`md:`/`lg:` breakpoint prefixes.</w:t>
      </w:r>
    </w:p>
    <w:p>
      <w:pPr>
        <w:pStyle w:val="Heading2"/>
        <w:spacing w:after="180" w:before="360"/>
      </w:pPr>
      <w:r>
        <w:rPr>
          <w:rFonts w:ascii="Times New Roman" w:cs="Times New Roman" w:eastAsia="Times New Roman" w:hAnsi="Times New Roman"/>
          <w:b/>
          <w:bCs/>
          <w:sz w:val="30"/>
          <w:szCs w:val="30"/>
        </w:rPr>
        <w:t xml:space="preserve">8.3 Implementation</w:t>
      </w:r>
    </w:p>
    <w:p>
      <w:pPr>
        <w:pStyle w:val="Heading3"/>
        <w:spacing w:after="120" w:before="240"/>
      </w:pPr>
      <w:r>
        <w:rPr>
          <w:rFonts w:ascii="Times New Roman" w:cs="Times New Roman" w:eastAsia="Times New Roman" w:hAnsi="Times New Roman"/>
          <w:b/>
          <w:bCs/>
          <w:sz w:val="26"/>
          <w:szCs w:val="26"/>
        </w:rPr>
        <w:t xml:space="preserve">8.3.1 Key Pages and Components</w:t>
      </w:r>
    </w:p>
    <w:p>
      <w:pPr>
        <w:spacing w:after="18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upload page</w:t>
      </w:r>
      <w:r>
        <w:rPr>
          <w:rFonts w:ascii="Times New Roman" w:cs="Times New Roman" w:eastAsia="Times New Roman" w:hAnsi="Times New Roman"/>
          <w:sz w:val="24"/>
          <w:szCs w:val="24"/>
        </w:rPr>
        <w:t xml:space="preserve"> is the most interaction-dense screen: file input for up to five images with a thumbnail grid preview, a `LocationPicker` that embeds a Google Maps iframe and writes lat/lng to hidden form fields, a license-plate text input, and a submit button. The </w:t>
      </w:r>
      <w:r>
        <w:rPr>
          <w:rFonts w:ascii="Times New Roman" w:cs="Times New Roman" w:eastAsia="Times New Roman" w:hAnsi="Times New Roman"/>
          <w:b/>
          <w:bCs/>
          <w:sz w:val="24"/>
          <w:szCs w:val="24"/>
        </w:rPr>
        <w:t xml:space="preserve">`OtpInput`</w:t>
      </w:r>
      <w:r>
        <w:rPr>
          <w:rFonts w:ascii="Times New Roman" w:cs="Times New Roman" w:eastAsia="Times New Roman" w:hAnsi="Times New Roman"/>
          <w:sz w:val="24"/>
          <w:szCs w:val="24"/>
        </w:rPr>
        <w:t xml:space="preserve"> component renders four single-character inputs that behave as one logical field: typing a digit advances focus, Backspace retreats, and pasting a four-digit string fills all four at once. The </w:t>
      </w:r>
      <w:r>
        <w:rPr>
          <w:rFonts w:ascii="Times New Roman" w:cs="Times New Roman" w:eastAsia="Times New Roman" w:hAnsi="Times New Roman"/>
          <w:b/>
          <w:bCs/>
          <w:sz w:val="24"/>
          <w:szCs w:val="24"/>
        </w:rPr>
        <w:t xml:space="preserve">`StatusBadge`</w:t>
      </w:r>
      <w:r>
        <w:rPr>
          <w:rFonts w:ascii="Times New Roman" w:cs="Times New Roman" w:eastAsia="Times New Roman" w:hAnsi="Times New Roman"/>
          <w:sz w:val="24"/>
          <w:szCs w:val="24"/>
        </w:rPr>
        <w:t xml:space="preserve"> maps each case status to a colour token (blue=pending, yellow=in-progress, green=completed, grey=cancelled, red=notification-failed). The </w:t>
      </w:r>
      <w:r>
        <w:rPr>
          <w:rFonts w:ascii="Times New Roman" w:cs="Times New Roman" w:eastAsia="Times New Roman" w:hAnsi="Times New Roman"/>
          <w:b/>
          <w:bCs/>
          <w:sz w:val="24"/>
          <w:szCs w:val="24"/>
        </w:rPr>
        <w:t xml:space="preserve">`DashboardNav`</w:t>
      </w:r>
      <w:r>
        <w:rPr>
          <w:rFonts w:ascii="Times New Roman" w:cs="Times New Roman" w:eastAsia="Times New Roman" w:hAnsi="Times New Roman"/>
          <w:sz w:val="24"/>
          <w:szCs w:val="24"/>
        </w:rPr>
        <w:t xml:space="preserve"> highlights the active route via `usePathname` and polls `unread-count` every 30 seconds (polling preferred over WebSockets for implementation simplicity; the load is negligible at this scale). The </w:t>
      </w:r>
      <w:r>
        <w:rPr>
          <w:rFonts w:ascii="Times New Roman" w:cs="Times New Roman" w:eastAsia="Times New Roman" w:hAnsi="Times New Roman"/>
          <w:b/>
          <w:bCs/>
          <w:sz w:val="24"/>
          <w:szCs w:val="24"/>
        </w:rPr>
        <w:t xml:space="preserve">admin panel</w:t>
      </w:r>
      <w:r>
        <w:rPr>
          <w:rFonts w:ascii="Times New Roman" w:cs="Times New Roman" w:eastAsia="Times New Roman" w:hAnsi="Times New Roman"/>
          <w:sz w:val="24"/>
          <w:szCs w:val="24"/>
        </w:rPr>
        <w:t xml:space="preserve"> (`/admin`, admin role only) fetches the paginated all-cases listing from `GET /violations/cases` and renders Report and Resolve action buttons per row.</w:t>
      </w:r>
    </w:p>
    <w:p>
      <w:pPr>
        <w:pStyle w:val="Heading3"/>
        <w:spacing w:after="120" w:before="240"/>
      </w:pPr>
      <w:r>
        <w:rPr>
          <w:rFonts w:ascii="Times New Roman" w:cs="Times New Roman" w:eastAsia="Times New Roman" w:hAnsi="Times New Roman"/>
          <w:b/>
          <w:bCs/>
          <w:sz w:val="26"/>
          <w:szCs w:val="26"/>
        </w:rPr>
        <w:t xml:space="preserve">8.3.2 API Client and Type Definitions</w:t>
      </w:r>
    </w:p>
    <w:p>
      <w:pPr>
        <w:spacing w:after="180" w:line="360" w:lineRule="auto"/>
        <w:jc w:val="both"/>
      </w:pPr>
      <w:r>
        <w:rPr>
          <w:rFonts w:ascii="Times New Roman" w:cs="Times New Roman" w:eastAsia="Times New Roman" w:hAnsi="Times New Roman"/>
          <w:sz w:val="24"/>
          <w:szCs w:val="24"/>
        </w:rPr>
        <w:t xml:space="preserve">`src/lib/api.ts` exports a single `apiRequest` function that wraps `fetch`, attaches the stored JWT, serialises JSON or `FormData`, and normalises errors into a typed `ApiError`. All pages go through this function, guaranteeing token injection and error normalisation at a single site. The TypeScript types in `src/lib/types.ts` mirror the API response shapes documented in `docs/api/api-reference.md`, making the compiler an additional line of defence against client/server mismatches.</w:t>
      </w:r>
    </w:p>
    <w:p>
      <w:pPr>
        <w:pStyle w:val="Heading3"/>
        <w:spacing w:after="120" w:before="240"/>
      </w:pPr>
      <w:r>
        <w:rPr>
          <w:rFonts w:ascii="Times New Roman" w:cs="Times New Roman" w:eastAsia="Times New Roman" w:hAnsi="Times New Roman"/>
          <w:b/>
          <w:bCs/>
          <w:sz w:val="26"/>
          <w:szCs w:val="26"/>
        </w:rPr>
        <w:t xml:space="preserve">8.3.3 Docker Compose and Kubernetes Manifests</w:t>
      </w:r>
    </w:p>
    <w:p>
      <w:pPr>
        <w:spacing w:after="180" w:line="360" w:lineRule="auto"/>
        <w:jc w:val="both"/>
      </w:pPr>
      <w:r>
        <w:rPr>
          <w:rFonts w:ascii="Times New Roman" w:cs="Times New Roman" w:eastAsia="Times New Roman" w:hAnsi="Times New Roman"/>
          <w:sz w:val="24"/>
          <w:szCs w:val="24"/>
        </w:rPr>
        <w:t xml:space="preserve">The root `docker-compose.yml` declares six services: `api-gateway`, `auth-service`, `violation-service`, `notification-service`, `postgres`, `rabbitmq`. Microservice images are built from each directory's Dockerfile; infrastructure uses the official `postgres:15-alpine` and `rabbitmq:3.13-management` images. Health-check conditions serialise start-up order. The `deployment/kubernetes/` directory ships </w:t>
      </w:r>
      <w:r>
        <w:rPr>
          <w:rFonts w:ascii="Times New Roman" w:cs="Times New Roman" w:eastAsia="Times New Roman" w:hAnsi="Times New Roman"/>
          <w:b/>
          <w:bCs/>
          <w:sz w:val="24"/>
          <w:szCs w:val="24"/>
        </w:rPr>
        <w:t xml:space="preserve">12 manifests</w:t>
      </w:r>
      <w:r>
        <w:rPr>
          <w:rFonts w:ascii="Times New Roman" w:cs="Times New Roman" w:eastAsia="Times New Roman" w:hAnsi="Times New Roman"/>
          <w:sz w:val="24"/>
          <w:szCs w:val="24"/>
        </w:rPr>
        <w:t xml:space="preserve">: `namespace.yaml` (isolation); `configmap.yaml` (non-secret config); `secrets.example.yaml` (documenting required secrets without values); `Deployment` + `Service` per microservice and for RabbitMQ; a </w:t>
      </w:r>
      <w:r>
        <w:rPr>
          <w:rFonts w:ascii="Times New Roman" w:cs="Times New Roman" w:eastAsia="Times New Roman" w:hAnsi="Times New Roman"/>
          <w:b/>
          <w:bCs/>
          <w:sz w:val="24"/>
          <w:szCs w:val="24"/>
        </w:rPr>
        <w:t xml:space="preserve">`StatefulSet`</w:t>
      </w:r>
      <w:r>
        <w:rPr>
          <w:rFonts w:ascii="Times New Roman" w:cs="Times New Roman" w:eastAsia="Times New Roman" w:hAnsi="Times New Roman"/>
          <w:sz w:val="24"/>
          <w:szCs w:val="24"/>
        </w:rPr>
        <w:t xml:space="preserve"> for PostgreSQL (to reattach the PV correctly after restart); an </w:t>
      </w:r>
      <w:r>
        <w:rPr>
          <w:rFonts w:ascii="Times New Roman" w:cs="Times New Roman" w:eastAsia="Times New Roman" w:hAnsi="Times New Roman"/>
          <w:b/>
          <w:bCs/>
          <w:sz w:val="24"/>
          <w:szCs w:val="24"/>
        </w:rPr>
        <w:t xml:space="preserve">`Ingress`</w:t>
      </w:r>
      <w:r>
        <w:rPr>
          <w:rFonts w:ascii="Times New Roman" w:cs="Times New Roman" w:eastAsia="Times New Roman" w:hAnsi="Times New Roman"/>
          <w:sz w:val="24"/>
          <w:szCs w:val="24"/>
        </w:rPr>
        <w:t xml:space="preserve"> routing to the gateway via an NGINX ingress controller; and a </w:t>
      </w:r>
      <w:r>
        <w:rPr>
          <w:rFonts w:ascii="Times New Roman" w:cs="Times New Roman" w:eastAsia="Times New Roman" w:hAnsi="Times New Roman"/>
          <w:b/>
          <w:bCs/>
          <w:sz w:val="24"/>
          <w:szCs w:val="24"/>
        </w:rPr>
        <w:t xml:space="preserve">`HorizontalPodAutoscaler`</w:t>
      </w:r>
      <w:r>
        <w:rPr>
          <w:rFonts w:ascii="Times New Roman" w:cs="Times New Roman" w:eastAsia="Times New Roman" w:hAnsi="Times New Roman"/>
          <w:sz w:val="24"/>
          <w:szCs w:val="24"/>
        </w:rPr>
        <w:t xml:space="preserve"> scaling the Violation Analysis Service between 1 and 5 replicas on CPU utilisation, satisfying Objective 1. The manifests are validated by `kubectl apply --dry-run=client` in CI; a live cluster deployment is future work (Section 10.2).</w:t>
      </w:r>
    </w:p>
    <w:p>
      <w:pPr>
        <w:pStyle w:val="Heading2"/>
        <w:spacing w:after="180" w:before="360"/>
      </w:pPr>
      <w:r>
        <w:rPr>
          <w:rFonts w:ascii="Times New Roman" w:cs="Times New Roman" w:eastAsia="Times New Roman" w:hAnsi="Times New Roman"/>
          <w:b/>
          <w:bCs/>
          <w:sz w:val="30"/>
          <w:szCs w:val="30"/>
        </w:rPr>
        <w:t xml:space="preserve">8.4 Testing</w:t>
      </w:r>
    </w:p>
    <w:p>
      <w:pPr>
        <w:spacing w:after="180" w:line="360" w:lineRule="auto"/>
        <w:jc w:val="both"/>
      </w:pPr>
      <w:r>
        <w:rPr>
          <w:rFonts w:ascii="Times New Roman" w:cs="Times New Roman" w:eastAsia="Times New Roman" w:hAnsi="Times New Roman"/>
          <w:sz w:val="24"/>
          <w:szCs w:val="24"/>
        </w:rPr>
        <w:t xml:space="preserve">The frontend uses </w:t>
      </w:r>
      <w:r>
        <w:rPr>
          <w:rFonts w:ascii="Times New Roman" w:cs="Times New Roman" w:eastAsia="Times New Roman" w:hAnsi="Times New Roman"/>
          <w:b/>
          <w:bCs/>
          <w:sz w:val="24"/>
          <w:szCs w:val="24"/>
        </w:rPr>
        <w:t xml:space="preserve">Vitest [69]</w:t>
      </w:r>
      <w:r>
        <w:rPr>
          <w:rFonts w:ascii="Times New Roman" w:cs="Times New Roman" w:eastAsia="Times New Roman" w:hAnsi="Times New Roman"/>
          <w:sz w:val="24"/>
          <w:szCs w:val="24"/>
        </w:rPr>
        <w:t xml:space="preserve"> with the `jsdom` environment and </w:t>
      </w:r>
      <w:r>
        <w:rPr>
          <w:rFonts w:ascii="Times New Roman" w:cs="Times New Roman" w:eastAsia="Times New Roman" w:hAnsi="Times New Roman"/>
          <w:b/>
          <w:bCs/>
          <w:sz w:val="24"/>
          <w:szCs w:val="24"/>
        </w:rPr>
        <w:t xml:space="preserve">React Testing Library</w:t>
      </w:r>
      <w:r>
        <w:rPr>
          <w:rFonts w:ascii="Times New Roman" w:cs="Times New Roman" w:eastAsia="Times New Roman" w:hAnsi="Times New Roman"/>
          <w:sz w:val="24"/>
          <w:szCs w:val="24"/>
        </w:rPr>
        <w:t xml:space="preserve"> [90]. Vitest was chosen over Jest [67] for the frontend because Vitest natively supports the ES-module + TypeScript pipeline used by Next.js and is roughly an order of magnitude faster in watch mode on this codebase. 57 tests across 10 files cover all six reusable components and the three utility modules. Component tests interact through the RTL accessibility API (preferring `getByRole` over `getByTestId` for robustness). A global `afterEach(() =&gt; cleanup())` in `vitest.setup.ts` unmounts every tree to prevent state leakage. The API client tests mock global `fetch` and `localStorage`; `format.ts` and `auth.ts` tests cover their respective helpers. Coverage:</w:t>
      </w:r>
    </w:p>
    <w:p>
      <w:pPr>
        <w:shd w:fill="F4F4F4" w:val="clear"/>
        <w:spacing w:after="0" w:before="0" w:line="240" w:lineRule="auto"/>
        <w:ind w:left="360"/>
        <w:jc w:val="left"/>
      </w:pPr>
      <w:r>
        <w:rPr>
          <w:rFonts w:ascii="Consolas" w:cs="Consolas" w:eastAsia="Consolas" w:hAnsi="Consolas"/>
          <w:sz w:val="18"/>
          <w:szCs w:val="18"/>
        </w:rPr>
        <w:t xml:space="preserve">Web Frontend (Next.js / React)</w:t>
      </w:r>
    </w:p>
    <w:p>
      <w:pPr>
        <w:shd w:fill="F4F4F4" w:val="clear"/>
        <w:spacing w:after="0" w:before="0" w:line="240" w:lineRule="auto"/>
        <w:ind w:left="360"/>
        <w:jc w:val="left"/>
      </w:pPr>
      <w:r>
        <w:rPr>
          <w:rFonts w:ascii="Consolas" w:cs="Consolas" w:eastAsia="Consolas" w:hAnsi="Consolas"/>
          <w:sz w:val="18"/>
          <w:szCs w:val="18"/>
        </w:rPr>
        <w:t xml:space="preserve">  Statement coverage:            98.39%  (184/187)</w:t>
      </w:r>
    </w:p>
    <w:p>
      <w:pPr>
        <w:shd w:fill="F4F4F4" w:val="clear"/>
        <w:spacing w:after="0" w:before="0" w:line="240" w:lineRule="auto"/>
        <w:ind w:left="360"/>
        <w:jc w:val="left"/>
      </w:pPr>
      <w:r>
        <w:rPr>
          <w:rFonts w:ascii="Consolas" w:cs="Consolas" w:eastAsia="Consolas" w:hAnsi="Consolas"/>
          <w:sz w:val="18"/>
          <w:szCs w:val="18"/>
        </w:rPr>
        <w:t xml:space="preserve">  Decision coverage:             90.22%  (120/133)</w:t>
      </w:r>
    </w:p>
    <w:p>
      <w:pPr>
        <w:shd w:fill="F4F4F4" w:val="clear"/>
        <w:spacing w:after="0" w:before="0" w:line="240" w:lineRule="auto"/>
        <w:ind w:left="360"/>
        <w:jc w:val="left"/>
      </w:pPr>
      <w:r>
        <w:rPr>
          <w:rFonts w:ascii="Consolas" w:cs="Consolas" w:eastAsia="Consolas" w:hAnsi="Consolas"/>
          <w:sz w:val="18"/>
          <w:szCs w:val="18"/>
        </w:rPr>
        <w:t xml:space="preserve">  Condition coverage:            87.22%  (116/133)</w:t>
      </w:r>
    </w:p>
    <w:p>
      <w:pPr>
        <w:shd w:fill="F4F4F4" w:val="clear"/>
        <w:spacing w:after="0" w:before="0" w:line="240" w:lineRule="auto"/>
        <w:ind w:left="360"/>
        <w:jc w:val="left"/>
      </w:pPr>
      <w:r>
        <w:rPr>
          <w:rFonts w:ascii="Consolas" w:cs="Consolas" w:eastAsia="Consolas" w:hAnsi="Consolas"/>
          <w:sz w:val="18"/>
          <w:szCs w:val="18"/>
        </w:rPr>
        <w:t xml:space="preserve">  Decision/Condition coverage:   88.67%  (236/266)</w:t>
      </w:r>
    </w:p>
    <w:p>
      <w:pPr>
        <w:spacing w:after="240" w:before="60" w:line="360" w:lineRule="auto"/>
        <w:jc w:val="center"/>
      </w:pPr>
      <w:r>
        <w:rPr>
          <w:rFonts w:ascii="Times New Roman" w:cs="Times New Roman" w:eastAsia="Times New Roman" w:hAnsi="Times New Roman"/>
          <w:i/>
          <w:iCs/>
          <w:sz w:val="22"/>
          <w:szCs w:val="22"/>
        </w:rPr>
        <w:t xml:space="preserve">Listing 8.1: IEEE-982 coverage for Increment 4 (frontend)</w:t>
      </w:r>
    </w:p>
    <w:p>
      <w:pPr>
        <w:spacing w:after="180" w:line="360" w:lineRule="auto"/>
        <w:jc w:val="both"/>
      </w:pPr>
      <w:r>
        <w:rPr>
          <w:rFonts w:ascii="Times New Roman" w:cs="Times New Roman" w:eastAsia="Times New Roman" w:hAnsi="Times New Roman"/>
          <w:sz w:val="24"/>
          <w:szCs w:val="24"/>
        </w:rPr>
        <w:t xml:space="preserve">Statement coverage is exceptionally high at 98.39%. Decision and condition coverage are lower because several branches in `auth.ts` (fallback paths for corrupted JWT payloads) and `LocationPicker` (the Google-Maps-failed-to-load guard) are difficult to trigger through RTL without exposing implementation details.</w:t>
      </w:r>
    </w:p>
    <w:p>
      <w:pPr>
        <w:pStyle w:val="Heading2"/>
        <w:spacing w:after="180" w:before="360"/>
      </w:pPr>
      <w:r>
        <w:rPr>
          <w:rFonts w:ascii="Times New Roman" w:cs="Times New Roman" w:eastAsia="Times New Roman" w:hAnsi="Times New Roman"/>
          <w:b/>
          <w:bCs/>
          <w:sz w:val="30"/>
          <w:szCs w:val="30"/>
        </w:rPr>
        <w:t xml:space="preserve">8.5 Evaluation</w:t>
      </w:r>
    </w:p>
    <w:p>
      <w:pPr>
        <w:spacing w:after="180" w:line="360" w:lineRule="auto"/>
        <w:jc w:val="both"/>
      </w:pPr>
      <w:r>
        <w:rPr>
          <w:rFonts w:ascii="Times New Roman" w:cs="Times New Roman" w:eastAsia="Times New Roman" w:hAnsi="Times New Roman"/>
          <w:sz w:val="24"/>
          <w:szCs w:val="24"/>
        </w:rPr>
        <w:t xml:space="preserve">The fourth increment completes the full citizen and admin journeys: FR1–FR9 are all accessible through the web client, and the deployment layer provides a path to production. NFR7 is satisfied by Docker Compose for development and Kubernetes for production, with the documented gap that the manifests have not been applied to a live cluster. Two design choices warrant re-examination: storing the JWT in `localStorage` (a security trade-off acknowledged in the risk register and Section 9.3) and the 30-second polling for the unread-count badge (a production system would prefer server-sent events or WebSockets [91], but both add gateway complexity out of scope here).</w:t>
      </w:r>
    </w:p>
    <w:p>
      <w:pPr>
        <w:pStyle w:val="Heading1"/>
        <w:pageBreakBefore/>
        <w:spacing w:after="360" w:before="0"/>
      </w:pPr>
      <w:r>
        <w:rPr>
          <w:rFonts w:ascii="Times New Roman" w:cs="Times New Roman" w:eastAsia="Times New Roman" w:hAnsi="Times New Roman"/>
          <w:b/>
          <w:bCs/>
          <w:sz w:val="36"/>
          <w:szCs w:val="36"/>
        </w:rPr>
        <w:t xml:space="preserve">Chapter 9
Evaluation</w:t>
      </w:r>
    </w:p>
    <w:p>
      <w:pPr>
        <w:spacing w:after="180" w:line="360" w:lineRule="auto"/>
        <w:jc w:val="both"/>
      </w:pPr>
      <w:r>
        <w:rPr>
          <w:rFonts w:ascii="Times New Roman" w:cs="Times New Roman" w:eastAsia="Times New Roman" w:hAnsi="Times New Roman"/>
          <w:sz w:val="24"/>
          <w:szCs w:val="24"/>
        </w:rPr>
        <w:t xml:space="preserve">This chapter evaluates the SnapPark system as a whole against the objectives stated in Chapter 1 (Section 9.1), provides a consolidated IEEE-982 coverage analysis across all five system components (Section 9.2), and discusses the principal limitations of the current implementation and the threats to the validity of the evaluation (Section 9.3).</w:t>
      </w:r>
    </w:p>
    <w:p>
      <w:pPr>
        <w:pStyle w:val="Heading2"/>
        <w:spacing w:after="180" w:before="360"/>
      </w:pPr>
      <w:r>
        <w:rPr>
          <w:rFonts w:ascii="Times New Roman" w:cs="Times New Roman" w:eastAsia="Times New Roman" w:hAnsi="Times New Roman"/>
          <w:b/>
          <w:bCs/>
          <w:sz w:val="30"/>
          <w:szCs w:val="30"/>
        </w:rPr>
        <w:t xml:space="preserve">9.1 Evaluation Against Objectives</w:t>
      </w:r>
    </w:p>
    <w:p>
      <w:pPr>
        <w:spacing w:after="180" w:line="360" w:lineRule="auto"/>
        <w:jc w:val="both"/>
      </w:pPr>
      <w:r>
        <w:rPr>
          <w:rFonts w:ascii="Times New Roman" w:cs="Times New Roman" w:eastAsia="Times New Roman" w:hAnsi="Times New Roman"/>
          <w:sz w:val="24"/>
          <w:szCs w:val="24"/>
        </w:rPr>
        <w:t xml:space="preserve">Six objectives were stated at the outset of the project. Each is examined below against the evidence provided by the implementation.</w:t>
      </w:r>
    </w:p>
    <w:p>
      <w:pPr>
        <w:pStyle w:val="Heading3"/>
        <w:spacing w:after="120" w:before="240"/>
      </w:pPr>
      <w:r>
        <w:rPr>
          <w:rFonts w:ascii="Times New Roman" w:cs="Times New Roman" w:eastAsia="Times New Roman" w:hAnsi="Times New Roman"/>
          <w:b/>
          <w:bCs/>
          <w:sz w:val="26"/>
          <w:szCs w:val="26"/>
        </w:rPr>
        <w:t xml:space="preserve">9.1.1 Scalability</w:t>
      </w:r>
    </w:p>
    <w:p>
      <w:pPr>
        <w:spacing w:after="180" w:line="360" w:lineRule="auto"/>
        <w:jc w:val="both"/>
      </w:pPr>
      <w:r>
        <w:rPr>
          <w:rFonts w:ascii="Times New Roman" w:cs="Times New Roman" w:eastAsia="Times New Roman" w:hAnsi="Times New Roman"/>
          <w:b/>
          <w:bCs/>
          <w:sz w:val="24"/>
          <w:szCs w:val="24"/>
        </w:rPr>
        <w:t xml:space="preserve">Objective 1</w:t>
      </w:r>
      <w:r>
        <w:rPr>
          <w:rFonts w:ascii="Times New Roman" w:cs="Times New Roman" w:eastAsia="Times New Roman" w:hAnsi="Times New Roman"/>
          <w:sz w:val="24"/>
          <w:szCs w:val="24"/>
        </w:rPr>
        <w:t xml:space="preserve"> is satisfied structurally by the microservices architecture: each service is a separate process with its own image, so a Kubernetes operator can scale the Violation Analysis Service (the most resource-intensive due to Gemini latency) independently of the others. The `HorizontalPodAutoscaler` in `hpa.yaml` automates this between 1 and 5 replicas on CPU utilisation. The API Gateway is stateless and trivially scalable; Database-per-Service ensures that scaling one service does not add load to another's database. The primary limitation is that PostgreSQL runs as a single-node `StatefulSet` rather than a managed cluster; production would substitute a managed service (RDS, Cloud SQL, Azure Database for PostgreSQL) for read replicas and automated failover.</w:t>
      </w:r>
    </w:p>
    <w:p>
      <w:pPr>
        <w:pStyle w:val="Heading3"/>
        <w:spacing w:after="120" w:before="240"/>
      </w:pPr>
      <w:r>
        <w:rPr>
          <w:rFonts w:ascii="Times New Roman" w:cs="Times New Roman" w:eastAsia="Times New Roman" w:hAnsi="Times New Roman"/>
          <w:b/>
          <w:bCs/>
          <w:sz w:val="26"/>
          <w:szCs w:val="26"/>
        </w:rPr>
        <w:t xml:space="preserve">9.1.2 High Availability</w:t>
      </w:r>
    </w:p>
    <w:p>
      <w:pPr>
        <w:spacing w:after="180" w:line="360" w:lineRule="auto"/>
        <w:jc w:val="both"/>
      </w:pPr>
      <w:r>
        <w:rPr>
          <w:rFonts w:ascii="Times New Roman" w:cs="Times New Roman" w:eastAsia="Times New Roman" w:hAnsi="Times New Roman"/>
          <w:b/>
          <w:bCs/>
          <w:sz w:val="24"/>
          <w:szCs w:val="24"/>
        </w:rPr>
        <w:t xml:space="preserve">Objective 2</w:t>
      </w:r>
      <w:r>
        <w:rPr>
          <w:rFonts w:ascii="Times New Roman" w:cs="Times New Roman" w:eastAsia="Times New Roman" w:hAnsi="Times New Roman"/>
          <w:sz w:val="24"/>
          <w:szCs w:val="24"/>
        </w:rPr>
        <w:t xml:space="preserve"> is addressed by three mechanisms: asynchronous messaging (the Violation Analysis Service continues processing uploads even if Notification is down; events queue durably and consume on recovery); saga-with-compensation (partial failures during case creation never leave the database inconsistent); and gateway-side resilience (`express-rate-limit` and Helmet protect the gateway itself, and a downstream timeout returns a cached error rather than hanging). The current implementation lacks a </w:t>
      </w:r>
      <w:r>
        <w:rPr>
          <w:rFonts w:ascii="Times New Roman" w:cs="Times New Roman" w:eastAsia="Times New Roman" w:hAnsi="Times New Roman"/>
          <w:b/>
          <w:bCs/>
          <w:sz w:val="24"/>
          <w:szCs w:val="24"/>
        </w:rPr>
        <w:t xml:space="preserve">circuit breaker</w:t>
      </w:r>
      <w:r>
        <w:rPr>
          <w:rFonts w:ascii="Times New Roman" w:cs="Times New Roman" w:eastAsia="Times New Roman" w:hAnsi="Times New Roman"/>
          <w:sz w:val="24"/>
          <w:szCs w:val="24"/>
        </w:rPr>
        <w:t xml:space="preserve"> [34, 92] on the Gemini call; a future iteration would add `opossum` [92] with exponential back-off and a "temporarily unavailable" fallback response.</w:t>
      </w:r>
    </w:p>
    <w:p>
      <w:pPr>
        <w:pStyle w:val="Heading3"/>
        <w:spacing w:after="120" w:before="240"/>
      </w:pPr>
      <w:r>
        <w:rPr>
          <w:rFonts w:ascii="Times New Roman" w:cs="Times New Roman" w:eastAsia="Times New Roman" w:hAnsi="Times New Roman"/>
          <w:b/>
          <w:bCs/>
          <w:sz w:val="26"/>
          <w:szCs w:val="26"/>
        </w:rPr>
        <w:t xml:space="preserve">9.1.3 Security</w:t>
      </w:r>
    </w:p>
    <w:p>
      <w:pPr>
        <w:spacing w:after="180" w:line="360" w:lineRule="auto"/>
        <w:jc w:val="both"/>
      </w:pPr>
      <w:r>
        <w:rPr>
          <w:rFonts w:ascii="Times New Roman" w:cs="Times New Roman" w:eastAsia="Times New Roman" w:hAnsi="Times New Roman"/>
          <w:b/>
          <w:bCs/>
          <w:sz w:val="24"/>
          <w:szCs w:val="24"/>
        </w:rPr>
        <w:t xml:space="preserve">Objective 3</w:t>
      </w:r>
      <w:r>
        <w:rPr>
          <w:rFonts w:ascii="Times New Roman" w:cs="Times New Roman" w:eastAsia="Times New Roman" w:hAnsi="Times New Roman"/>
          <w:sz w:val="24"/>
          <w:szCs w:val="24"/>
        </w:rPr>
        <w:t xml:space="preserve"> is satisfied: JWT verification runs in the gateway before any forwarding; downstream services receive only the pre-verified `X-User-Id` and `X-User-Role` headers; passwords are bcrypt-hashed at cost factor 12 [32]; access tokens expire in one hour; refresh tokens rotate on every use with the previous token recorded as revoked; `express-rate-limit` enforces 100 req/15 min/IP [33]; Helmet [45] sets 11 standard security headers. The acknowledged gap is `localStorage` JWT storage (XSS-vulnerable); `httpOnly` cookie storage is in the future-work backlog.</w:t>
      </w:r>
    </w:p>
    <w:p>
      <w:pPr>
        <w:pStyle w:val="Heading3"/>
        <w:spacing w:after="120" w:before="240"/>
      </w:pPr>
      <w:r>
        <w:rPr>
          <w:rFonts w:ascii="Times New Roman" w:cs="Times New Roman" w:eastAsia="Times New Roman" w:hAnsi="Times New Roman"/>
          <w:b/>
          <w:bCs/>
          <w:sz w:val="26"/>
          <w:szCs w:val="26"/>
        </w:rPr>
        <w:t xml:space="preserve">9.1.4 Auditability</w:t>
      </w:r>
    </w:p>
    <w:p>
      <w:pPr>
        <w:spacing w:after="180" w:line="360" w:lineRule="auto"/>
        <w:jc w:val="both"/>
      </w:pPr>
      <w:r>
        <w:rPr>
          <w:rFonts w:ascii="Times New Roman" w:cs="Times New Roman" w:eastAsia="Times New Roman" w:hAnsi="Times New Roman"/>
          <w:b/>
          <w:bCs/>
          <w:sz w:val="24"/>
          <w:szCs w:val="24"/>
        </w:rPr>
        <w:t xml:space="preserve">Objective 4</w:t>
      </w:r>
      <w:r>
        <w:rPr>
          <w:rFonts w:ascii="Times New Roman" w:cs="Times New Roman" w:eastAsia="Times New Roman" w:hAnsi="Times New Roman"/>
          <w:sz w:val="24"/>
          <w:szCs w:val="24"/>
        </w:rPr>
        <w:t xml:space="preserve"> is satisfied by three append-only audit trails: `case_audit_log` in the Violation Analysis Service (every case state change), the `history` JSON column of the `sagas` table (every step start, completion, compensation, and failure of the orchestrated saga), and `delivery_log` in the Notification Service (every channel dispatch with provider response). All three are accessible through dedicated API endpoints.</w:t>
      </w:r>
    </w:p>
    <w:p>
      <w:pPr>
        <w:pStyle w:val="Heading3"/>
        <w:spacing w:after="120" w:before="240"/>
      </w:pPr>
      <w:r>
        <w:rPr>
          <w:rFonts w:ascii="Times New Roman" w:cs="Times New Roman" w:eastAsia="Times New Roman" w:hAnsi="Times New Roman"/>
          <w:b/>
          <w:bCs/>
          <w:sz w:val="26"/>
          <w:szCs w:val="26"/>
        </w:rPr>
        <w:t xml:space="preserve">9.1.5 Extensibility</w:t>
      </w:r>
    </w:p>
    <w:p>
      <w:pPr>
        <w:spacing w:after="180" w:line="360" w:lineRule="auto"/>
        <w:jc w:val="both"/>
      </w:pPr>
      <w:r>
        <w:rPr>
          <w:rFonts w:ascii="Times New Roman" w:cs="Times New Roman" w:eastAsia="Times New Roman" w:hAnsi="Times New Roman"/>
          <w:b/>
          <w:bCs/>
          <w:sz w:val="24"/>
          <w:szCs w:val="24"/>
        </w:rPr>
        <w:t xml:space="preserve">Objective 5</w:t>
      </w:r>
      <w:r>
        <w:rPr>
          <w:rFonts w:ascii="Times New Roman" w:cs="Times New Roman" w:eastAsia="Times New Roman" w:hAnsi="Times New Roman"/>
          <w:sz w:val="24"/>
          <w:szCs w:val="24"/>
        </w:rPr>
        <w:t xml:space="preserve"> is demonstrably satisfied. A new notification channel: implement `BaseChannel`, register in `channels/index.js`. A new event consumer: bind a queue to an existing routing key. A new microservice: append its route prefix to the gateway's routing table. The event-driven topology is the primary enabler — publishers have no knowledge of consumers.</w:t>
      </w:r>
    </w:p>
    <w:p>
      <w:pPr>
        <w:pStyle w:val="Heading3"/>
        <w:spacing w:after="120" w:before="240"/>
      </w:pPr>
      <w:r>
        <w:rPr>
          <w:rFonts w:ascii="Times New Roman" w:cs="Times New Roman" w:eastAsia="Times New Roman" w:hAnsi="Times New Roman"/>
          <w:b/>
          <w:bCs/>
          <w:sz w:val="26"/>
          <w:szCs w:val="26"/>
        </w:rPr>
        <w:t xml:space="preserve">9.1.6 Maintainability</w:t>
      </w:r>
    </w:p>
    <w:p>
      <w:pPr>
        <w:spacing w:after="180" w:line="360" w:lineRule="auto"/>
        <w:jc w:val="both"/>
      </w:pPr>
      <w:r>
        <w:rPr>
          <w:rFonts w:ascii="Times New Roman" w:cs="Times New Roman" w:eastAsia="Times New Roman" w:hAnsi="Times New Roman"/>
          <w:b/>
          <w:bCs/>
          <w:sz w:val="24"/>
          <w:szCs w:val="24"/>
        </w:rPr>
        <w:t xml:space="preserve">Objective 6</w:t>
      </w:r>
      <w:r>
        <w:rPr>
          <w:rFonts w:ascii="Times New Roman" w:cs="Times New Roman" w:eastAsia="Times New Roman" w:hAnsi="Times New Roman"/>
          <w:sz w:val="24"/>
          <w:szCs w:val="24"/>
        </w:rPr>
        <w:t xml:space="preserve"> is satisfied. The service line counts (Gateway ≈450, Auth ≈600, Violation ≈1,400 — largest due to the saga and embedding modules — Notification ≈550) are all in the range a single developer can hold in working memory. Every service has its own `package.json`, test configuration, and Dockerfile and can be tested and containerised in isolation. The test suites (44 gateway + 97 auth + 120 violation + 81 notification + 57 frontend = </w:t>
      </w:r>
      <w:r>
        <w:rPr>
          <w:rFonts w:ascii="Times New Roman" w:cs="Times New Roman" w:eastAsia="Times New Roman" w:hAnsi="Times New Roman"/>
          <w:b/>
          <w:bCs/>
          <w:sz w:val="24"/>
          <w:szCs w:val="24"/>
        </w:rPr>
        <w:t xml:space="preserve">399 automated tests</w:t>
      </w:r>
      <w:r>
        <w:rPr>
          <w:rFonts w:ascii="Times New Roman" w:cs="Times New Roman" w:eastAsia="Times New Roman" w:hAnsi="Times New Roman"/>
          <w:sz w:val="24"/>
          <w:szCs w:val="24"/>
        </w:rPr>
        <w:t xml:space="preserve">) provide the safety net that makes refactoring low-risk.</w:t>
      </w:r>
    </w:p>
    <w:p>
      <w:pPr>
        <w:pStyle w:val="Heading2"/>
        <w:spacing w:after="180" w:before="360"/>
      </w:pPr>
      <w:r>
        <w:rPr>
          <w:rFonts w:ascii="Times New Roman" w:cs="Times New Roman" w:eastAsia="Times New Roman" w:hAnsi="Times New Roman"/>
          <w:b/>
          <w:bCs/>
          <w:sz w:val="30"/>
          <w:szCs w:val="30"/>
        </w:rPr>
        <w:t xml:space="preserve">9.2 Consolidated Coverage Analysis</w:t>
      </w:r>
    </w:p>
    <w:p>
      <w:pPr>
        <w:spacing w:after="180" w:line="360" w:lineRule="auto"/>
        <w:jc w:val="both"/>
      </w:pPr>
      <w:r>
        <w:rPr>
          <w:rFonts w:ascii="Times New Roman" w:cs="Times New Roman" w:eastAsia="Times New Roman" w:hAnsi="Times New Roman"/>
          <w:sz w:val="24"/>
          <w:szCs w:val="24"/>
        </w:rPr>
        <w:t xml:space="preserve">Table 9.1 presents the IEEE-982 four-metric coverage analysis consolidated across all five components of the SnapPark platform. The figures are drawn from the coverage listings presented at the end of each increment chapter.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74"/>
        <w:gridCol w:w="1649"/>
        <w:gridCol w:w="1649"/>
        <w:gridCol w:w="1649"/>
        <w:gridCol w:w="1651"/>
      </w:tblGrid>
      <w:tr>
        <w:trPr>
          <w:tblHeader/>
        </w:trPr>
        <w:tc>
          <w:tcPr>
            <w:tcW w:type="dxa" w:w="2474"/>
            <w:tcBorders>
              <w:top w:val="single" w:color="888888" w:sz="4"/>
              <w:left w:val="single" w:color="888888" w:sz="4"/>
              <w:bottom w:val="single" w:color="888888" w:sz="4"/>
              <w:right w:val="single" w:color="888888" w:sz="4"/>
            </w:tcBorders>
            <w:shd w:fill="E8E8E8"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Component</w:t>
            </w:r>
          </w:p>
        </w:tc>
        <w:tc>
          <w:tcPr>
            <w:tcW w:type="dxa" w:w="1649"/>
            <w:tcBorders>
              <w:top w:val="single" w:color="888888" w:sz="4"/>
              <w:left w:val="single" w:color="888888" w:sz="4"/>
              <w:bottom w:val="single" w:color="888888" w:sz="4"/>
              <w:right w:val="single" w:color="888888" w:sz="4"/>
            </w:tcBorders>
            <w:shd w:fill="E8E8E8"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Statement</w:t>
            </w:r>
          </w:p>
        </w:tc>
        <w:tc>
          <w:tcPr>
            <w:tcW w:type="dxa" w:w="1649"/>
            <w:tcBorders>
              <w:top w:val="single" w:color="888888" w:sz="4"/>
              <w:left w:val="single" w:color="888888" w:sz="4"/>
              <w:bottom w:val="single" w:color="888888" w:sz="4"/>
              <w:right w:val="single" w:color="888888" w:sz="4"/>
            </w:tcBorders>
            <w:shd w:fill="E8E8E8"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Decision</w:t>
            </w:r>
          </w:p>
        </w:tc>
        <w:tc>
          <w:tcPr>
            <w:tcW w:type="dxa" w:w="1649"/>
            <w:tcBorders>
              <w:top w:val="single" w:color="888888" w:sz="4"/>
              <w:left w:val="single" w:color="888888" w:sz="4"/>
              <w:bottom w:val="single" w:color="888888" w:sz="4"/>
              <w:right w:val="single" w:color="888888" w:sz="4"/>
            </w:tcBorders>
            <w:shd w:fill="E8E8E8"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Condition</w:t>
            </w:r>
          </w:p>
        </w:tc>
        <w:tc>
          <w:tcPr>
            <w:tcW w:type="dxa" w:w="1651"/>
            <w:tcBorders>
              <w:top w:val="single" w:color="888888" w:sz="4"/>
              <w:left w:val="single" w:color="888888" w:sz="4"/>
              <w:bottom w:val="single" w:color="888888" w:sz="4"/>
              <w:right w:val="single" w:color="888888" w:sz="4"/>
            </w:tcBorders>
            <w:shd w:fill="E8E8E8"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D/C Combined</w:t>
            </w:r>
          </w:p>
        </w:tc>
      </w:tr>
      <w:tr>
        <w:tc>
          <w:tcPr>
            <w:tcW w:type="dxa" w:w="2474"/>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sz w:val="20"/>
                <w:szCs w:val="20"/>
              </w:rPr>
              <w:t xml:space="preserve">API Gateway</w:t>
            </w:r>
          </w:p>
        </w:tc>
        <w:tc>
          <w:tcPr>
            <w:tcW w:type="dxa" w:w="1649"/>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89.4% (311/348)</w:t>
            </w:r>
          </w:p>
        </w:tc>
        <w:tc>
          <w:tcPr>
            <w:tcW w:type="dxa" w:w="1649"/>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86.5% (141/163)</w:t>
            </w:r>
          </w:p>
        </w:tc>
        <w:tc>
          <w:tcPr>
            <w:tcW w:type="dxa" w:w="1649"/>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78.2% (112/143)</w:t>
            </w:r>
          </w:p>
        </w:tc>
        <w:tc>
          <w:tcPr>
            <w:tcW w:type="dxa" w:w="1651"/>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82.0% (253/306)</w:t>
            </w:r>
          </w:p>
        </w:tc>
      </w:tr>
      <w:tr>
        <w:tc>
          <w:tcPr>
            <w:tcW w:type="dxa" w:w="2474"/>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sz w:val="20"/>
                <w:szCs w:val="20"/>
              </w:rPr>
              <w:t xml:space="preserve">Authentication Service</w:t>
            </w:r>
          </w:p>
        </w:tc>
        <w:tc>
          <w:tcPr>
            <w:tcW w:type="dxa" w:w="1649"/>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91.2% (278/305)</w:t>
            </w:r>
          </w:p>
        </w:tc>
        <w:tc>
          <w:tcPr>
            <w:tcW w:type="dxa" w:w="1649"/>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88.7% (150/169)</w:t>
            </w:r>
          </w:p>
        </w:tc>
        <w:tc>
          <w:tcPr>
            <w:tcW w:type="dxa" w:w="1649"/>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83.1% (127/153)</w:t>
            </w:r>
          </w:p>
        </w:tc>
        <w:tc>
          <w:tcPr>
            <w:tcW w:type="dxa" w:w="1651"/>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85.7% (277/322)</w:t>
            </w:r>
          </w:p>
        </w:tc>
      </w:tr>
      <w:tr>
        <w:tc>
          <w:tcPr>
            <w:tcW w:type="dxa" w:w="2474"/>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sz w:val="20"/>
                <w:szCs w:val="20"/>
              </w:rPr>
              <w:t xml:space="preserve">Violation Analysis Svc</w:t>
            </w:r>
          </w:p>
        </w:tc>
        <w:tc>
          <w:tcPr>
            <w:tcW w:type="dxa" w:w="1649"/>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87.1% (528/606)</w:t>
            </w:r>
          </w:p>
        </w:tc>
        <w:tc>
          <w:tcPr>
            <w:tcW w:type="dxa" w:w="1649"/>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83.5% (137/164)</w:t>
            </w:r>
          </w:p>
        </w:tc>
        <w:tc>
          <w:tcPr>
            <w:tcW w:type="dxa" w:w="1649"/>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72.7% (112/154)</w:t>
            </w:r>
          </w:p>
        </w:tc>
        <w:tc>
          <w:tcPr>
            <w:tcW w:type="dxa" w:w="1651"/>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78.3% (249/318)</w:t>
            </w:r>
          </w:p>
        </w:tc>
      </w:tr>
      <w:tr>
        <w:tc>
          <w:tcPr>
            <w:tcW w:type="dxa" w:w="2474"/>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sz w:val="20"/>
                <w:szCs w:val="20"/>
              </w:rPr>
              <w:t xml:space="preserve">Notification Service</w:t>
            </w:r>
          </w:p>
        </w:tc>
        <w:tc>
          <w:tcPr>
            <w:tcW w:type="dxa" w:w="1649"/>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93.5% (231/247)</w:t>
            </w:r>
          </w:p>
        </w:tc>
        <w:tc>
          <w:tcPr>
            <w:tcW w:type="dxa" w:w="1649"/>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94.2% (130/138)</w:t>
            </w:r>
          </w:p>
        </w:tc>
        <w:tc>
          <w:tcPr>
            <w:tcW w:type="dxa" w:w="1649"/>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88.4% (115/130)</w:t>
            </w:r>
          </w:p>
        </w:tc>
        <w:tc>
          <w:tcPr>
            <w:tcW w:type="dxa" w:w="1651"/>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91.3% (245/268)</w:t>
            </w:r>
          </w:p>
        </w:tc>
      </w:tr>
      <w:tr>
        <w:tc>
          <w:tcPr>
            <w:tcW w:type="dxa" w:w="2474"/>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sz w:val="20"/>
                <w:szCs w:val="20"/>
              </w:rPr>
              <w:t xml:space="preserve">Web Frontend</w:t>
            </w:r>
          </w:p>
        </w:tc>
        <w:tc>
          <w:tcPr>
            <w:tcW w:type="dxa" w:w="1649"/>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98.4% (184/187)</w:t>
            </w:r>
          </w:p>
        </w:tc>
        <w:tc>
          <w:tcPr>
            <w:tcW w:type="dxa" w:w="1649"/>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90.2% (120/133)</w:t>
            </w:r>
          </w:p>
        </w:tc>
        <w:tc>
          <w:tcPr>
            <w:tcW w:type="dxa" w:w="1649"/>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87.2% (116/133)</w:t>
            </w:r>
          </w:p>
        </w:tc>
        <w:tc>
          <w:tcPr>
            <w:tcW w:type="dxa" w:w="1651"/>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88.7% (236/266)</w:t>
            </w:r>
          </w:p>
        </w:tc>
      </w:tr>
      <w:tr>
        <w:tc>
          <w:tcPr>
            <w:tcW w:type="dxa" w:w="2474"/>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sz w:val="20"/>
                <w:szCs w:val="20"/>
              </w:rPr>
              <w:t xml:space="preserve">Overall (aggregated)</w:t>
            </w:r>
          </w:p>
        </w:tc>
        <w:tc>
          <w:tcPr>
            <w:tcW w:type="dxa" w:w="1649"/>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91.8% (1532/1693)</w:t>
            </w:r>
          </w:p>
        </w:tc>
        <w:tc>
          <w:tcPr>
            <w:tcW w:type="dxa" w:w="1649"/>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88.2% (678/769)</w:t>
            </w:r>
          </w:p>
        </w:tc>
        <w:tc>
          <w:tcPr>
            <w:tcW w:type="dxa" w:w="1649"/>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81.5% (582/713)</w:t>
            </w:r>
          </w:p>
        </w:tc>
        <w:tc>
          <w:tcPr>
            <w:tcW w:type="dxa" w:w="1651"/>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sz w:val="20"/>
                <w:szCs w:val="20"/>
              </w:rPr>
              <w:t xml:space="preserve">84.6% (1260/1490)</w:t>
            </w:r>
          </w:p>
        </w:tc>
      </w:tr>
    </w:tbl>
    <w:p>
      <w:pPr>
        <w:spacing w:after="240" w:before="60" w:line="360" w:lineRule="auto"/>
        <w:jc w:val="center"/>
      </w:pPr>
      <w:r>
        <w:rPr>
          <w:rFonts w:ascii="Times New Roman" w:cs="Times New Roman" w:eastAsia="Times New Roman" w:hAnsi="Times New Roman"/>
          <w:i/>
          <w:iCs/>
          <w:sz w:val="22"/>
          <w:szCs w:val="22"/>
        </w:rPr>
        <w:t xml:space="preserve">Table 9.1: IEEE-982 coverage summary across all SnapPark components</w:t>
      </w:r>
    </w:p>
    <w:p>
      <w:pPr>
        <w:spacing w:after="180" w:line="360" w:lineRule="auto"/>
        <w:jc w:val="both"/>
      </w:pPr>
      <w:r>
        <w:rPr>
          <w:rFonts w:ascii="Times New Roman" w:cs="Times New Roman" w:eastAsia="Times New Roman" w:hAnsi="Times New Roman"/>
          <w:sz w:val="24"/>
          <w:szCs w:val="24"/>
        </w:rPr>
        <w:t xml:space="preserve">All five components exceed the 85% statement-coverage threshold on at least one metric, and four out of five exceed it on the statement metric alone. The Violation Analysis Service records the lowest condition coverage (72.7%) due to the compound guards on the saga step transitions and the pgvector branch that is only exercisable with a real Gemini API key. The Web Frontend achieves the highest statement coverage (98.4%) because its domain logic is relatively linear and its mocked `fetch` surfaces all branches. The overall aggregated condition coverage of 81.5% falls below the 85% threshold; this is acknowledged as a limitation and is addressed in Section 9.3.</w:t>
      </w:r>
    </w:p>
    <w:p>
      <w:pPr>
        <w:pStyle w:val="Heading2"/>
        <w:spacing w:after="180" w:before="360"/>
      </w:pPr>
      <w:r>
        <w:rPr>
          <w:rFonts w:ascii="Times New Roman" w:cs="Times New Roman" w:eastAsia="Times New Roman" w:hAnsi="Times New Roman"/>
          <w:b/>
          <w:bCs/>
          <w:sz w:val="30"/>
          <w:szCs w:val="30"/>
        </w:rPr>
        <w:t xml:space="preserve">9.3 Limitations and Threats to Validity</w:t>
      </w:r>
    </w:p>
    <w:p>
      <w:pPr>
        <w:spacing w:after="180" w:line="360" w:lineRule="auto"/>
        <w:jc w:val="both"/>
      </w:pPr>
      <w:r>
        <w:rPr>
          <w:rFonts w:ascii="Times New Roman" w:cs="Times New Roman" w:eastAsia="Times New Roman" w:hAnsi="Times New Roman"/>
          <w:b/>
          <w:bCs/>
          <w:sz w:val="24"/>
          <w:szCs w:val="24"/>
        </w:rPr>
        <w:t xml:space="preserve">Coverage measurement.</w:t>
      </w:r>
      <w:r>
        <w:rPr>
          <w:rFonts w:ascii="Times New Roman" w:cs="Times New Roman" w:eastAsia="Times New Roman" w:hAnsi="Times New Roman"/>
          <w:sz w:val="24"/>
          <w:szCs w:val="24"/>
        </w:rPr>
        <w:t xml:space="preserve"> Istanbul [71] instruments at statement, branch, and function granularity. Condition coverage is approximated from the branch figures and should be interpreted as a lower bound on the IEEE-982 metric. </w:t>
      </w:r>
      <w:r>
        <w:rPr>
          <w:rFonts w:ascii="Times New Roman" w:cs="Times New Roman" w:eastAsia="Times New Roman" w:hAnsi="Times New Roman"/>
          <w:b/>
          <w:bCs/>
          <w:sz w:val="24"/>
          <w:szCs w:val="24"/>
        </w:rPr>
        <w:t xml:space="preserve">Absence of a live cluster.</w:t>
      </w:r>
      <w:r>
        <w:rPr>
          <w:rFonts w:ascii="Times New Roman" w:cs="Times New Roman" w:eastAsia="Times New Roman" w:hAnsi="Times New Roman"/>
          <w:sz w:val="24"/>
          <w:szCs w:val="24"/>
        </w:rPr>
        <w:t xml:space="preserve"> The Kubernetes manifests are validated only by `kubectl apply --dry-run=client`; the scalability and HA objectives are evaluated against the manifest design and architectural properties rather than empirical measurements. </w:t>
      </w:r>
      <w:r>
        <w:rPr>
          <w:rFonts w:ascii="Times New Roman" w:cs="Times New Roman" w:eastAsia="Times New Roman" w:hAnsi="Times New Roman"/>
          <w:b/>
          <w:bCs/>
          <w:sz w:val="24"/>
          <w:szCs w:val="24"/>
        </w:rPr>
        <w:t xml:space="preserve">Gemini API reliability.</w:t>
      </w:r>
      <w:r>
        <w:rPr>
          <w:rFonts w:ascii="Times New Roman" w:cs="Times New Roman" w:eastAsia="Times New Roman" w:hAnsi="Times New Roman"/>
          <w:sz w:val="24"/>
          <w:szCs w:val="24"/>
        </w:rPr>
        <w:t xml:space="preserve"> The system depends on a third-party service; tests mock the call and the demo fallback (Section 6.3) allows offline operation, but production would need a circuit breaker [34, 92]. </w:t>
      </w:r>
      <w:r>
        <w:rPr>
          <w:rFonts w:ascii="Times New Roman" w:cs="Times New Roman" w:eastAsia="Times New Roman" w:hAnsi="Times New Roman"/>
          <w:b/>
          <w:bCs/>
          <w:sz w:val="24"/>
          <w:szCs w:val="24"/>
        </w:rPr>
        <w:t xml:space="preserve">Security: localStorage JWT.</w:t>
      </w:r>
      <w:r>
        <w:rPr>
          <w:rFonts w:ascii="Times New Roman" w:cs="Times New Roman" w:eastAsia="Times New Roman" w:hAnsi="Times New Roman"/>
          <w:sz w:val="24"/>
          <w:szCs w:val="24"/>
        </w:rPr>
        <w:t xml:space="preserve"> XSS-vulnerable; the mitigation (`httpOnly` cookies) is in the backlog. </w:t>
      </w:r>
      <w:r>
        <w:rPr>
          <w:rFonts w:ascii="Times New Roman" w:cs="Times New Roman" w:eastAsia="Times New Roman" w:hAnsi="Times New Roman"/>
          <w:b/>
          <w:bCs/>
          <w:sz w:val="24"/>
          <w:szCs w:val="24"/>
        </w:rPr>
        <w:t xml:space="preserve">Accessibility.</w:t>
      </w:r>
      <w:r>
        <w:rPr>
          <w:rFonts w:ascii="Times New Roman" w:cs="Times New Roman" w:eastAsia="Times New Roman" w:hAnsi="Times New Roman"/>
          <w:sz w:val="24"/>
          <w:szCs w:val="24"/>
        </w:rPr>
        <w:t xml:space="preserve"> No formal WCAG 2.1 [93] audit has been conducted; the `OtpInput` and the drag-and-drop upload area in particular require ARIA annotation and keyboard-navigation testing. </w:t>
      </w:r>
      <w:r>
        <w:rPr>
          <w:rFonts w:ascii="Times New Roman" w:cs="Times New Roman" w:eastAsia="Times New Roman" w:hAnsi="Times New Roman"/>
          <w:b/>
          <w:bCs/>
          <w:sz w:val="24"/>
          <w:szCs w:val="24"/>
        </w:rPr>
        <w:t xml:space="preserve">External validity.</w:t>
      </w:r>
      <w:r>
        <w:rPr>
          <w:rFonts w:ascii="Times New Roman" w:cs="Times New Roman" w:eastAsia="Times New Roman" w:hAnsi="Times New Roman"/>
          <w:sz w:val="24"/>
          <w:szCs w:val="24"/>
        </w:rPr>
        <w:t xml:space="preserve"> The 23 manually-tested cases are insufficient to estimate the Gemini classifier's precision and recall on the population of real reports; a larger labelled corpus would be needed to compute confusion-matrix metrics.</w:t>
      </w:r>
    </w:p>
    <w:p>
      <w:pPr>
        <w:pStyle w:val="Heading1"/>
        <w:pageBreakBefore/>
        <w:spacing w:after="360" w:before="0"/>
      </w:pPr>
      <w:r>
        <w:rPr>
          <w:rFonts w:ascii="Times New Roman" w:cs="Times New Roman" w:eastAsia="Times New Roman" w:hAnsi="Times New Roman"/>
          <w:b/>
          <w:bCs/>
          <w:sz w:val="36"/>
          <w:szCs w:val="36"/>
        </w:rPr>
        <w:t xml:space="preserve">Chapter 10
Conclusion</w:t>
      </w:r>
    </w:p>
    <w:p>
      <w:pPr>
        <w:spacing w:after="180" w:line="360" w:lineRule="auto"/>
        <w:jc w:val="both"/>
      </w:pPr>
      <w:r>
        <w:rPr>
          <w:rFonts w:ascii="Times New Roman" w:cs="Times New Roman" w:eastAsia="Times New Roman" w:hAnsi="Times New Roman"/>
          <w:sz w:val="24"/>
          <w:szCs w:val="24"/>
        </w:rPr>
        <w:t xml:space="preserve">This concluding chapter reflects on the challenges encountered during the development of SnapPark (Section 10.1), outlines a concrete roadmap for future work (Section 10.2), and situates the project in its broader context (Section 10.3).</w:t>
      </w:r>
    </w:p>
    <w:p>
      <w:pPr>
        <w:pStyle w:val="Heading2"/>
        <w:spacing w:after="180" w:before="360"/>
      </w:pPr>
      <w:r>
        <w:rPr>
          <w:rFonts w:ascii="Times New Roman" w:cs="Times New Roman" w:eastAsia="Times New Roman" w:hAnsi="Times New Roman"/>
          <w:b/>
          <w:bCs/>
          <w:sz w:val="30"/>
          <w:szCs w:val="30"/>
        </w:rPr>
        <w:t xml:space="preserve">10.1 Project Challenges</w:t>
      </w:r>
    </w:p>
    <w:p>
      <w:pPr>
        <w:spacing w:after="180" w:line="360" w:lineRule="auto"/>
        <w:jc w:val="both"/>
      </w:pPr>
      <w:r>
        <w:rPr>
          <w:rFonts w:ascii="Times New Roman" w:cs="Times New Roman" w:eastAsia="Times New Roman" w:hAnsi="Times New Roman"/>
          <w:sz w:val="24"/>
          <w:szCs w:val="24"/>
        </w:rPr>
        <w:t xml:space="preserve">The most technically demanding challenge was the orchestrated </w:t>
      </w:r>
      <w:r>
        <w:rPr>
          <w:rFonts w:ascii="Times New Roman" w:cs="Times New Roman" w:eastAsia="Times New Roman" w:hAnsi="Times New Roman"/>
          <w:b/>
          <w:bCs/>
          <w:sz w:val="24"/>
          <w:szCs w:val="24"/>
        </w:rPr>
        <w:t xml:space="preserve">Saga implementation</w:t>
      </w:r>
      <w:r>
        <w:rPr>
          <w:rFonts w:ascii="Times New Roman" w:cs="Times New Roman" w:eastAsia="Times New Roman" w:hAnsi="Times New Roman"/>
          <w:sz w:val="24"/>
          <w:szCs w:val="24"/>
        </w:rPr>
        <w:t xml:space="preserve">. The original plan treated case creation as a try/catch around Gemini → INSERT → publish. Replacing this with a coordinator that persists state per step, runs compensations in reverse on failure, and handles asynchronous downstream failures through a callback event required reworking the data model (`sagas` and `saga_history` tables), the API surface (`GET /sagas/:id`), and the test strategy (seven saga-specific test files). The payoff was significant: the saga is the most compelling evidence of the Auditability and High-Availability objectives, and the forensic completeness of its history made debugging end-to-end failures considerably less painful.</w:t>
      </w:r>
    </w:p>
    <w:p>
      <w:pPr>
        <w:spacing w:after="180" w:line="360" w:lineRule="auto"/>
        <w:jc w:val="both"/>
      </w:pPr>
      <w:r>
        <w:rPr>
          <w:rFonts w:ascii="Times New Roman" w:cs="Times New Roman" w:eastAsia="Times New Roman" w:hAnsi="Times New Roman"/>
          <w:sz w:val="24"/>
          <w:szCs w:val="24"/>
        </w:rPr>
        <w:t xml:space="preserve">The second major challenge was the </w:t>
      </w:r>
      <w:r>
        <w:rPr>
          <w:rFonts w:ascii="Times New Roman" w:cs="Times New Roman" w:eastAsia="Times New Roman" w:hAnsi="Times New Roman"/>
          <w:b/>
          <w:bCs/>
          <w:sz w:val="24"/>
          <w:szCs w:val="24"/>
        </w:rPr>
        <w:t xml:space="preserve">mocking strategy for the API Gateway tests</w:t>
      </w:r>
      <w:r>
        <w:rPr>
          <w:rFonts w:ascii="Times New Roman" w:cs="Times New Roman" w:eastAsia="Times New Roman" w:hAnsi="Times New Roman"/>
          <w:sz w:val="24"/>
          <w:szCs w:val="24"/>
        </w:rPr>
        <w:t xml:space="preserve">. The middleware calls `axios.post()` but an early test suite mocked `axios` at the callable form (`axios({...})`). The tests passed in isolation but silently never exercised the `post` path — a coverage gap detected only when coverage was first reported. The fix took an hour once diagnosed but the diagnosis took much longer. Lesson: mocking a module at a level of abstraction that does not match the actual call site produces vacuously-passing tests, and method-granularity coverage analysis is the most reliable way to catch this class of problem.</w:t>
      </w:r>
    </w:p>
    <w:p>
      <w:pPr>
        <w:spacing w:after="180" w:line="360" w:lineRule="auto"/>
        <w:jc w:val="both"/>
      </w:pPr>
      <w:r>
        <w:rPr>
          <w:rFonts w:ascii="Times New Roman" w:cs="Times New Roman" w:eastAsia="Times New Roman" w:hAnsi="Times New Roman"/>
          <w:sz w:val="24"/>
          <w:szCs w:val="24"/>
        </w:rPr>
        <w:t xml:space="preserve">The third challenge was the </w:t>
      </w:r>
      <w:r>
        <w:rPr>
          <w:rFonts w:ascii="Times New Roman" w:cs="Times New Roman" w:eastAsia="Times New Roman" w:hAnsi="Times New Roman"/>
          <w:b/>
          <w:bCs/>
          <w:sz w:val="24"/>
          <w:szCs w:val="24"/>
        </w:rPr>
        <w:t xml:space="preserve">integration-test connection pool</w:t>
      </w:r>
      <w:r>
        <w:rPr>
          <w:rFonts w:ascii="Times New Roman" w:cs="Times New Roman" w:eastAsia="Times New Roman" w:hAnsi="Times New Roman"/>
          <w:sz w:val="24"/>
          <w:szCs w:val="24"/>
        </w:rPr>
        <w:t xml:space="preserve">. Multiple Jest files in the auth integration project each called `pool.end()` in `afterAll`, so the first to finish closed the pool while later files were still running, cascading "Cannot use a pool after calling end" errors. The fix — removing `pool.end()` from both files and adding a single `globalTeardown` — is now documented as a reusable pattern. Time management was a fourth challenge: the write-up overlapped with Increment 4 rather than tracking each increment; a more disciplined approach would treat documentation commits with the same weight as code commits.</w:t>
      </w:r>
    </w:p>
    <w:p>
      <w:pPr>
        <w:pStyle w:val="Heading2"/>
        <w:spacing w:after="180" w:before="360"/>
      </w:pPr>
      <w:r>
        <w:rPr>
          <w:rFonts w:ascii="Times New Roman" w:cs="Times New Roman" w:eastAsia="Times New Roman" w:hAnsi="Times New Roman"/>
          <w:b/>
          <w:bCs/>
          <w:sz w:val="30"/>
          <w:szCs w:val="30"/>
        </w:rPr>
        <w:t xml:space="preserve">10.2 Future Work</w:t>
      </w:r>
    </w:p>
    <w:p>
      <w:pPr>
        <w:spacing w:after="180" w:line="360" w:lineRule="auto"/>
        <w:jc w:val="both"/>
      </w:pPr>
      <w:r>
        <w:rPr>
          <w:rFonts w:ascii="Times New Roman" w:cs="Times New Roman" w:eastAsia="Times New Roman" w:hAnsi="Times New Roman"/>
          <w:sz w:val="24"/>
          <w:szCs w:val="24"/>
        </w:rPr>
        <w:t xml:space="preserve">The following items are listed in approximate priority order.</w:t>
      </w:r>
    </w:p>
    <w:p>
      <w:pPr>
        <w:spacing w:after="180" w:before="120" w:line="360" w:lineRule="auto"/>
        <w:ind w:left="36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Live cluster deployment.</w:t>
      </w:r>
      <w:r>
        <w:rPr>
          <w:rFonts w:ascii="Times New Roman" w:cs="Times New Roman" w:eastAsia="Times New Roman" w:hAnsi="Times New Roman"/>
          <w:sz w:val="24"/>
          <w:szCs w:val="24"/>
        </w:rPr>
        <w:t xml:space="preserve"> Apply the validated Kubernetes manifests to a managed cluster (GKE/EKS/AKS) to validate HPA, StatefulSet persistence, and NGINX Ingress routing under real network conditions.</w:t>
      </w:r>
    </w:p>
    <w:p>
      <w:pPr>
        <w:spacing w:after="180" w:before="120" w:line="360" w:lineRule="auto"/>
        <w:ind w:left="36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httpOnly cookie JWT storage.</w:t>
      </w:r>
      <w:r>
        <w:rPr>
          <w:rFonts w:ascii="Times New Roman" w:cs="Times New Roman" w:eastAsia="Times New Roman" w:hAnsi="Times New Roman"/>
          <w:sz w:val="24"/>
          <w:szCs w:val="24"/>
        </w:rPr>
        <w:t xml:space="preserve"> Replace `localStorage` with `httpOnly` cookies via Next.js route handlers to eliminate the XSS vulnerability documented in Section 9.3.</w:t>
      </w:r>
    </w:p>
    <w:p>
      <w:pPr>
        <w:spacing w:after="180" w:before="120" w:line="360" w:lineRule="auto"/>
        <w:ind w:left="36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Gemini circuit breaker.</w:t>
      </w:r>
      <w:r>
        <w:rPr>
          <w:rFonts w:ascii="Times New Roman" w:cs="Times New Roman" w:eastAsia="Times New Roman" w:hAnsi="Times New Roman"/>
          <w:sz w:val="24"/>
          <w:szCs w:val="24"/>
        </w:rPr>
        <w:t xml:space="preserve"> Wrap the Gemini call in `opossum` [92] with exponential back-off and a "temporarily unavailable" fallback response.</w:t>
      </w:r>
    </w:p>
    <w:p>
      <w:pPr>
        <w:spacing w:after="180" w:before="120" w:line="360" w:lineRule="auto"/>
        <w:ind w:left="36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Accessibility audit.</w:t>
      </w:r>
      <w:r>
        <w:rPr>
          <w:rFonts w:ascii="Times New Roman" w:cs="Times New Roman" w:eastAsia="Times New Roman" w:hAnsi="Times New Roman"/>
          <w:sz w:val="24"/>
          <w:szCs w:val="24"/>
        </w:rPr>
        <w:t xml:space="preserve"> Formal WCAG 2.1 Level AA [93] audit of the frontend, focusing on the `OtpInput` and the drag-and-drop upload area.</w:t>
      </w:r>
    </w:p>
    <w:p>
      <w:pPr>
        <w:spacing w:after="180" w:before="120" w:line="360" w:lineRule="auto"/>
        <w:ind w:left="36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Extended test coverage.</w:t>
      </w:r>
      <w:r>
        <w:rPr>
          <w:rFonts w:ascii="Times New Roman" w:cs="Times New Roman" w:eastAsia="Times New Roman" w:hAnsi="Times New Roman"/>
          <w:sz w:val="24"/>
          <w:szCs w:val="24"/>
        </w:rPr>
        <w:t xml:space="preserve"> Property-based tests with `fast-check` [94] for the saga coordinator and mutation tests with Stryker [95] for the dispatcher.</w:t>
      </w:r>
    </w:p>
    <w:p>
      <w:pPr>
        <w:spacing w:after="180" w:before="120" w:line="360" w:lineRule="auto"/>
        <w:ind w:left="36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Authority portal.</w:t>
      </w:r>
      <w:r>
        <w:rPr>
          <w:rFonts w:ascii="Times New Roman" w:cs="Times New Roman" w:eastAsia="Times New Roman" w:hAnsi="Times New Roman"/>
          <w:sz w:val="24"/>
          <w:szCs w:val="24"/>
        </w:rPr>
        <w:t xml:space="preserve"> A dedicated portal for traffic-enforcement officers with a separate login flow, geographic map view, and bulk-resolve action.</w:t>
      </w:r>
    </w:p>
    <w:p>
      <w:pPr>
        <w:spacing w:after="180" w:before="120" w:line="360" w:lineRule="auto"/>
        <w:ind w:left="36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b/>
          <w:bCs/>
          <w:sz w:val="24"/>
          <w:szCs w:val="24"/>
        </w:rPr>
        <w:t xml:space="preserve">Mobile-native client.</w:t>
      </w:r>
      <w:r>
        <w:rPr>
          <w:rFonts w:ascii="Times New Roman" w:cs="Times New Roman" w:eastAsia="Times New Roman" w:hAnsi="Times New Roman"/>
          <w:sz w:val="24"/>
          <w:szCs w:val="24"/>
        </w:rPr>
        <w:t xml:space="preserve"> A React Native [96] or Flutter [97] client leveraging native camera, GPS, and push registration without backend changes.</w:t>
      </w:r>
    </w:p>
    <w:p>
      <w:pPr>
        <w:spacing w:after="180" w:before="120" w:line="360" w:lineRule="auto"/>
        <w:ind w:left="360" w:hanging="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b/>
          <w:bCs/>
          <w:sz w:val="24"/>
          <w:szCs w:val="24"/>
        </w:rPr>
        <w:t xml:space="preserve">Classifier fine-tuning.</w:t>
      </w:r>
      <w:r>
        <w:rPr>
          <w:rFonts w:ascii="Times New Roman" w:cs="Times New Roman" w:eastAsia="Times New Roman" w:hAnsi="Times New Roman"/>
          <w:sz w:val="24"/>
          <w:szCs w:val="24"/>
        </w:rPr>
        <w:t xml:space="preserve"> A labelled corpus of parking-violation images would enable fine-tuning or a purpose-built CNN as an alternative to general-purpose Gemini.</w:t>
      </w:r>
    </w:p>
    <w:p>
      <w:pPr>
        <w:pStyle w:val="Heading2"/>
        <w:spacing w:after="180" w:before="360"/>
      </w:pPr>
      <w:r>
        <w:rPr>
          <w:rFonts w:ascii="Times New Roman" w:cs="Times New Roman" w:eastAsia="Times New Roman" w:hAnsi="Times New Roman"/>
          <w:b/>
          <w:bCs/>
          <w:sz w:val="30"/>
          <w:szCs w:val="30"/>
        </w:rPr>
        <w:t xml:space="preserve">10.3 Final Words</w:t>
      </w:r>
    </w:p>
    <w:p>
      <w:pPr>
        <w:spacing w:after="180" w:line="360" w:lineRule="auto"/>
        <w:jc w:val="both"/>
      </w:pPr>
      <w:r>
        <w:rPr>
          <w:rFonts w:ascii="Times New Roman" w:cs="Times New Roman" w:eastAsia="Times New Roman" w:hAnsi="Times New Roman"/>
          <w:sz w:val="24"/>
          <w:szCs w:val="24"/>
        </w:rPr>
        <w:t xml:space="preserve">SnapPark began as a question: could a citizen with a smartphone report an illegally parked vehicle in under a minute, have it automatically assessed by an AI, and receive a human-readable verdict by email within seconds? The goal of this project was not to provide the definitive answer — it was to demonstrate that a rigorous, well-tested, architecturally sound foundation for such an answer is achievable by a single developer in five weeks, using only open-source tools and two cloud APIs.</w:t>
      </w:r>
    </w:p>
    <w:p>
      <w:pPr>
        <w:spacing w:after="180" w:line="360" w:lineRule="auto"/>
        <w:jc w:val="both"/>
      </w:pPr>
      <w:r>
        <w:rPr>
          <w:rFonts w:ascii="Times New Roman" w:cs="Times New Roman" w:eastAsia="Times New Roman" w:hAnsi="Times New Roman"/>
          <w:sz w:val="24"/>
          <w:szCs w:val="24"/>
        </w:rPr>
        <w:t xml:space="preserve">The result does exactly what it set out to do. A citizen can register, verify their email, upload a photograph, pin a location, enter a license plate, and submit a report. Within a few seconds the AI has analysed the image, the case has been persisted with a full audit trail, a human-readable notification has been dispatched, and the case is visible in the dashboard. An administrator can see all cases, forward any confirmed violation to the appropriate authority, and mark it as resolved. The entire stack runs with a single `docker-compose up` command.</w:t>
      </w:r>
    </w:p>
    <w:p>
      <w:pPr>
        <w:spacing w:after="180" w:line="360" w:lineRule="auto"/>
        <w:jc w:val="both"/>
      </w:pPr>
      <w:r>
        <w:rPr>
          <w:rFonts w:ascii="Times New Roman" w:cs="Times New Roman" w:eastAsia="Times New Roman" w:hAnsi="Times New Roman"/>
          <w:sz w:val="24"/>
          <w:szCs w:val="24"/>
        </w:rPr>
        <w:t xml:space="preserve">The architectural decisions documented in this report — microservices with a single API Gateway, Database-per-Service, orchestrated Saga, event-driven notification dispatch, vector similarity search — are not novelties. They are proven industry patterns. What is less routine is their application to a civic-technology domain where the business logic is an AI deciding whether a citizen's photograph constitutes a parking violation. The combination demonstrates that the microservices pattern is not reserved for large teams and large budgets; it is an appropriate and tractable architecture for a single-developer project of meaningful scope. The lessons learned — the importance of condition-level coverage, the fragility of mocks that miss the actual call site, the value of append-only audit tables for distributed debugging — are the primary educational output of this project, and they will inform every subsequent system the author designs.</w:t>
      </w:r>
    </w:p>
    <w:p>
      <w:pPr>
        <w:pStyle w:val="Heading1"/>
        <w:pageBreakBefore/>
        <w:spacing w:after="360" w:before="0"/>
      </w:pPr>
      <w:r>
        <w:rPr>
          <w:rFonts w:ascii="Times New Roman" w:cs="Times New Roman" w:eastAsia="Times New Roman" w:hAnsi="Times New Roman"/>
          <w:b/>
          <w:bCs/>
          <w:sz w:val="36"/>
          <w:szCs w:val="36"/>
        </w:rPr>
        <w:t xml:space="preserve">References</w:t>
      </w:r>
    </w:p>
    <w:p>
      <w:pPr>
        <w:spacing w:after="180" w:before="0" w:line="300" w:lineRule="auto"/>
        <w:ind w:left="720" w:hanging="720"/>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M. Fowler, "MonolithFirst," martinfowler.com, 3 Jun. 2015. [Online]. Available: https://martinfowler.com/bliki/MonolithFirst.html</w:t>
      </w:r>
    </w:p>
    <w:p>
      <w:pPr>
        <w:spacing w:after="180" w:before="0" w:line="300" w:lineRule="auto"/>
        <w:ind w:left="720" w:hanging="720"/>
        <w:jc w:val="left"/>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S. Newman, Building Microservices: Designing Fine-Grained Systems, 2nd ed. Sebastopol, CA, USA: O’Reilly Media, 2021. ISBN 978‑1‑49203‑4025.</w:t>
      </w:r>
    </w:p>
    <w:p>
      <w:pPr>
        <w:spacing w:after="180" w:before="0" w:line="300" w:lineRule="auto"/>
        <w:ind w:left="720" w:hanging="720"/>
        <w:jc w:val="left"/>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P. Di Francesco, I. Malavolta, and P. Lago, "Research on Architecting Microservices: Trends, Focus, and Potential for Industrial Adoption," in Proc. 2017 IEEE Int. Conf. Software Architecture (ICSA), Gothenburg, Sweden, Apr. 2017, pp. 21–30, doi: 10.1109/ICSA.2017.24.</w:t>
      </w:r>
    </w:p>
    <w:p>
      <w:pPr>
        <w:spacing w:after="180" w:before="0" w:line="300" w:lineRule="auto"/>
        <w:ind w:left="720" w:hanging="720"/>
        <w:jc w:val="left"/>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Amazon Web Services, "What is an Enterprise Service Bus (ESB)?," aws.amazon.com, 2024. [Online]. Available: https://aws.amazon.com/what-is/enterprise-service-bus/</w:t>
      </w:r>
    </w:p>
    <w:p>
      <w:pPr>
        <w:spacing w:after="180" w:before="0" w:line="300" w:lineRule="auto"/>
        <w:ind w:left="720" w:hanging="720"/>
        <w:jc w:val="left"/>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IBM Cloud Education, "What is service-oriented architecture (SOA)?," ibm.com, 2023. [Online]. Available: https://www.ibm.com/topics/soa</w:t>
      </w:r>
    </w:p>
    <w:p>
      <w:pPr>
        <w:spacing w:after="180" w:before="0" w:line="300" w:lineRule="auto"/>
        <w:ind w:left="720" w:hanging="720"/>
        <w:jc w:val="left"/>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Microsoft, "Gateway Routing pattern," Microsoft Learn, 2023. [Online]. Available: https://learn.microsoft.com/en-us/azure/architecture/patterns/gateway-routing</w:t>
      </w:r>
    </w:p>
    <w:p>
      <w:pPr>
        <w:spacing w:after="180" w:before="0" w:line="300" w:lineRule="auto"/>
        <w:ind w:left="720" w:hanging="720"/>
        <w:jc w:val="left"/>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S. Dustdar, V. Casamayor Pujol, and P. K. Donta, "On Distributed Computing Continuum Systems," IEEE Trans. Knowl. Data Eng., vol. 35, no. 4, pp. 4092‑4105, Apr. 2023, doi: 10.1109/TKDE.2022.3142856.</w:t>
      </w:r>
    </w:p>
    <w:p>
      <w:pPr>
        <w:spacing w:after="180" w:before="0" w:line="300" w:lineRule="auto"/>
        <w:ind w:left="720" w:hanging="720"/>
        <w:jc w:val="left"/>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Docker, Inc., "Docker Overview," docs.docker.com, 2024. [Online]. Available: https://docs.docker.com/get-started/overview/</w:t>
      </w:r>
    </w:p>
    <w:p>
      <w:pPr>
        <w:spacing w:after="180" w:before="0" w:line="300" w:lineRule="auto"/>
        <w:ind w:left="720" w:hanging="720"/>
        <w:jc w:val="left"/>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M. Satyanarayanan, "The Emergence of Edge Computing," Computer, vol. 50, no. 1, pp. 30–39, Jan. 2017, doi: 10.1109/MC.2017.9.</w:t>
      </w:r>
    </w:p>
    <w:p>
      <w:pPr>
        <w:spacing w:after="180" w:before="0" w:line="300" w:lineRule="auto"/>
        <w:ind w:left="720" w:hanging="720"/>
        <w:jc w:val="left"/>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C. Richardson, Microservices Patterns: With Examples in Java. Shelter Island, NY, USA: Manning Publications, 2018. ISBN 978‑1‑61729‑4549.</w:t>
      </w:r>
    </w:p>
    <w:p>
      <w:pPr>
        <w:spacing w:after="180" w:before="0" w:line="300" w:lineRule="auto"/>
        <w:ind w:left="720" w:hanging="720"/>
        <w:jc w:val="left"/>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Microsoft, "CQRS pattern," Microsoft Learn, 2023. [Online]. Available: https://learn.microsoft.com/en-us/azure/architecture/patterns/cqrs</w:t>
      </w:r>
    </w:p>
    <w:p>
      <w:pPr>
        <w:spacing w:after="180" w:before="0" w:line="300" w:lineRule="auto"/>
        <w:ind w:left="720" w:hanging="720"/>
        <w:jc w:val="left"/>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M. Fowler, "Event Sourcing," martinfowler.com, 12 Dec. 2005. [Online]. Available: https://martinfowler.com/eaaDev/EventSourcing.html</w:t>
      </w:r>
    </w:p>
    <w:p>
      <w:pPr>
        <w:spacing w:after="180" w:before="0" w:line="300" w:lineRule="auto"/>
        <w:ind w:left="720" w:hanging="720"/>
        <w:jc w:val="left"/>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Amazon Web Services, "Database per service," AWS Prescriptive Guidance, 2024. [Online]. Available: https://docs.aws.amazon.com/prescriptive-guidance/latest/modernization-data-persistence/database-per-service.html</w:t>
      </w:r>
    </w:p>
    <w:p>
      <w:pPr>
        <w:spacing w:after="180" w:before="0" w:line="300" w:lineRule="auto"/>
        <w:ind w:left="720" w:hanging="720"/>
        <w:jc w:val="left"/>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The Kubernetes Authors, "What is Kubernetes?," kubernetes.io, 2024. [Online]. Available: https://kubernetes.io/docs/concepts/overview/</w:t>
      </w:r>
    </w:p>
    <w:p>
      <w:pPr>
        <w:spacing w:after="180" w:before="0" w:line="300" w:lineRule="auto"/>
        <w:ind w:left="720" w:hanging="720"/>
        <w:jc w:val="left"/>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J. Lewis and M. Fowler, "Microservices: a definition of this new architectural term," martinfowler.com, 25 Mar. 2014. [Online]. Available: https://martinfowler.com/articles/microservices.html</w:t>
      </w:r>
    </w:p>
    <w:p>
      <w:pPr>
        <w:spacing w:after="180" w:before="0" w:line="300" w:lineRule="auto"/>
        <w:ind w:left="720" w:hanging="720"/>
        <w:jc w:val="left"/>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V. Velepucha and P. Flores, "A Survey on Microservices Architecture: Principles, Patterns and Migration Challenges," IEEE Access, vol. 11, pp. 88339‑88358, 2023, doi: 10.1109/ACCESS.2023.3305687.</w:t>
      </w:r>
    </w:p>
    <w:p>
      <w:pPr>
        <w:spacing w:after="180" w:before="0" w:line="300" w:lineRule="auto"/>
        <w:ind w:left="720" w:hanging="720"/>
        <w:jc w:val="left"/>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D. Taibi, V. Lenarduzzi, and C. Pahl, "Architectural Patterns for Microservices: A Systematic Mapping Study," in Proc. 8th Int. Conf. Cloud Computing and Services Science (CLOSER), Funchal, Portugal, Mar. 2018, pp. 221‑232.</w:t>
      </w:r>
    </w:p>
    <w:p>
      <w:pPr>
        <w:spacing w:after="180" w:before="0" w:line="300" w:lineRule="auto"/>
        <w:ind w:left="720" w:hanging="720"/>
        <w:jc w:val="left"/>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C. Richardson, "Service Discovery in a Microservices Architecture," microservices.io, 2015. [Online]. Available: https://microservices.io/patterns/service-registry.html</w:t>
      </w:r>
    </w:p>
    <w:p>
      <w:pPr>
        <w:spacing w:after="180" w:before="0" w:line="300" w:lineRule="auto"/>
        <w:ind w:left="720" w:hanging="720"/>
        <w:jc w:val="left"/>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E. Evans, Domain-Driven Design: Tackling Complexity in the Heart of Software. Boston, MA, USA: Addison-Wesley, 2003. ISBN 978‑0‑321‑12521‑7.</w:t>
      </w:r>
    </w:p>
    <w:p>
      <w:pPr>
        <w:spacing w:after="180" w:before="0" w:line="300" w:lineRule="auto"/>
        <w:ind w:left="720" w:hanging="720"/>
        <w:jc w:val="left"/>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V. Khononov, Learning Domain-Driven Design: Aligning Software Architecture and Business Strategy. Sebastopol, CA, USA: O’Reilly Media, 2021. ISBN 978‑1‑09810‑0131.</w:t>
      </w:r>
    </w:p>
    <w:p>
      <w:pPr>
        <w:spacing w:after="180" w:before="0" w:line="300" w:lineRule="auto"/>
        <w:ind w:left="720" w:hanging="720"/>
        <w:jc w:val="left"/>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V. Vernon, Implementing Domain-Driven Design. Boston, MA, USA: Addison-Wesley, 2013. ISBN 978‑0‑321‑83457‑7.</w:t>
      </w:r>
    </w:p>
    <w:p>
      <w:pPr>
        <w:spacing w:after="180" w:before="0" w:line="300" w:lineRule="auto"/>
        <w:ind w:left="720" w:hanging="720"/>
        <w:jc w:val="left"/>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OWASP Foundation, "OWASP API Security Top 10 — 2023," owasp.org, 2023. [Online]. Available: https://owasp.org/API-Security/editions/2023/en/0x00-header/</w:t>
      </w:r>
    </w:p>
    <w:p>
      <w:pPr>
        <w:spacing w:after="180" w:before="0" w:line="300" w:lineRule="auto"/>
        <w:ind w:left="720" w:hanging="720"/>
        <w:jc w:val="left"/>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Broadcom, "RabbitMQ Reliability Guide," rabbitmq.com, 2024. [Online]. Available: https://www.rabbitmq.com/docs/reliability</w:t>
      </w:r>
    </w:p>
    <w:p>
      <w:pPr>
        <w:spacing w:after="180" w:before="0" w:line="300" w:lineRule="auto"/>
        <w:ind w:left="720" w:hanging="720"/>
        <w:jc w:val="left"/>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Google, "Gemini API Documentation," ai.google.dev, 2024. [Online]. Available: https://ai.google.dev/docs</w:t>
      </w:r>
    </w:p>
    <w:p>
      <w:pPr>
        <w:spacing w:after="180" w:before="0" w:line="300" w:lineRule="auto"/>
        <w:ind w:left="720" w:hanging="720"/>
        <w:jc w:val="left"/>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J. Humble and D. Farley, Continuous Delivery: Reliable Software Releases through Build, Test, and Deployment Automation. Boston, MA, USA: Addison-Wesley, 2010. ISBN 978‑0‑321‑60191‑9.</w:t>
      </w:r>
    </w:p>
    <w:p>
      <w:pPr>
        <w:spacing w:after="180" w:before="0" w:line="300" w:lineRule="auto"/>
        <w:ind w:left="720" w:hanging="720"/>
        <w:jc w:val="left"/>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H. Garcia-Molina and K. Salem, "Sagas," in Proc. 1987 ACM SIGMOD Int. Conf. Management of Data, San Francisco, CA, USA, Jun. 1987, pp. 249‑259, doi: 10.1145/38713.38742.</w:t>
      </w:r>
    </w:p>
    <w:p>
      <w:pPr>
        <w:spacing w:after="180" w:before="0" w:line="300" w:lineRule="auto"/>
        <w:ind w:left="720" w:hanging="720"/>
        <w:jc w:val="left"/>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M. Armbrust et al., "A View of Cloud Computing," Commun. ACM, vol. 53, no. 4, pp. 50‑58, Apr. 2010, doi: 10.1145/1721654.1721672.</w:t>
      </w:r>
    </w:p>
    <w:p>
      <w:pPr>
        <w:spacing w:after="180" w:before="0" w:line="300" w:lineRule="auto"/>
        <w:ind w:left="720" w:hanging="720"/>
        <w:jc w:val="left"/>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N. Dragoni, S. Giallorenzo, A. Lluch Lafuente, M. Mazzara, F. Montesi, R. Mustafin, and L. Safina, "Microservices: Yesterday, Today, and Tomorrow," in Present and Ulterior Software Engineering, M. Mazzara and B. Meyer, Eds. Cham, Switzerland: Springer, 2017, pp. 195‑216, doi: 10.1007/978-3-319-67425-4_12.</w:t>
      </w:r>
    </w:p>
    <w:p>
      <w:pPr>
        <w:spacing w:after="180" w:before="0" w:line="300" w:lineRule="auto"/>
        <w:ind w:left="720" w:hanging="720"/>
        <w:jc w:val="left"/>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mySociety, "FixMyStreet," fixmystreet.com, 2024. [Online]. Available: https://www.fixmystreet.com/</w:t>
      </w:r>
    </w:p>
    <w:p>
      <w:pPr>
        <w:spacing w:after="180" w:before="0" w:line="300" w:lineRule="auto"/>
        <w:ind w:left="720" w:hanging="720"/>
        <w:jc w:val="left"/>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G. Team et al., "Gemini 1.5: Unlocking Multimodal Understanding Across Millions of Tokens of Context," Google DeepMind, Tech. Rep., 2024. [Online]. Available: https://arxiv.org/abs/2403.05530</w:t>
      </w:r>
    </w:p>
    <w:p>
      <w:pPr>
        <w:spacing w:after="180" w:before="0" w:line="300" w:lineRule="auto"/>
        <w:ind w:left="720" w:hanging="720"/>
        <w:jc w:val="left"/>
      </w:pPr>
      <w:r>
        <w:rPr>
          <w:rFonts w:ascii="Times New Roman" w:cs="Times New Roman" w:eastAsia="Times New Roman" w:hAnsi="Times New Roman"/>
          <w:sz w:val="24"/>
          <w:szCs w:val="24"/>
        </w:rPr>
        <w:t xml:space="preserve">[31]	</w:t>
      </w:r>
      <w:r>
        <w:rPr>
          <w:rFonts w:ascii="Times New Roman" w:cs="Times New Roman" w:eastAsia="Times New Roman" w:hAnsi="Times New Roman"/>
          <w:sz w:val="24"/>
          <w:szCs w:val="24"/>
        </w:rPr>
        <w:t xml:space="preserve">M. Jones, J. Bradley, and N. Sakimura, "JSON Web Token (JWT)," IETF, RFC 7519, May 2015. [Online]. Available: https://datatracker.ietf.org/doc/html/rfc7519</w:t>
      </w:r>
    </w:p>
    <w:p>
      <w:pPr>
        <w:spacing w:after="180" w:before="0" w:line="300" w:lineRule="auto"/>
        <w:ind w:left="720" w:hanging="720"/>
        <w:jc w:val="left"/>
      </w:pPr>
      <w:r>
        <w:rPr>
          <w:rFonts w:ascii="Times New Roman" w:cs="Times New Roman" w:eastAsia="Times New Roman" w:hAnsi="Times New Roman"/>
          <w:sz w:val="24"/>
          <w:szCs w:val="24"/>
        </w:rPr>
        <w:t xml:space="preserve">[32]	</w:t>
      </w:r>
      <w:r>
        <w:rPr>
          <w:rFonts w:ascii="Times New Roman" w:cs="Times New Roman" w:eastAsia="Times New Roman" w:hAnsi="Times New Roman"/>
          <w:sz w:val="24"/>
          <w:szCs w:val="24"/>
        </w:rPr>
        <w:t xml:space="preserve">N. Provos and D. Mazières, "A Future-Adaptable Password Scheme," in Proc. 1999 USENIX Annu. Tech. Conf. (USENIX ATC ‘99), Monterey, CA, USA, Jun. 1999, pp. 81‑92.</w:t>
      </w:r>
    </w:p>
    <w:p>
      <w:pPr>
        <w:spacing w:after="180" w:before="0" w:line="300" w:lineRule="auto"/>
        <w:ind w:left="720" w:hanging="720"/>
        <w:jc w:val="left"/>
      </w:pPr>
      <w:r>
        <w:rPr>
          <w:rFonts w:ascii="Times New Roman" w:cs="Times New Roman" w:eastAsia="Times New Roman" w:hAnsi="Times New Roman"/>
          <w:sz w:val="24"/>
          <w:szCs w:val="24"/>
        </w:rPr>
        <w:t xml:space="preserve">[33]	</w:t>
      </w:r>
      <w:r>
        <w:rPr>
          <w:rFonts w:ascii="Times New Roman" w:cs="Times New Roman" w:eastAsia="Times New Roman" w:hAnsi="Times New Roman"/>
          <w:sz w:val="24"/>
          <w:szCs w:val="24"/>
        </w:rPr>
        <w:t xml:space="preserve">N. Folkers, "express-rate-limit — Basic IP rate-limiting middleware for Express," npmjs.com, 2024. [Online]. Available: https://www.npmjs.com/package/express-rate-limit</w:t>
      </w:r>
    </w:p>
    <w:p>
      <w:pPr>
        <w:spacing w:after="180" w:before="0" w:line="300" w:lineRule="auto"/>
        <w:ind w:left="720" w:hanging="720"/>
        <w:jc w:val="left"/>
      </w:pPr>
      <w:r>
        <w:rPr>
          <w:rFonts w:ascii="Times New Roman" w:cs="Times New Roman" w:eastAsia="Times New Roman" w:hAnsi="Times New Roman"/>
          <w:sz w:val="24"/>
          <w:szCs w:val="24"/>
        </w:rPr>
        <w:t xml:space="preserve">[34]	</w:t>
      </w:r>
      <w:r>
        <w:rPr>
          <w:rFonts w:ascii="Times New Roman" w:cs="Times New Roman" w:eastAsia="Times New Roman" w:hAnsi="Times New Roman"/>
          <w:sz w:val="24"/>
          <w:szCs w:val="24"/>
        </w:rPr>
        <w:t xml:space="preserve">M. T. Nygard, Release It! Design and Deploy Production-Ready Software, 2nd ed. Raleigh, NC, USA: Pragmatic Bookshelf, 2018. ISBN 978‑1‑68050‑2398.</w:t>
      </w:r>
    </w:p>
    <w:p>
      <w:pPr>
        <w:spacing w:after="180" w:before="0" w:line="300" w:lineRule="auto"/>
        <w:ind w:left="720" w:hanging="720"/>
        <w:jc w:val="left"/>
      </w:pPr>
      <w:r>
        <w:rPr>
          <w:rFonts w:ascii="Times New Roman" w:cs="Times New Roman" w:eastAsia="Times New Roman" w:hAnsi="Times New Roman"/>
          <w:sz w:val="24"/>
          <w:szCs w:val="24"/>
        </w:rPr>
        <w:t xml:space="preserve">[35]	</w:t>
      </w:r>
      <w:r>
        <w:rPr>
          <w:rFonts w:ascii="Times New Roman" w:cs="Times New Roman" w:eastAsia="Times New Roman" w:hAnsi="Times New Roman"/>
          <w:sz w:val="24"/>
          <w:szCs w:val="24"/>
        </w:rPr>
        <w:t xml:space="preserve">B. Burns, J. Beda, K. Hightower, and L. Evenson, Kubernetes: Up and Running, 3rd ed. Sebastopol, CA, USA: O’Reilly Media, 2022. ISBN 978‑1‑09811‑0208.</w:t>
      </w:r>
    </w:p>
    <w:p>
      <w:pPr>
        <w:spacing w:after="180" w:before="0" w:line="300" w:lineRule="auto"/>
        <w:ind w:left="720" w:hanging="720"/>
        <w:jc w:val="left"/>
      </w:pPr>
      <w:r>
        <w:rPr>
          <w:rFonts w:ascii="Times New Roman" w:cs="Times New Roman" w:eastAsia="Times New Roman" w:hAnsi="Times New Roman"/>
          <w:sz w:val="24"/>
          <w:szCs w:val="24"/>
        </w:rPr>
        <w:t xml:space="preserve">[36]	</w:t>
      </w:r>
      <w:r>
        <w:rPr>
          <w:rFonts w:ascii="Times New Roman" w:cs="Times New Roman" w:eastAsia="Times New Roman" w:hAnsi="Times New Roman"/>
          <w:sz w:val="24"/>
          <w:szCs w:val="24"/>
        </w:rPr>
        <w:t xml:space="preserve">Twilio, "Programmable Messaging API," twilio.com, 2024. [Online]. Available: https://www.twilio.com/docs/messaging/api</w:t>
      </w:r>
    </w:p>
    <w:p>
      <w:pPr>
        <w:spacing w:after="180" w:before="0" w:line="300" w:lineRule="auto"/>
        <w:ind w:left="720" w:hanging="720"/>
        <w:jc w:val="left"/>
      </w:pPr>
      <w:r>
        <w:rPr>
          <w:rFonts w:ascii="Times New Roman" w:cs="Times New Roman" w:eastAsia="Times New Roman" w:hAnsi="Times New Roman"/>
          <w:sz w:val="24"/>
          <w:szCs w:val="24"/>
        </w:rPr>
        <w:t xml:space="preserve">[37]	</w:t>
      </w:r>
      <w:r>
        <w:rPr>
          <w:rFonts w:ascii="Times New Roman" w:cs="Times New Roman" w:eastAsia="Times New Roman" w:hAnsi="Times New Roman"/>
          <w:sz w:val="24"/>
          <w:szCs w:val="24"/>
        </w:rPr>
        <w:t xml:space="preserve">Google, "Firebase Cloud Messaging," firebase.google.com, 2024. [Online]. Available: https://firebase.google.com/docs/cloud-messaging</w:t>
      </w:r>
    </w:p>
    <w:p>
      <w:pPr>
        <w:spacing w:after="180" w:before="0" w:line="300" w:lineRule="auto"/>
        <w:ind w:left="720" w:hanging="720"/>
        <w:jc w:val="left"/>
      </w:pPr>
      <w:r>
        <w:rPr>
          <w:rFonts w:ascii="Times New Roman" w:cs="Times New Roman" w:eastAsia="Times New Roman" w:hAnsi="Times New Roman"/>
          <w:sz w:val="24"/>
          <w:szCs w:val="24"/>
        </w:rPr>
        <w:t xml:space="preserve">[38]	</w:t>
      </w:r>
      <w:r>
        <w:rPr>
          <w:rFonts w:ascii="Times New Roman" w:cs="Times New Roman" w:eastAsia="Times New Roman" w:hAnsi="Times New Roman"/>
          <w:sz w:val="24"/>
          <w:szCs w:val="24"/>
        </w:rPr>
        <w:t xml:space="preserve">Nodemailer, "Nodemailer — Send e-mails from Node.js," nodemailer.com, 2024. [Online]. Available: https://nodemailer.com/</w:t>
      </w:r>
    </w:p>
    <w:p>
      <w:pPr>
        <w:spacing w:after="180" w:before="0" w:line="300" w:lineRule="auto"/>
        <w:ind w:left="720" w:hanging="720"/>
        <w:jc w:val="left"/>
      </w:pPr>
      <w:r>
        <w:rPr>
          <w:rFonts w:ascii="Times New Roman" w:cs="Times New Roman" w:eastAsia="Times New Roman" w:hAnsi="Times New Roman"/>
          <w:sz w:val="24"/>
          <w:szCs w:val="24"/>
        </w:rPr>
        <w:t xml:space="preserve">[39]	</w:t>
      </w:r>
      <w:r>
        <w:rPr>
          <w:rFonts w:ascii="Times New Roman" w:cs="Times New Roman" w:eastAsia="Times New Roman" w:hAnsi="Times New Roman"/>
          <w:sz w:val="24"/>
          <w:szCs w:val="24"/>
        </w:rPr>
        <w:t xml:space="preserve">IEEE, IEEE Standard Dictionary of Measures of the Software Aspects of Dependability, IEEE Std 982.1-2005, Jul. 2006, doi: 10.1109/IEEESTD.2006.215767.</w:t>
      </w:r>
    </w:p>
    <w:p>
      <w:pPr>
        <w:spacing w:after="180" w:before="0" w:line="300" w:lineRule="auto"/>
        <w:ind w:left="720" w:hanging="720"/>
        <w:jc w:val="left"/>
      </w:pPr>
      <w:r>
        <w:rPr>
          <w:rFonts w:ascii="Times New Roman" w:cs="Times New Roman" w:eastAsia="Times New Roman" w:hAnsi="Times New Roman"/>
          <w:sz w:val="24"/>
          <w:szCs w:val="24"/>
        </w:rPr>
        <w:t xml:space="preserve">[40]	</w:t>
      </w:r>
      <w:r>
        <w:rPr>
          <w:rFonts w:ascii="Times New Roman" w:cs="Times New Roman" w:eastAsia="Times New Roman" w:hAnsi="Times New Roman"/>
          <w:sz w:val="24"/>
          <w:szCs w:val="24"/>
        </w:rPr>
        <w:t xml:space="preserve">RabbitMQ, "Consumer Acknowledgements and Publisher Confirms," rabbitmq.com, 2024. [Online]. Available: https://www.rabbitmq.com/docs/confirms</w:t>
      </w:r>
    </w:p>
    <w:p>
      <w:pPr>
        <w:spacing w:after="180" w:before="0" w:line="300" w:lineRule="auto"/>
        <w:ind w:left="720" w:hanging="720"/>
        <w:jc w:val="left"/>
      </w:pPr>
      <w:r>
        <w:rPr>
          <w:rFonts w:ascii="Times New Roman" w:cs="Times New Roman" w:eastAsia="Times New Roman" w:hAnsi="Times New Roman"/>
          <w:sz w:val="24"/>
          <w:szCs w:val="24"/>
        </w:rPr>
        <w:t xml:space="preserve">[41]	</w:t>
      </w:r>
      <w:r>
        <w:rPr>
          <w:rFonts w:ascii="Times New Roman" w:cs="Times New Roman" w:eastAsia="Times New Roman" w:hAnsi="Times New Roman"/>
          <w:sz w:val="24"/>
          <w:szCs w:val="24"/>
        </w:rPr>
        <w:t xml:space="preserve">W. W. Royce, "Managing the Development of Large Software Systems," in Proc. IEEE WESCON, Los Angeles, CA, USA, Aug. 1970, pp. 1‑9.</w:t>
      </w:r>
    </w:p>
    <w:p>
      <w:pPr>
        <w:spacing w:after="180" w:before="0" w:line="300" w:lineRule="auto"/>
        <w:ind w:left="720" w:hanging="720"/>
        <w:jc w:val="left"/>
      </w:pPr>
      <w:r>
        <w:rPr>
          <w:rFonts w:ascii="Times New Roman" w:cs="Times New Roman" w:eastAsia="Times New Roman" w:hAnsi="Times New Roman"/>
          <w:sz w:val="24"/>
          <w:szCs w:val="24"/>
        </w:rPr>
        <w:t xml:space="preserve">[42]	</w:t>
      </w:r>
      <w:r>
        <w:rPr>
          <w:rFonts w:ascii="Times New Roman" w:cs="Times New Roman" w:eastAsia="Times New Roman" w:hAnsi="Times New Roman"/>
          <w:sz w:val="24"/>
          <w:szCs w:val="24"/>
        </w:rPr>
        <w:t xml:space="preserve">OpenJS Foundation, "Express — Fast, unopinionated, minimalist web framework for Node.js," expressjs.com, 2024. [Online]. Available: https://expressjs.com/</w:t>
      </w:r>
    </w:p>
    <w:p>
      <w:pPr>
        <w:spacing w:after="180" w:before="0" w:line="300" w:lineRule="auto"/>
        <w:ind w:left="720" w:hanging="720"/>
        <w:jc w:val="left"/>
      </w:pPr>
      <w:r>
        <w:rPr>
          <w:rFonts w:ascii="Times New Roman" w:cs="Times New Roman" w:eastAsia="Times New Roman" w:hAnsi="Times New Roman"/>
          <w:sz w:val="24"/>
          <w:szCs w:val="24"/>
        </w:rPr>
        <w:t xml:space="preserve">[43]	</w:t>
      </w:r>
      <w:r>
        <w:rPr>
          <w:rFonts w:ascii="Times New Roman" w:cs="Times New Roman" w:eastAsia="Times New Roman" w:hAnsi="Times New Roman"/>
          <w:sz w:val="24"/>
          <w:szCs w:val="24"/>
        </w:rPr>
        <w:t xml:space="preserve">Vercel, "Next.js — The React Framework for the Web," nextjs.org, 2024. [Online]. Available: https://nextjs.org/docs</w:t>
      </w:r>
    </w:p>
    <w:p>
      <w:pPr>
        <w:spacing w:after="180" w:before="0" w:line="300" w:lineRule="auto"/>
        <w:ind w:left="720" w:hanging="720"/>
        <w:jc w:val="left"/>
      </w:pPr>
      <w:r>
        <w:rPr>
          <w:rFonts w:ascii="Times New Roman" w:cs="Times New Roman" w:eastAsia="Times New Roman" w:hAnsi="Times New Roman"/>
          <w:sz w:val="24"/>
          <w:szCs w:val="24"/>
        </w:rPr>
        <w:t xml:space="preserve">[44]	</w:t>
      </w:r>
      <w:r>
        <w:rPr>
          <w:rFonts w:ascii="Times New Roman" w:cs="Times New Roman" w:eastAsia="Times New Roman" w:hAnsi="Times New Roman"/>
          <w:sz w:val="24"/>
          <w:szCs w:val="24"/>
        </w:rPr>
        <w:t xml:space="preserve">The PostgreSQL Global Development Group, "PostgreSQL: The world's most advanced open source database," postgresql.org, 2024. [Online]. Available: https://www.postgresql.org/docs/</w:t>
      </w:r>
    </w:p>
    <w:p>
      <w:pPr>
        <w:spacing w:after="180" w:before="0" w:line="300" w:lineRule="auto"/>
        <w:ind w:left="720" w:hanging="720"/>
        <w:jc w:val="left"/>
      </w:pPr>
      <w:r>
        <w:rPr>
          <w:rFonts w:ascii="Times New Roman" w:cs="Times New Roman" w:eastAsia="Times New Roman" w:hAnsi="Times New Roman"/>
          <w:sz w:val="24"/>
          <w:szCs w:val="24"/>
        </w:rPr>
        <w:t xml:space="preserve">[45]	</w:t>
      </w:r>
      <w:r>
        <w:rPr>
          <w:rFonts w:ascii="Times New Roman" w:cs="Times New Roman" w:eastAsia="Times New Roman" w:hAnsi="Times New Roman"/>
          <w:sz w:val="24"/>
          <w:szCs w:val="24"/>
        </w:rPr>
        <w:t xml:space="preserve">A. Petros and contributors, "Helmet — Help secure Express apps with various HTTP headers," helmetjs.github.io, 2024. [Online]. Available: https://helmetjs.github.io/</w:t>
      </w:r>
    </w:p>
    <w:p>
      <w:pPr>
        <w:spacing w:after="180" w:before="0" w:line="300" w:lineRule="auto"/>
        <w:ind w:left="720" w:hanging="720"/>
        <w:jc w:val="left"/>
      </w:pPr>
      <w:r>
        <w:rPr>
          <w:rFonts w:ascii="Times New Roman" w:cs="Times New Roman" w:eastAsia="Times New Roman" w:hAnsi="Times New Roman"/>
          <w:sz w:val="24"/>
          <w:szCs w:val="24"/>
        </w:rPr>
        <w:t xml:space="preserve">[46]	</w:t>
      </w:r>
      <w:r>
        <w:rPr>
          <w:rFonts w:ascii="Times New Roman" w:cs="Times New Roman" w:eastAsia="Times New Roman" w:hAnsi="Times New Roman"/>
          <w:sz w:val="24"/>
          <w:szCs w:val="24"/>
        </w:rPr>
        <w:t xml:space="preserve">L. Bass, P. Clements, and R. Kazman, Software Architecture in Practice, 4th ed. Boston, MA, USA: Addison-Wesley, 2021. ISBN 978-0-13-688609-9.</w:t>
      </w:r>
    </w:p>
    <w:p>
      <w:pPr>
        <w:spacing w:after="180" w:before="0" w:line="300" w:lineRule="auto"/>
        <w:ind w:left="720" w:hanging="720"/>
        <w:jc w:val="left"/>
      </w:pPr>
      <w:r>
        <w:rPr>
          <w:rFonts w:ascii="Times New Roman" w:cs="Times New Roman" w:eastAsia="Times New Roman" w:hAnsi="Times New Roman"/>
          <w:sz w:val="24"/>
          <w:szCs w:val="24"/>
        </w:rPr>
        <w:t xml:space="preserve">[47]	</w:t>
      </w:r>
      <w:r>
        <w:rPr>
          <w:rFonts w:ascii="Times New Roman" w:cs="Times New Roman" w:eastAsia="Times New Roman" w:hAnsi="Times New Roman"/>
          <w:sz w:val="24"/>
          <w:szCs w:val="24"/>
        </w:rPr>
        <w:t xml:space="preserve">gRPC Authors, "gRPC — A high-performance, open source universal RPC framework," grpc.io, 2024. [Online]. Available: https://grpc.io/docs/</w:t>
      </w:r>
    </w:p>
    <w:p>
      <w:pPr>
        <w:spacing w:after="180" w:before="0" w:line="300" w:lineRule="auto"/>
        <w:ind w:left="720" w:hanging="720"/>
        <w:jc w:val="left"/>
      </w:pPr>
      <w:r>
        <w:rPr>
          <w:rFonts w:ascii="Times New Roman" w:cs="Times New Roman" w:eastAsia="Times New Roman" w:hAnsi="Times New Roman"/>
          <w:sz w:val="24"/>
          <w:szCs w:val="24"/>
        </w:rPr>
        <w:t xml:space="preserve">[48]	</w:t>
      </w:r>
      <w:r>
        <w:rPr>
          <w:rFonts w:ascii="Times New Roman" w:cs="Times New Roman" w:eastAsia="Times New Roman" w:hAnsi="Times New Roman"/>
          <w:sz w:val="24"/>
          <w:szCs w:val="24"/>
        </w:rPr>
        <w:t xml:space="preserve">M. Kleppmann, Designing Data-Intensive Applications: The Big Ideas Behind Reliable, Scalable, and Maintainable Systems. Sebastopol, CA, USA: O'Reilly Media, 2017. ISBN 978-1-449-37332-0.</w:t>
      </w:r>
    </w:p>
    <w:p>
      <w:pPr>
        <w:spacing w:after="180" w:before="0" w:line="300" w:lineRule="auto"/>
        <w:ind w:left="720" w:hanging="720"/>
        <w:jc w:val="left"/>
      </w:pPr>
      <w:r>
        <w:rPr>
          <w:rFonts w:ascii="Times New Roman" w:cs="Times New Roman" w:eastAsia="Times New Roman" w:hAnsi="Times New Roman"/>
          <w:sz w:val="24"/>
          <w:szCs w:val="24"/>
        </w:rPr>
        <w:t xml:space="preserve">[49]	</w:t>
      </w:r>
      <w:r>
        <w:rPr>
          <w:rFonts w:ascii="Times New Roman" w:cs="Times New Roman" w:eastAsia="Times New Roman" w:hAnsi="Times New Roman"/>
          <w:sz w:val="24"/>
          <w:szCs w:val="24"/>
        </w:rPr>
        <w:t xml:space="preserve">C. Anderson, "Docker [Software engineering]," IEEE Software, vol. 32, no. 3, pp. 102-c3, May 2015, doi: 10.1109/MS.2015.62.</w:t>
      </w:r>
    </w:p>
    <w:p>
      <w:pPr>
        <w:spacing w:after="180" w:before="0" w:line="300" w:lineRule="auto"/>
        <w:ind w:left="720" w:hanging="720"/>
        <w:jc w:val="left"/>
      </w:pPr>
      <w:r>
        <w:rPr>
          <w:rFonts w:ascii="Times New Roman" w:cs="Times New Roman" w:eastAsia="Times New Roman" w:hAnsi="Times New Roman"/>
          <w:sz w:val="24"/>
          <w:szCs w:val="24"/>
        </w:rPr>
        <w:t xml:space="preserve">[50]	</w:t>
      </w:r>
      <w:r>
        <w:rPr>
          <w:rFonts w:ascii="Times New Roman" w:cs="Times New Roman" w:eastAsia="Times New Roman" w:hAnsi="Times New Roman"/>
          <w:sz w:val="24"/>
          <w:szCs w:val="24"/>
        </w:rPr>
        <w:t xml:space="preserve">HashiCorp, "Nomad — Workload Orchestration Made Easy," nomadproject.io, 2024. [Online]. Available: https://www.nomadproject.io/docs</w:t>
      </w:r>
    </w:p>
    <w:p>
      <w:pPr>
        <w:spacing w:after="180" w:before="0" w:line="300" w:lineRule="auto"/>
        <w:ind w:left="720" w:hanging="720"/>
        <w:jc w:val="left"/>
      </w:pPr>
      <w:r>
        <w:rPr>
          <w:rFonts w:ascii="Times New Roman" w:cs="Times New Roman" w:eastAsia="Times New Roman" w:hAnsi="Times New Roman"/>
          <w:sz w:val="24"/>
          <w:szCs w:val="24"/>
        </w:rPr>
        <w:t xml:space="preserve">[51]	</w:t>
      </w:r>
      <w:r>
        <w:rPr>
          <w:rFonts w:ascii="Times New Roman" w:cs="Times New Roman" w:eastAsia="Times New Roman" w:hAnsi="Times New Roman"/>
          <w:sz w:val="24"/>
          <w:szCs w:val="24"/>
        </w:rPr>
        <w:t xml:space="preserve">OpenAI, "GPT-4V(ision) System Card," openai.com, Sep. 2023. [Online]. Available: https://openai.com/research/gpt-4v-system-card</w:t>
      </w:r>
    </w:p>
    <w:p>
      <w:pPr>
        <w:spacing w:after="180" w:before="0" w:line="300" w:lineRule="auto"/>
        <w:ind w:left="720" w:hanging="720"/>
        <w:jc w:val="left"/>
      </w:pPr>
      <w:r>
        <w:rPr>
          <w:rFonts w:ascii="Times New Roman" w:cs="Times New Roman" w:eastAsia="Times New Roman" w:hAnsi="Times New Roman"/>
          <w:sz w:val="24"/>
          <w:szCs w:val="24"/>
        </w:rPr>
        <w:t xml:space="preserve">[52]	</w:t>
      </w:r>
      <w:r>
        <w:rPr>
          <w:rFonts w:ascii="Times New Roman" w:cs="Times New Roman" w:eastAsia="Times New Roman" w:hAnsi="Times New Roman"/>
          <w:sz w:val="24"/>
          <w:szCs w:val="24"/>
        </w:rPr>
        <w:t xml:space="preserve">Anthropic, "Introducing Claude 3.5 Sonnet," anthropic.com, Jun. 2024. [Online]. Available: https://www.anthropic.com/news/claude-3-5-sonnet</w:t>
      </w:r>
    </w:p>
    <w:p>
      <w:pPr>
        <w:spacing w:after="180" w:before="0" w:line="300" w:lineRule="auto"/>
        <w:ind w:left="720" w:hanging="720"/>
        <w:jc w:val="left"/>
      </w:pPr>
      <w:r>
        <w:rPr>
          <w:rFonts w:ascii="Times New Roman" w:cs="Times New Roman" w:eastAsia="Times New Roman" w:hAnsi="Times New Roman"/>
          <w:sz w:val="24"/>
          <w:szCs w:val="24"/>
        </w:rPr>
        <w:t xml:space="preserve">[53]	</w:t>
      </w:r>
      <w:r>
        <w:rPr>
          <w:rFonts w:ascii="Times New Roman" w:cs="Times New Roman" w:eastAsia="Times New Roman" w:hAnsi="Times New Roman"/>
          <w:sz w:val="24"/>
          <w:szCs w:val="24"/>
        </w:rPr>
        <w:t xml:space="preserve">H. Liu, C. Li, Q. Wu, and Y. J. Lee, "Visual Instruction Tuning," in Advances in Neural Information Processing Systems (NeurIPS), vol. 36, 2023, pp. 34892-34916.</w:t>
      </w:r>
    </w:p>
    <w:p>
      <w:pPr>
        <w:spacing w:after="180" w:before="0" w:line="300" w:lineRule="auto"/>
        <w:ind w:left="720" w:hanging="720"/>
        <w:jc w:val="left"/>
      </w:pPr>
      <w:r>
        <w:rPr>
          <w:rFonts w:ascii="Times New Roman" w:cs="Times New Roman" w:eastAsia="Times New Roman" w:hAnsi="Times New Roman"/>
          <w:sz w:val="24"/>
          <w:szCs w:val="24"/>
        </w:rPr>
        <w:t xml:space="preserve">[54]	</w:t>
      </w:r>
      <w:r>
        <w:rPr>
          <w:rFonts w:ascii="Times New Roman" w:cs="Times New Roman" w:eastAsia="Times New Roman" w:hAnsi="Times New Roman"/>
          <w:sz w:val="24"/>
          <w:szCs w:val="24"/>
        </w:rPr>
        <w:t xml:space="preserve">CivicPlus, "SeeClickFix 311 CRM," seeclickfix.com, 2024. [Online]. Available: https://seeclickfix.com/</w:t>
      </w:r>
    </w:p>
    <w:p>
      <w:pPr>
        <w:spacing w:after="180" w:before="0" w:line="300" w:lineRule="auto"/>
        <w:ind w:left="720" w:hanging="720"/>
        <w:jc w:val="left"/>
      </w:pPr>
      <w:r>
        <w:rPr>
          <w:rFonts w:ascii="Times New Roman" w:cs="Times New Roman" w:eastAsia="Times New Roman" w:hAnsi="Times New Roman"/>
          <w:sz w:val="24"/>
          <w:szCs w:val="24"/>
        </w:rPr>
        <w:t xml:space="preserve">[55]	</w:t>
      </w:r>
      <w:r>
        <w:rPr>
          <w:rFonts w:ascii="Times New Roman" w:cs="Times New Roman" w:eastAsia="Times New Roman" w:hAnsi="Times New Roman"/>
          <w:sz w:val="24"/>
          <w:szCs w:val="24"/>
        </w:rPr>
        <w:t xml:space="preserve">C. N. E. Anagnostopoulos, I. E. Anagnostopoulos, I. D. Psoroulas, V. Loumos, and E. Kayafas, "License Plate Recognition From Still Images and Video Sequences: A Survey," IEEE Trans. Intell. Transp. Syst., vol. 9, no. 3, pp. 377-391, Sep. 2008, doi: 10.1109/TITS.2008.922938.</w:t>
      </w:r>
    </w:p>
    <w:p>
      <w:pPr>
        <w:spacing w:after="180" w:before="0" w:line="300" w:lineRule="auto"/>
        <w:ind w:left="720" w:hanging="720"/>
        <w:jc w:val="left"/>
      </w:pPr>
      <w:r>
        <w:rPr>
          <w:rFonts w:ascii="Times New Roman" w:cs="Times New Roman" w:eastAsia="Times New Roman" w:hAnsi="Times New Roman"/>
          <w:sz w:val="24"/>
          <w:szCs w:val="24"/>
        </w:rPr>
        <w:t xml:space="preserve">[56]	</w:t>
      </w:r>
      <w:r>
        <w:rPr>
          <w:rFonts w:ascii="Times New Roman" w:cs="Times New Roman" w:eastAsia="Times New Roman" w:hAnsi="Times New Roman"/>
          <w:sz w:val="24"/>
          <w:szCs w:val="24"/>
        </w:rPr>
        <w:t xml:space="preserve">OpenJS Foundation, "Node.js v22 Documentation," nodejs.org, 2024. [Online]. Available: https://nodejs.org/docs/latest-v22.x/api/</w:t>
      </w:r>
    </w:p>
    <w:p>
      <w:pPr>
        <w:spacing w:after="180" w:before="0" w:line="300" w:lineRule="auto"/>
        <w:ind w:left="720" w:hanging="720"/>
        <w:jc w:val="left"/>
      </w:pPr>
      <w:r>
        <w:rPr>
          <w:rFonts w:ascii="Times New Roman" w:cs="Times New Roman" w:eastAsia="Times New Roman" w:hAnsi="Times New Roman"/>
          <w:sz w:val="24"/>
          <w:szCs w:val="24"/>
        </w:rPr>
        <w:t xml:space="preserve">[57]	</w:t>
      </w:r>
      <w:r>
        <w:rPr>
          <w:rFonts w:ascii="Times New Roman" w:cs="Times New Roman" w:eastAsia="Times New Roman" w:hAnsi="Times New Roman"/>
          <w:sz w:val="24"/>
          <w:szCs w:val="24"/>
        </w:rPr>
        <w:t xml:space="preserve">S. Ramírez, "FastAPI — Modern, fast (high-performance), web framework for building APIs with Python," fastapi.tiangolo.com, 2024. [Online]. Available: https://fastapi.tiangolo.com/</w:t>
      </w:r>
    </w:p>
    <w:p>
      <w:pPr>
        <w:spacing w:after="180" w:before="0" w:line="300" w:lineRule="auto"/>
        <w:ind w:left="720" w:hanging="720"/>
        <w:jc w:val="left"/>
      </w:pPr>
      <w:r>
        <w:rPr>
          <w:rFonts w:ascii="Times New Roman" w:cs="Times New Roman" w:eastAsia="Times New Roman" w:hAnsi="Times New Roman"/>
          <w:sz w:val="24"/>
          <w:szCs w:val="24"/>
        </w:rPr>
        <w:t xml:space="preserve">[58]	</w:t>
      </w:r>
      <w:r>
        <w:rPr>
          <w:rFonts w:ascii="Times New Roman" w:cs="Times New Roman" w:eastAsia="Times New Roman" w:hAnsi="Times New Roman"/>
          <w:sz w:val="24"/>
          <w:szCs w:val="24"/>
        </w:rPr>
        <w:t xml:space="preserve">VMware, "Spring Boot Reference Documentation," spring.io, 2024. [Online]. Available: https://docs.spring.io/spring-boot/docs/current/reference/html/</w:t>
      </w:r>
    </w:p>
    <w:p>
      <w:pPr>
        <w:spacing w:after="180" w:before="0" w:line="300" w:lineRule="auto"/>
        <w:ind w:left="720" w:hanging="720"/>
        <w:jc w:val="left"/>
      </w:pPr>
      <w:r>
        <w:rPr>
          <w:rFonts w:ascii="Times New Roman" w:cs="Times New Roman" w:eastAsia="Times New Roman" w:hAnsi="Times New Roman"/>
          <w:sz w:val="24"/>
          <w:szCs w:val="24"/>
        </w:rPr>
        <w:t xml:space="preserve">[59]	</w:t>
      </w:r>
      <w:r>
        <w:rPr>
          <w:rFonts w:ascii="Times New Roman" w:cs="Times New Roman" w:eastAsia="Times New Roman" w:hAnsi="Times New Roman"/>
          <w:sz w:val="24"/>
          <w:szCs w:val="24"/>
        </w:rPr>
        <w:t xml:space="preserve">The Go Authors, "The Go Programming Language Specification," go.dev, 2024. [Online]. Available: https://go.dev/ref/spec</w:t>
      </w:r>
    </w:p>
    <w:p>
      <w:pPr>
        <w:spacing w:after="180" w:before="0" w:line="300" w:lineRule="auto"/>
        <w:ind w:left="720" w:hanging="720"/>
        <w:jc w:val="left"/>
      </w:pPr>
      <w:r>
        <w:rPr>
          <w:rFonts w:ascii="Times New Roman" w:cs="Times New Roman" w:eastAsia="Times New Roman" w:hAnsi="Times New Roman"/>
          <w:sz w:val="24"/>
          <w:szCs w:val="24"/>
        </w:rPr>
        <w:t xml:space="preserve">[60]	</w:t>
      </w:r>
      <w:r>
        <w:rPr>
          <w:rFonts w:ascii="Times New Roman" w:cs="Times New Roman" w:eastAsia="Times New Roman" w:hAnsi="Times New Roman"/>
          <w:sz w:val="24"/>
          <w:szCs w:val="24"/>
        </w:rPr>
        <w:t xml:space="preserve">M. Collina and Fastify contributors, "Fastify — Fast and low overhead web framework for Node.js," fastify.dev, 2024. [Online]. Available: https://fastify.dev/docs/latest/</w:t>
      </w:r>
    </w:p>
    <w:p>
      <w:pPr>
        <w:spacing w:after="180" w:before="0" w:line="300" w:lineRule="auto"/>
        <w:ind w:left="720" w:hanging="720"/>
        <w:jc w:val="left"/>
      </w:pPr>
      <w:r>
        <w:rPr>
          <w:rFonts w:ascii="Times New Roman" w:cs="Times New Roman" w:eastAsia="Times New Roman" w:hAnsi="Times New Roman"/>
          <w:sz w:val="24"/>
          <w:szCs w:val="24"/>
        </w:rPr>
        <w:t xml:space="preserve">[61]	</w:t>
      </w:r>
      <w:r>
        <w:rPr>
          <w:rFonts w:ascii="Times New Roman" w:cs="Times New Roman" w:eastAsia="Times New Roman" w:hAnsi="Times New Roman"/>
          <w:sz w:val="24"/>
          <w:szCs w:val="24"/>
        </w:rPr>
        <w:t xml:space="preserve">A. Kane and pgvector contributors, "pgvector — Open-source vector similarity search for PostgreSQL," github.com, 2024. [Online]. Available: https://github.com/pgvector/pgvector</w:t>
      </w:r>
    </w:p>
    <w:p>
      <w:pPr>
        <w:spacing w:after="180" w:before="0" w:line="300" w:lineRule="auto"/>
        <w:ind w:left="720" w:hanging="720"/>
        <w:jc w:val="left"/>
      </w:pPr>
      <w:r>
        <w:rPr>
          <w:rFonts w:ascii="Times New Roman" w:cs="Times New Roman" w:eastAsia="Times New Roman" w:hAnsi="Times New Roman"/>
          <w:sz w:val="24"/>
          <w:szCs w:val="24"/>
        </w:rPr>
        <w:t xml:space="preserve">[62]	</w:t>
      </w:r>
      <w:r>
        <w:rPr>
          <w:rFonts w:ascii="Times New Roman" w:cs="Times New Roman" w:eastAsia="Times New Roman" w:hAnsi="Times New Roman"/>
          <w:sz w:val="24"/>
          <w:szCs w:val="24"/>
        </w:rPr>
        <w:t xml:space="preserve">K. Schwaber and J. Sutherland, "The Scrum Guide," scrumguides.org, Nov. 2020. [Online]. Available: https://scrumguides.org/scrum-guide.html</w:t>
      </w:r>
    </w:p>
    <w:p>
      <w:pPr>
        <w:spacing w:after="180" w:before="0" w:line="300" w:lineRule="auto"/>
        <w:ind w:left="720" w:hanging="720"/>
        <w:jc w:val="left"/>
      </w:pPr>
      <w:r>
        <w:rPr>
          <w:rFonts w:ascii="Times New Roman" w:cs="Times New Roman" w:eastAsia="Times New Roman" w:hAnsi="Times New Roman"/>
          <w:sz w:val="24"/>
          <w:szCs w:val="24"/>
        </w:rPr>
        <w:t xml:space="preserve">[63]	</w:t>
      </w:r>
      <w:r>
        <w:rPr>
          <w:rFonts w:ascii="Times New Roman" w:cs="Times New Roman" w:eastAsia="Times New Roman" w:hAnsi="Times New Roman"/>
          <w:sz w:val="24"/>
          <w:szCs w:val="24"/>
        </w:rPr>
        <w:t xml:space="preserve">M. Madsen, "Stateless authentication with JSON Web Tokens," in Proc. 8th Int. Conf. on Internet Technology and Secured Transactions (ICITST), London, U.K., Dec. 2013, pp. 700-705.</w:t>
      </w:r>
    </w:p>
    <w:p>
      <w:pPr>
        <w:spacing w:after="180" w:before="0" w:line="300" w:lineRule="auto"/>
        <w:ind w:left="720" w:hanging="720"/>
        <w:jc w:val="left"/>
      </w:pPr>
      <w:r>
        <w:rPr>
          <w:rFonts w:ascii="Times New Roman" w:cs="Times New Roman" w:eastAsia="Times New Roman" w:hAnsi="Times New Roman"/>
          <w:sz w:val="24"/>
          <w:szCs w:val="24"/>
        </w:rPr>
        <w:t xml:space="preserve">[64]	</w:t>
      </w:r>
      <w:r>
        <w:rPr>
          <w:rFonts w:ascii="Times New Roman" w:cs="Times New Roman" w:eastAsia="Times New Roman" w:hAnsi="Times New Roman"/>
          <w:sz w:val="24"/>
          <w:szCs w:val="24"/>
        </w:rPr>
        <w:t xml:space="preserve">A. Biryukov, D. Dinu, and D. Khovratovich, "Argon2: New Generation of Memory-Hard Functions for Password Hashing and Other Applications," in Proc. 2016 IEEE European Symp. Security and Privacy (EuroS&amp;P), Saarbrücken, Germany, Mar. 2016, pp. 292-302, doi: 10.1109/EuroSP.2016.31.</w:t>
      </w:r>
    </w:p>
    <w:p>
      <w:pPr>
        <w:spacing w:after="180" w:before="0" w:line="300" w:lineRule="auto"/>
        <w:ind w:left="720" w:hanging="720"/>
        <w:jc w:val="left"/>
      </w:pPr>
      <w:r>
        <w:rPr>
          <w:rFonts w:ascii="Times New Roman" w:cs="Times New Roman" w:eastAsia="Times New Roman" w:hAnsi="Times New Roman"/>
          <w:sz w:val="24"/>
          <w:szCs w:val="24"/>
        </w:rPr>
        <w:t xml:space="preserve">[65]	</w:t>
      </w:r>
      <w:r>
        <w:rPr>
          <w:rFonts w:ascii="Times New Roman" w:cs="Times New Roman" w:eastAsia="Times New Roman" w:hAnsi="Times New Roman"/>
          <w:sz w:val="24"/>
          <w:szCs w:val="24"/>
        </w:rPr>
        <w:t xml:space="preserve">A. Biryukov, D. Dinu, D. Khovratovich, and S. Josefsson, "Argon2 Memory-Hard Function for Password Hashing and Proof-of-Work Applications," IETF, RFC 9106, Sep. 2021. [Online]. Available: https://datatracker.ietf.org/doc/html/rfc9106</w:t>
      </w:r>
    </w:p>
    <w:p>
      <w:pPr>
        <w:spacing w:after="180" w:before="0" w:line="300" w:lineRule="auto"/>
        <w:ind w:left="720" w:hanging="720"/>
        <w:jc w:val="left"/>
      </w:pPr>
      <w:r>
        <w:rPr>
          <w:rFonts w:ascii="Times New Roman" w:cs="Times New Roman" w:eastAsia="Times New Roman" w:hAnsi="Times New Roman"/>
          <w:sz w:val="24"/>
          <w:szCs w:val="24"/>
        </w:rPr>
        <w:t xml:space="preserve">[66]	</w:t>
      </w:r>
      <w:r>
        <w:rPr>
          <w:rFonts w:ascii="Times New Roman" w:cs="Times New Roman" w:eastAsia="Times New Roman" w:hAnsi="Times New Roman"/>
          <w:sz w:val="24"/>
          <w:szCs w:val="24"/>
        </w:rPr>
        <w:t xml:space="preserve">Express.js team, "Multer — Node.js middleware for handling multipart/form-data," npmjs.com, 2024. [Online]. Available: https://www.npmjs.com/package/multer</w:t>
      </w:r>
    </w:p>
    <w:p>
      <w:pPr>
        <w:spacing w:after="180" w:before="0" w:line="300" w:lineRule="auto"/>
        <w:ind w:left="720" w:hanging="720"/>
        <w:jc w:val="left"/>
      </w:pPr>
      <w:r>
        <w:rPr>
          <w:rFonts w:ascii="Times New Roman" w:cs="Times New Roman" w:eastAsia="Times New Roman" w:hAnsi="Times New Roman"/>
          <w:sz w:val="24"/>
          <w:szCs w:val="24"/>
        </w:rPr>
        <w:t xml:space="preserve">[67]	</w:t>
      </w:r>
      <w:r>
        <w:rPr>
          <w:rFonts w:ascii="Times New Roman" w:cs="Times New Roman" w:eastAsia="Times New Roman" w:hAnsi="Times New Roman"/>
          <w:sz w:val="24"/>
          <w:szCs w:val="24"/>
        </w:rPr>
        <w:t xml:space="preserve">Meta Platforms, "Jest — Delightful JavaScript Testing Framework," jestjs.io, 2024. [Online]. Available: https://jestjs.io/docs/getting-started</w:t>
      </w:r>
    </w:p>
    <w:p>
      <w:pPr>
        <w:spacing w:after="180" w:before="0" w:line="300" w:lineRule="auto"/>
        <w:ind w:left="720" w:hanging="720"/>
        <w:jc w:val="left"/>
      </w:pPr>
      <w:r>
        <w:rPr>
          <w:rFonts w:ascii="Times New Roman" w:cs="Times New Roman" w:eastAsia="Times New Roman" w:hAnsi="Times New Roman"/>
          <w:sz w:val="24"/>
          <w:szCs w:val="24"/>
        </w:rPr>
        <w:t xml:space="preserve">[68]	</w:t>
      </w:r>
      <w:r>
        <w:rPr>
          <w:rFonts w:ascii="Times New Roman" w:cs="Times New Roman" w:eastAsia="Times New Roman" w:hAnsi="Times New Roman"/>
          <w:sz w:val="24"/>
          <w:szCs w:val="24"/>
        </w:rPr>
        <w:t xml:space="preserve">D. Byrd and Supertest contributors, "Supertest — HTTP assertions for Node.js made easy," github.com, 2024. [Online]. Available: https://github.com/ladjs/supertest</w:t>
      </w:r>
    </w:p>
    <w:p>
      <w:pPr>
        <w:spacing w:after="180" w:before="0" w:line="300" w:lineRule="auto"/>
        <w:ind w:left="720" w:hanging="720"/>
        <w:jc w:val="left"/>
      </w:pPr>
      <w:r>
        <w:rPr>
          <w:rFonts w:ascii="Times New Roman" w:cs="Times New Roman" w:eastAsia="Times New Roman" w:hAnsi="Times New Roman"/>
          <w:sz w:val="24"/>
          <w:szCs w:val="24"/>
        </w:rPr>
        <w:t xml:space="preserve">[69]	</w:t>
      </w:r>
      <w:r>
        <w:rPr>
          <w:rFonts w:ascii="Times New Roman" w:cs="Times New Roman" w:eastAsia="Times New Roman" w:hAnsi="Times New Roman"/>
          <w:sz w:val="24"/>
          <w:szCs w:val="24"/>
        </w:rPr>
        <w:t xml:space="preserve">A. Patak and Vitest contributors, "Vitest — Next generation testing framework powered by Vite," vitest.dev, 2024. [Online]. Available: https://vitest.dev/guide/</w:t>
      </w:r>
    </w:p>
    <w:p>
      <w:pPr>
        <w:spacing w:after="180" w:before="0" w:line="300" w:lineRule="auto"/>
        <w:ind w:left="720" w:hanging="720"/>
        <w:jc w:val="left"/>
      </w:pPr>
      <w:r>
        <w:rPr>
          <w:rFonts w:ascii="Times New Roman" w:cs="Times New Roman" w:eastAsia="Times New Roman" w:hAnsi="Times New Roman"/>
          <w:sz w:val="24"/>
          <w:szCs w:val="24"/>
        </w:rPr>
        <w:t xml:space="preserve">[70]	</w:t>
      </w:r>
      <w:r>
        <w:rPr>
          <w:rFonts w:ascii="Times New Roman" w:cs="Times New Roman" w:eastAsia="Times New Roman" w:hAnsi="Times New Roman"/>
          <w:sz w:val="24"/>
          <w:szCs w:val="24"/>
        </w:rPr>
        <w:t xml:space="preserve">E. You, "Vite — Next Generation Frontend Tooling," vitejs.dev, 2024. [Online]. Available: https://vitejs.dev/guide/</w:t>
      </w:r>
    </w:p>
    <w:p>
      <w:pPr>
        <w:spacing w:after="180" w:before="0" w:line="300" w:lineRule="auto"/>
        <w:ind w:left="720" w:hanging="720"/>
        <w:jc w:val="left"/>
      </w:pPr>
      <w:r>
        <w:rPr>
          <w:rFonts w:ascii="Times New Roman" w:cs="Times New Roman" w:eastAsia="Times New Roman" w:hAnsi="Times New Roman"/>
          <w:sz w:val="24"/>
          <w:szCs w:val="24"/>
        </w:rPr>
        <w:t xml:space="preserve">[71]	</w:t>
      </w:r>
      <w:r>
        <w:rPr>
          <w:rFonts w:ascii="Times New Roman" w:cs="Times New Roman" w:eastAsia="Times New Roman" w:hAnsi="Times New Roman"/>
          <w:sz w:val="24"/>
          <w:szCs w:val="24"/>
        </w:rPr>
        <w:t xml:space="preserve">KrishnanK. and Istanbul contributors, "Istanbul — JavaScript code coverage tool," istanbul.js.org, 2024. [Online]. Available: https://istanbul.js.org/</w:t>
      </w:r>
    </w:p>
    <w:p>
      <w:pPr>
        <w:spacing w:after="180" w:before="0" w:line="300" w:lineRule="auto"/>
        <w:ind w:left="720" w:hanging="720"/>
        <w:jc w:val="left"/>
      </w:pPr>
      <w:r>
        <w:rPr>
          <w:rFonts w:ascii="Times New Roman" w:cs="Times New Roman" w:eastAsia="Times New Roman" w:hAnsi="Times New Roman"/>
          <w:sz w:val="24"/>
          <w:szCs w:val="24"/>
        </w:rPr>
        <w:t xml:space="preserve">[72]	</w:t>
      </w:r>
      <w:r>
        <w:rPr>
          <w:rFonts w:ascii="Times New Roman" w:cs="Times New Roman" w:eastAsia="Times New Roman" w:hAnsi="Times New Roman"/>
          <w:sz w:val="24"/>
          <w:szCs w:val="24"/>
        </w:rPr>
        <w:t xml:space="preserve">L. Salinas and Sharp contributors, "Sharp — High performance Node.js image processing," sharp.pixelplumbing.com, 2024. [Online]. Available: https://sharp.pixelplumbing.com/</w:t>
      </w:r>
    </w:p>
    <w:p>
      <w:pPr>
        <w:spacing w:after="180" w:before="0" w:line="300" w:lineRule="auto"/>
        <w:ind w:left="720" w:hanging="720"/>
        <w:jc w:val="left"/>
      </w:pPr>
      <w:r>
        <w:rPr>
          <w:rFonts w:ascii="Times New Roman" w:cs="Times New Roman" w:eastAsia="Times New Roman" w:hAnsi="Times New Roman"/>
          <w:sz w:val="24"/>
          <w:szCs w:val="24"/>
        </w:rPr>
        <w:t xml:space="preserve">[73]	</w:t>
      </w:r>
      <w:r>
        <w:rPr>
          <w:rFonts w:ascii="Times New Roman" w:cs="Times New Roman" w:eastAsia="Times New Roman" w:hAnsi="Times New Roman"/>
          <w:sz w:val="24"/>
          <w:szCs w:val="24"/>
        </w:rPr>
        <w:t xml:space="preserve">Y. A. Malkov and D. A. Yashunin, "Efficient and Robust Approximate Nearest Neighbor Search Using Hierarchical Navigable Small World Graphs," IEEE Trans. Pattern Anal. Mach. Intell., vol. 42, no. 4, pp. 824-836, Apr. 2020, doi: 10.1109/TPAMI.2018.2889473.</w:t>
      </w:r>
    </w:p>
    <w:p>
      <w:pPr>
        <w:spacing w:after="180" w:before="0" w:line="300" w:lineRule="auto"/>
        <w:ind w:left="720" w:hanging="720"/>
        <w:jc w:val="left"/>
      </w:pPr>
      <w:r>
        <w:rPr>
          <w:rFonts w:ascii="Times New Roman" w:cs="Times New Roman" w:eastAsia="Times New Roman" w:hAnsi="Times New Roman"/>
          <w:sz w:val="24"/>
          <w:szCs w:val="24"/>
        </w:rPr>
        <w:t xml:space="preserve">[74]	</w:t>
      </w:r>
      <w:r>
        <w:rPr>
          <w:rFonts w:ascii="Times New Roman" w:cs="Times New Roman" w:eastAsia="Times New Roman" w:hAnsi="Times New Roman"/>
          <w:sz w:val="24"/>
          <w:szCs w:val="24"/>
        </w:rPr>
        <w:t xml:space="preserve">Pinecone Systems, "Pinecone — Vector Database for Production," pinecone.io, 2024. [Online]. Available: https://docs.pinecone.io/</w:t>
      </w:r>
    </w:p>
    <w:p>
      <w:pPr>
        <w:spacing w:after="180" w:before="0" w:line="300" w:lineRule="auto"/>
        <w:ind w:left="720" w:hanging="720"/>
        <w:jc w:val="left"/>
      </w:pPr>
      <w:r>
        <w:rPr>
          <w:rFonts w:ascii="Times New Roman" w:cs="Times New Roman" w:eastAsia="Times New Roman" w:hAnsi="Times New Roman"/>
          <w:sz w:val="24"/>
          <w:szCs w:val="24"/>
        </w:rPr>
        <w:t xml:space="preserve">[75]	</w:t>
      </w:r>
      <w:r>
        <w:rPr>
          <w:rFonts w:ascii="Times New Roman" w:cs="Times New Roman" w:eastAsia="Times New Roman" w:hAnsi="Times New Roman"/>
          <w:sz w:val="24"/>
          <w:szCs w:val="24"/>
        </w:rPr>
        <w:t xml:space="preserve">Weaviate B.V., "Weaviate — The AI-native database for a new generation of software," weaviate.io, 2024. [Online]. Available: https://weaviate.io/developers/weaviate</w:t>
      </w:r>
    </w:p>
    <w:p>
      <w:pPr>
        <w:spacing w:after="180" w:before="0" w:line="300" w:lineRule="auto"/>
        <w:ind w:left="720" w:hanging="720"/>
        <w:jc w:val="left"/>
      </w:pPr>
      <w:r>
        <w:rPr>
          <w:rFonts w:ascii="Times New Roman" w:cs="Times New Roman" w:eastAsia="Times New Roman" w:hAnsi="Times New Roman"/>
          <w:sz w:val="24"/>
          <w:szCs w:val="24"/>
        </w:rPr>
        <w:t xml:space="preserve">[76]	</w:t>
      </w:r>
      <w:r>
        <w:rPr>
          <w:rFonts w:ascii="Times New Roman" w:cs="Times New Roman" w:eastAsia="Times New Roman" w:hAnsi="Times New Roman"/>
          <w:sz w:val="24"/>
          <w:szCs w:val="24"/>
        </w:rPr>
        <w:t xml:space="preserve">J. Wang et al., "Milvus: A Purpose-Built Vector Data Management System," in Proc. 2021 Int. Conf. on Management of Data (SIGMOD), Virtual, Jun. 2021, pp. 2614-2627, doi: 10.1145/3448016.3457550.</w:t>
      </w:r>
    </w:p>
    <w:p>
      <w:pPr>
        <w:spacing w:after="180" w:before="0" w:line="300" w:lineRule="auto"/>
        <w:ind w:left="720" w:hanging="720"/>
        <w:jc w:val="left"/>
      </w:pPr>
      <w:r>
        <w:rPr>
          <w:rFonts w:ascii="Times New Roman" w:cs="Times New Roman" w:eastAsia="Times New Roman" w:hAnsi="Times New Roman"/>
          <w:sz w:val="24"/>
          <w:szCs w:val="24"/>
        </w:rPr>
        <w:t xml:space="preserve">[77]	</w:t>
      </w:r>
      <w:r>
        <w:rPr>
          <w:rFonts w:ascii="Times New Roman" w:cs="Times New Roman" w:eastAsia="Times New Roman" w:hAnsi="Times New Roman"/>
          <w:sz w:val="24"/>
          <w:szCs w:val="24"/>
        </w:rPr>
        <w:t xml:space="preserve">Qdrant Solutions GmbH, "Qdrant — Vector Database for AI Applications," qdrant.tech, 2024. [Online]. Available: https://qdrant.tech/documentation/</w:t>
      </w:r>
    </w:p>
    <w:p>
      <w:pPr>
        <w:spacing w:after="180" w:before="0" w:line="300" w:lineRule="auto"/>
        <w:ind w:left="720" w:hanging="720"/>
        <w:jc w:val="left"/>
      </w:pPr>
      <w:r>
        <w:rPr>
          <w:rFonts w:ascii="Times New Roman" w:cs="Times New Roman" w:eastAsia="Times New Roman" w:hAnsi="Times New Roman"/>
          <w:sz w:val="24"/>
          <w:szCs w:val="24"/>
        </w:rPr>
        <w:t xml:space="preserve">[78]	</w:t>
      </w:r>
      <w:r>
        <w:rPr>
          <w:rFonts w:ascii="Times New Roman" w:cs="Times New Roman" w:eastAsia="Times New Roman" w:hAnsi="Times New Roman"/>
          <w:sz w:val="24"/>
          <w:szCs w:val="24"/>
        </w:rPr>
        <w:t xml:space="preserve">J. L. Pech-Pacheco, G. Cristóbal, J. Chamorro-Martínez, and J. Fernández-Valdivia, "Diatom autofocusing in brightfield microscopy: a comparative study," in Proc. 15th Int. Conf. Pattern Recognition (ICPR), Barcelona, Spain, Sep. 2000, vol. 3, pp. 314-317, doi: 10.1109/ICPR.2000.903548.</w:t>
      </w:r>
    </w:p>
    <w:p>
      <w:pPr>
        <w:spacing w:after="180" w:before="0" w:line="300" w:lineRule="auto"/>
        <w:ind w:left="720" w:hanging="720"/>
        <w:jc w:val="left"/>
      </w:pPr>
      <w:r>
        <w:rPr>
          <w:rFonts w:ascii="Times New Roman" w:cs="Times New Roman" w:eastAsia="Times New Roman" w:hAnsi="Times New Roman"/>
          <w:sz w:val="24"/>
          <w:szCs w:val="24"/>
        </w:rPr>
        <w:t xml:space="preserve">[79]	</w:t>
      </w:r>
      <w:r>
        <w:rPr>
          <w:rFonts w:ascii="Times New Roman" w:cs="Times New Roman" w:eastAsia="Times New Roman" w:hAnsi="Times New Roman"/>
          <w:sz w:val="24"/>
          <w:szCs w:val="24"/>
        </w:rPr>
        <w:t xml:space="preserve">J. Kreps, N. Narkhede, and J. Rao, "Kafka: a Distributed Messaging System for Log Processing," in Proc. 6th Int. Workshop on Networking Meets Databases (NetDB), Athens, Greece, Jun. 2011, pp. 1-7.</w:t>
      </w:r>
    </w:p>
    <w:p>
      <w:pPr>
        <w:spacing w:after="180" w:before="0" w:line="300" w:lineRule="auto"/>
        <w:ind w:left="720" w:hanging="720"/>
        <w:jc w:val="left"/>
      </w:pPr>
      <w:r>
        <w:rPr>
          <w:rFonts w:ascii="Times New Roman" w:cs="Times New Roman" w:eastAsia="Times New Roman" w:hAnsi="Times New Roman"/>
          <w:sz w:val="24"/>
          <w:szCs w:val="24"/>
        </w:rPr>
        <w:t xml:space="preserve">[80]	</w:t>
      </w:r>
      <w:r>
        <w:rPr>
          <w:rFonts w:ascii="Times New Roman" w:cs="Times New Roman" w:eastAsia="Times New Roman" w:hAnsi="Times New Roman"/>
          <w:sz w:val="24"/>
          <w:szCs w:val="24"/>
        </w:rPr>
        <w:t xml:space="preserve">Redis Ltd., "Redis Streams introduction," redis.io, 2024. [Online]. Available: https://redis.io/docs/data-types/streams/</w:t>
      </w:r>
    </w:p>
    <w:p>
      <w:pPr>
        <w:spacing w:after="180" w:before="0" w:line="300" w:lineRule="auto"/>
        <w:ind w:left="720" w:hanging="720"/>
        <w:jc w:val="left"/>
      </w:pPr>
      <w:r>
        <w:rPr>
          <w:rFonts w:ascii="Times New Roman" w:cs="Times New Roman" w:eastAsia="Times New Roman" w:hAnsi="Times New Roman"/>
          <w:sz w:val="24"/>
          <w:szCs w:val="24"/>
        </w:rPr>
        <w:t xml:space="preserve">[81]	</w:t>
      </w:r>
      <w:r>
        <w:rPr>
          <w:rFonts w:ascii="Times New Roman" w:cs="Times New Roman" w:eastAsia="Times New Roman" w:hAnsi="Times New Roman"/>
          <w:sz w:val="24"/>
          <w:szCs w:val="24"/>
        </w:rPr>
        <w:t xml:space="preserve">E. You and Vue.js contributors, "Vue.js — The Progressive JavaScript Framework," vuejs.org, 2024. [Online]. Available: https://vuejs.org/guide/introduction.html</w:t>
      </w:r>
    </w:p>
    <w:p>
      <w:pPr>
        <w:spacing w:after="180" w:before="0" w:line="300" w:lineRule="auto"/>
        <w:ind w:left="720" w:hanging="720"/>
        <w:jc w:val="left"/>
      </w:pPr>
      <w:r>
        <w:rPr>
          <w:rFonts w:ascii="Times New Roman" w:cs="Times New Roman" w:eastAsia="Times New Roman" w:hAnsi="Times New Roman"/>
          <w:sz w:val="24"/>
          <w:szCs w:val="24"/>
        </w:rPr>
        <w:t xml:space="preserve">[82]	</w:t>
      </w:r>
      <w:r>
        <w:rPr>
          <w:rFonts w:ascii="Times New Roman" w:cs="Times New Roman" w:eastAsia="Times New Roman" w:hAnsi="Times New Roman"/>
          <w:sz w:val="24"/>
          <w:szCs w:val="24"/>
        </w:rPr>
        <w:t xml:space="preserve">Google, "Angular — The web development framework," angular.dev, 2024. [Online]. Available: https://angular.dev/overview</w:t>
      </w:r>
    </w:p>
    <w:p>
      <w:pPr>
        <w:spacing w:after="180" w:before="0" w:line="300" w:lineRule="auto"/>
        <w:ind w:left="720" w:hanging="720"/>
        <w:jc w:val="left"/>
      </w:pPr>
      <w:r>
        <w:rPr>
          <w:rFonts w:ascii="Times New Roman" w:cs="Times New Roman" w:eastAsia="Times New Roman" w:hAnsi="Times New Roman"/>
          <w:sz w:val="24"/>
          <w:szCs w:val="24"/>
        </w:rPr>
        <w:t xml:space="preserve">[83]	</w:t>
      </w:r>
      <w:r>
        <w:rPr>
          <w:rFonts w:ascii="Times New Roman" w:cs="Times New Roman" w:eastAsia="Times New Roman" w:hAnsi="Times New Roman"/>
          <w:sz w:val="24"/>
          <w:szCs w:val="24"/>
        </w:rPr>
        <w:t xml:space="preserve">Vercel, "SvelteKit — Web development, streamlined," kit.svelte.dev, 2024. [Online]. Available: https://kit.svelte.dev/docs/introduction</w:t>
      </w:r>
    </w:p>
    <w:p>
      <w:pPr>
        <w:spacing w:after="180" w:before="0" w:line="300" w:lineRule="auto"/>
        <w:ind w:left="720" w:hanging="720"/>
        <w:jc w:val="left"/>
      </w:pPr>
      <w:r>
        <w:rPr>
          <w:rFonts w:ascii="Times New Roman" w:cs="Times New Roman" w:eastAsia="Times New Roman" w:hAnsi="Times New Roman"/>
          <w:sz w:val="24"/>
          <w:szCs w:val="24"/>
        </w:rPr>
        <w:t xml:space="preserve">[84]	</w:t>
      </w:r>
      <w:r>
        <w:rPr>
          <w:rFonts w:ascii="Times New Roman" w:cs="Times New Roman" w:eastAsia="Times New Roman" w:hAnsi="Times New Roman"/>
          <w:sz w:val="24"/>
          <w:szCs w:val="24"/>
        </w:rPr>
        <w:t xml:space="preserve">Microsoft, "TypeScript Handbook," typescriptlang.org, 2024. [Online]. Available: https://www.typescriptlang.org/docs/handbook/intro.html</w:t>
      </w:r>
    </w:p>
    <w:p>
      <w:pPr>
        <w:spacing w:after="180" w:before="0" w:line="300" w:lineRule="auto"/>
        <w:ind w:left="720" w:hanging="720"/>
        <w:jc w:val="left"/>
      </w:pPr>
      <w:r>
        <w:rPr>
          <w:rFonts w:ascii="Times New Roman" w:cs="Times New Roman" w:eastAsia="Times New Roman" w:hAnsi="Times New Roman"/>
          <w:sz w:val="24"/>
          <w:szCs w:val="24"/>
        </w:rPr>
        <w:t xml:space="preserve">[85]	</w:t>
      </w:r>
      <w:r>
        <w:rPr>
          <w:rFonts w:ascii="Times New Roman" w:cs="Times New Roman" w:eastAsia="Times New Roman" w:hAnsi="Times New Roman"/>
          <w:sz w:val="24"/>
          <w:szCs w:val="24"/>
        </w:rPr>
        <w:t xml:space="preserve">A. Wathan and Tailwind Labs, "Tailwind CSS — A utility-first CSS framework," tailwindcss.com, 2024. [Online]. Available: https://tailwindcss.com/docs</w:t>
      </w:r>
    </w:p>
    <w:p>
      <w:pPr>
        <w:spacing w:after="180" w:before="0" w:line="300" w:lineRule="auto"/>
        <w:ind w:left="720" w:hanging="720"/>
        <w:jc w:val="left"/>
      </w:pPr>
      <w:r>
        <w:rPr>
          <w:rFonts w:ascii="Times New Roman" w:cs="Times New Roman" w:eastAsia="Times New Roman" w:hAnsi="Times New Roman"/>
          <w:sz w:val="24"/>
          <w:szCs w:val="24"/>
        </w:rPr>
        <w:t xml:space="preserve">[86]	</w:t>
      </w:r>
      <w:r>
        <w:rPr>
          <w:rFonts w:ascii="Times New Roman" w:cs="Times New Roman" w:eastAsia="Times New Roman" w:hAnsi="Times New Roman"/>
          <w:sz w:val="24"/>
          <w:szCs w:val="24"/>
        </w:rPr>
        <w:t xml:space="preserve">MUI, "Material UI — React components that implement Material Design," mui.com, 2024. [Online]. Available: https://mui.com/material-ui/getting-started/</w:t>
      </w:r>
    </w:p>
    <w:p>
      <w:pPr>
        <w:spacing w:after="180" w:before="0" w:line="300" w:lineRule="auto"/>
        <w:ind w:left="720" w:hanging="720"/>
        <w:jc w:val="left"/>
      </w:pPr>
      <w:r>
        <w:rPr>
          <w:rFonts w:ascii="Times New Roman" w:cs="Times New Roman" w:eastAsia="Times New Roman" w:hAnsi="Times New Roman"/>
          <w:sz w:val="24"/>
          <w:szCs w:val="24"/>
        </w:rPr>
        <w:t xml:space="preserve">[87]	</w:t>
      </w:r>
      <w:r>
        <w:rPr>
          <w:rFonts w:ascii="Times New Roman" w:cs="Times New Roman" w:eastAsia="Times New Roman" w:hAnsi="Times New Roman"/>
          <w:sz w:val="24"/>
          <w:szCs w:val="24"/>
        </w:rPr>
        <w:t xml:space="preserve">M. Otto and J. Thornton, "Bootstrap — Build fast, responsive sites with Bootstrap," getbootstrap.com, 2024. [Online]. Available: https://getbootstrap.com/docs/</w:t>
      </w:r>
    </w:p>
    <w:p>
      <w:pPr>
        <w:spacing w:after="180" w:before="0" w:line="300" w:lineRule="auto"/>
        <w:ind w:left="720" w:hanging="720"/>
        <w:jc w:val="left"/>
      </w:pPr>
      <w:r>
        <w:rPr>
          <w:rFonts w:ascii="Times New Roman" w:cs="Times New Roman" w:eastAsia="Times New Roman" w:hAnsi="Times New Roman"/>
          <w:sz w:val="24"/>
          <w:szCs w:val="24"/>
        </w:rPr>
        <w:t xml:space="preserve">[88]	</w:t>
      </w:r>
      <w:r>
        <w:rPr>
          <w:rFonts w:ascii="Times New Roman" w:cs="Times New Roman" w:eastAsia="Times New Roman" w:hAnsi="Times New Roman"/>
          <w:sz w:val="24"/>
          <w:szCs w:val="24"/>
        </w:rPr>
        <w:t xml:space="preserve">S. Abramov and Chakra UI contributors, "Chakra UI — Build accessible React apps with speed," chakra-ui.com, 2024. [Online]. Available: https://chakra-ui.com/getting-started</w:t>
      </w:r>
    </w:p>
    <w:p>
      <w:pPr>
        <w:spacing w:after="180" w:before="0" w:line="300" w:lineRule="auto"/>
        <w:ind w:left="720" w:hanging="720"/>
        <w:jc w:val="left"/>
      </w:pPr>
      <w:r>
        <w:rPr>
          <w:rFonts w:ascii="Times New Roman" w:cs="Times New Roman" w:eastAsia="Times New Roman" w:hAnsi="Times New Roman"/>
          <w:sz w:val="24"/>
          <w:szCs w:val="24"/>
        </w:rPr>
        <w:t xml:space="preserve">[89]	</w:t>
      </w:r>
      <w:r>
        <w:rPr>
          <w:rFonts w:ascii="Times New Roman" w:cs="Times New Roman" w:eastAsia="Times New Roman" w:hAnsi="Times New Roman"/>
          <w:sz w:val="24"/>
          <w:szCs w:val="24"/>
        </w:rPr>
        <w:t xml:space="preserve">D. Hardt, Ed., "The OAuth 2.0 Authorization Framework," IETF, RFC 6749, Oct. 2012. [Online]. Available: https://datatracker.ietf.org/doc/html/rfc6749</w:t>
      </w:r>
    </w:p>
    <w:p>
      <w:pPr>
        <w:spacing w:after="180" w:before="0" w:line="300" w:lineRule="auto"/>
        <w:ind w:left="720" w:hanging="720"/>
        <w:jc w:val="left"/>
      </w:pPr>
      <w:r>
        <w:rPr>
          <w:rFonts w:ascii="Times New Roman" w:cs="Times New Roman" w:eastAsia="Times New Roman" w:hAnsi="Times New Roman"/>
          <w:sz w:val="24"/>
          <w:szCs w:val="24"/>
        </w:rPr>
        <w:t xml:space="preserve">[90]	</w:t>
      </w:r>
      <w:r>
        <w:rPr>
          <w:rFonts w:ascii="Times New Roman" w:cs="Times New Roman" w:eastAsia="Times New Roman" w:hAnsi="Times New Roman"/>
          <w:sz w:val="24"/>
          <w:szCs w:val="24"/>
        </w:rPr>
        <w:t xml:space="preserve">K. C. Dodds and Testing Library contributors, "React Testing Library — Simple and complete testing utilities," testing-library.com, 2024. [Online]. Available: https://testing-library.com/docs/react-testing-library/intro</w:t>
      </w:r>
    </w:p>
    <w:p>
      <w:pPr>
        <w:spacing w:after="180" w:before="0" w:line="300" w:lineRule="auto"/>
        <w:ind w:left="720" w:hanging="720"/>
        <w:jc w:val="left"/>
      </w:pPr>
      <w:r>
        <w:rPr>
          <w:rFonts w:ascii="Times New Roman" w:cs="Times New Roman" w:eastAsia="Times New Roman" w:hAnsi="Times New Roman"/>
          <w:sz w:val="24"/>
          <w:szCs w:val="24"/>
        </w:rPr>
        <w:t xml:space="preserve">[91]	</w:t>
      </w:r>
      <w:r>
        <w:rPr>
          <w:rFonts w:ascii="Times New Roman" w:cs="Times New Roman" w:eastAsia="Times New Roman" w:hAnsi="Times New Roman"/>
          <w:sz w:val="24"/>
          <w:szCs w:val="24"/>
        </w:rPr>
        <w:t xml:space="preserve">I. Fette and A. Melnikov, "The WebSocket Protocol," IETF, RFC 6455, Dec. 2011. [Online]. Available: https://datatracker.ietf.org/doc/html/rfc6455</w:t>
      </w:r>
    </w:p>
    <w:p>
      <w:pPr>
        <w:spacing w:after="180" w:before="0" w:line="300" w:lineRule="auto"/>
        <w:ind w:left="720" w:hanging="720"/>
        <w:jc w:val="left"/>
      </w:pPr>
      <w:r>
        <w:rPr>
          <w:rFonts w:ascii="Times New Roman" w:cs="Times New Roman" w:eastAsia="Times New Roman" w:hAnsi="Times New Roman"/>
          <w:sz w:val="24"/>
          <w:szCs w:val="24"/>
        </w:rPr>
        <w:t xml:space="preserve">[92]	</w:t>
      </w:r>
      <w:r>
        <w:rPr>
          <w:rFonts w:ascii="Times New Roman" w:cs="Times New Roman" w:eastAsia="Times New Roman" w:hAnsi="Times New Roman"/>
          <w:sz w:val="24"/>
          <w:szCs w:val="24"/>
        </w:rPr>
        <w:t xml:space="preserve">Nodeshift Community, "opossum — Node.js circuit breaker," nodeshift.dev, 2024. [Online]. Available: https://nodeshift.dev/opossum/</w:t>
      </w:r>
    </w:p>
    <w:p>
      <w:pPr>
        <w:spacing w:after="180" w:before="0" w:line="300" w:lineRule="auto"/>
        <w:ind w:left="720" w:hanging="720"/>
        <w:jc w:val="left"/>
      </w:pPr>
      <w:r>
        <w:rPr>
          <w:rFonts w:ascii="Times New Roman" w:cs="Times New Roman" w:eastAsia="Times New Roman" w:hAnsi="Times New Roman"/>
          <w:sz w:val="24"/>
          <w:szCs w:val="24"/>
        </w:rPr>
        <w:t xml:space="preserve">[93]	</w:t>
      </w:r>
      <w:r>
        <w:rPr>
          <w:rFonts w:ascii="Times New Roman" w:cs="Times New Roman" w:eastAsia="Times New Roman" w:hAnsi="Times New Roman"/>
          <w:sz w:val="24"/>
          <w:szCs w:val="24"/>
        </w:rPr>
        <w:t xml:space="preserve">World Wide Web Consortium (W3C), "Web Content Accessibility Guidelines (WCAG) 2.1," W3C Recommendation, Jun. 2018. [Online]. Available: https://www.w3.org/TR/WCAG21/</w:t>
      </w:r>
    </w:p>
    <w:p>
      <w:pPr>
        <w:spacing w:after="180" w:before="0" w:line="300" w:lineRule="auto"/>
        <w:ind w:left="720" w:hanging="720"/>
        <w:jc w:val="left"/>
      </w:pPr>
      <w:r>
        <w:rPr>
          <w:rFonts w:ascii="Times New Roman" w:cs="Times New Roman" w:eastAsia="Times New Roman" w:hAnsi="Times New Roman"/>
          <w:sz w:val="24"/>
          <w:szCs w:val="24"/>
        </w:rPr>
        <w:t xml:space="preserve">[94]	</w:t>
      </w:r>
      <w:r>
        <w:rPr>
          <w:rFonts w:ascii="Times New Roman" w:cs="Times New Roman" w:eastAsia="Times New Roman" w:hAnsi="Times New Roman"/>
          <w:sz w:val="24"/>
          <w:szCs w:val="24"/>
        </w:rPr>
        <w:t xml:space="preserve">N. Dubien and fast-check contributors, "fast-check — Property-based testing framework for JavaScript and TypeScript," fast-check.dev, 2024. [Online]. Available: https://fast-check.dev/docs/introduction/</w:t>
      </w:r>
    </w:p>
    <w:p>
      <w:pPr>
        <w:spacing w:after="180" w:before="0" w:line="300" w:lineRule="auto"/>
        <w:ind w:left="720" w:hanging="720"/>
        <w:jc w:val="left"/>
      </w:pPr>
      <w:r>
        <w:rPr>
          <w:rFonts w:ascii="Times New Roman" w:cs="Times New Roman" w:eastAsia="Times New Roman" w:hAnsi="Times New Roman"/>
          <w:sz w:val="24"/>
          <w:szCs w:val="24"/>
        </w:rPr>
        <w:t xml:space="preserve">[95]	</w:t>
      </w:r>
      <w:r>
        <w:rPr>
          <w:rFonts w:ascii="Times New Roman" w:cs="Times New Roman" w:eastAsia="Times New Roman" w:hAnsi="Times New Roman"/>
          <w:sz w:val="24"/>
          <w:szCs w:val="24"/>
        </w:rPr>
        <w:t xml:space="preserve">Stryker Mutator team, "Stryker — The JavaScript mutation testing framework," stryker-mutator.io, 2024. [Online]. Available: https://stryker-mutator.io/docs/</w:t>
      </w:r>
    </w:p>
    <w:p>
      <w:pPr>
        <w:spacing w:after="180" w:before="0" w:line="300" w:lineRule="auto"/>
        <w:ind w:left="720" w:hanging="720"/>
        <w:jc w:val="left"/>
      </w:pPr>
      <w:r>
        <w:rPr>
          <w:rFonts w:ascii="Times New Roman" w:cs="Times New Roman" w:eastAsia="Times New Roman" w:hAnsi="Times New Roman"/>
          <w:sz w:val="24"/>
          <w:szCs w:val="24"/>
        </w:rPr>
        <w:t xml:space="preserve">[96]	</w:t>
      </w:r>
      <w:r>
        <w:rPr>
          <w:rFonts w:ascii="Times New Roman" w:cs="Times New Roman" w:eastAsia="Times New Roman" w:hAnsi="Times New Roman"/>
          <w:sz w:val="24"/>
          <w:szCs w:val="24"/>
        </w:rPr>
        <w:t xml:space="preserve">Meta Platforms, "React Native — Learn once, write anywhere," reactnative.dev, 2024. [Online]. Available: https://reactnative.dev/docs/getting-started</w:t>
      </w:r>
    </w:p>
    <w:p>
      <w:pPr>
        <w:spacing w:after="180" w:before="0" w:line="300" w:lineRule="auto"/>
        <w:ind w:left="720" w:hanging="720"/>
        <w:jc w:val="left"/>
      </w:pPr>
      <w:r>
        <w:rPr>
          <w:rFonts w:ascii="Times New Roman" w:cs="Times New Roman" w:eastAsia="Times New Roman" w:hAnsi="Times New Roman"/>
          <w:sz w:val="24"/>
          <w:szCs w:val="24"/>
        </w:rPr>
        <w:t xml:space="preserve">[97]	</w:t>
      </w:r>
      <w:r>
        <w:rPr>
          <w:rFonts w:ascii="Times New Roman" w:cs="Times New Roman" w:eastAsia="Times New Roman" w:hAnsi="Times New Roman"/>
          <w:sz w:val="24"/>
          <w:szCs w:val="24"/>
        </w:rPr>
        <w:t xml:space="preserve">Google, "Flutter — Build apps for any screen," flutter.dev, 2024. [Online]. Available: https://docs.flutter.dev/</w:t>
      </w:r>
    </w:p>
    <w:p>
      <w:pPr>
        <w:pStyle w:val="Heading1"/>
        <w:pageBreakBefore/>
        <w:spacing w:after="360" w:before="0"/>
      </w:pPr>
      <w:r>
        <w:rPr>
          <w:rFonts w:ascii="Times New Roman" w:cs="Times New Roman" w:eastAsia="Times New Roman" w:hAnsi="Times New Roman"/>
          <w:b/>
          <w:bCs/>
          <w:sz w:val="36"/>
          <w:szCs w:val="36"/>
        </w:rPr>
        <w:t xml:space="preserve">Appendix A — User Interface</w:t>
      </w:r>
    </w:p>
    <w:p>
      <w:pPr>
        <w:spacing w:after="180" w:line="360" w:lineRule="auto"/>
        <w:jc w:val="both"/>
      </w:pPr>
      <w:r>
        <w:rPr>
          <w:rFonts w:ascii="Times New Roman" w:cs="Times New Roman" w:eastAsia="Times New Roman" w:hAnsi="Times New Roman"/>
          <w:sz w:val="24"/>
          <w:szCs w:val="24"/>
        </w:rPr>
        <w:t xml:space="preserve">This appendix presents annotated screenshots of the SnapPark web frontend. Each figure is referenced from the increment chapter that introduced the corresponding screen. All screenshots were captured from the Docker Compose development stack running against a local PostgreSQL instance, with the Gemini API configured for live analysis.</w:t>
      </w:r>
    </w:p>
    <w:p>
      <w:pPr>
        <w:spacing w:after="60" w:before="240" w:line="360" w:lineRule="auto"/>
        <w:jc w:val="center"/>
      </w:pPr>
      <w:r>
        <w:rPr>
          <w:rFonts w:ascii="Times New Roman" w:cs="Times New Roman" w:eastAsia="Times New Roman" w:hAnsi="Times New Roman"/>
          <w:i/>
          <w:iCs/>
          <w:color w:val="808080"/>
          <w:sz w:val="24"/>
          <w:szCs w:val="24"/>
        </w:rPr>
        <w:t xml:space="preserve">[ Figure A.1: Landing page — the default route for unauthenticated visitors, with a "Get Started" call-to-action — insert image here ]</w:t>
      </w:r>
    </w:p>
    <w:p>
      <w:pPr>
        <w:spacing w:after="240" w:before="0" w:line="360" w:lineRule="auto"/>
        <w:jc w:val="center"/>
      </w:pPr>
      <w:r>
        <w:rPr>
          <w:rFonts w:ascii="Times New Roman" w:cs="Times New Roman" w:eastAsia="Times New Roman" w:hAnsi="Times New Roman"/>
          <w:i/>
          <w:iCs/>
          <w:sz w:val="22"/>
          <w:szCs w:val="22"/>
        </w:rPr>
        <w:t xml:space="preserve">Figure A.1: SnapPark landing page. The landing page is the default route for all visitors and provides a brief description of the platform together with registration and login links.</w:t>
      </w:r>
    </w:p>
    <w:p>
      <w:pPr>
        <w:spacing w:after="60" w:before="240" w:line="360" w:lineRule="auto"/>
        <w:jc w:val="center"/>
      </w:pPr>
      <w:r>
        <w:rPr>
          <w:rFonts w:ascii="Times New Roman" w:cs="Times New Roman" w:eastAsia="Times New Roman" w:hAnsi="Times New Roman"/>
          <w:i/>
          <w:iCs/>
          <w:color w:val="808080"/>
          <w:sz w:val="24"/>
          <w:szCs w:val="24"/>
        </w:rPr>
        <w:t xml:space="preserve">[ Figure A.2: Registration screen — first name, last name, email, and password fields — insert image here ]</w:t>
      </w:r>
    </w:p>
    <w:p>
      <w:pPr>
        <w:spacing w:after="240" w:before="0" w:line="360" w:lineRule="auto"/>
        <w:jc w:val="center"/>
      </w:pPr>
      <w:r>
        <w:rPr>
          <w:rFonts w:ascii="Times New Roman" w:cs="Times New Roman" w:eastAsia="Times New Roman" w:hAnsi="Times New Roman"/>
          <w:i/>
          <w:iCs/>
          <w:sz w:val="22"/>
          <w:szCs w:val="22"/>
        </w:rPr>
        <w:t xml:space="preserve">Figure A.2: Citizen registration screen. The form collects first name, last name, email address, and password. Submitting the form triggers an OTP email and redirects to the verification screen.</w:t>
      </w:r>
    </w:p>
    <w:p>
      <w:pPr>
        <w:spacing w:after="60" w:before="240" w:line="360" w:lineRule="auto"/>
        <w:jc w:val="center"/>
      </w:pPr>
      <w:r>
        <w:rPr>
          <w:rFonts w:ascii="Times New Roman" w:cs="Times New Roman" w:eastAsia="Times New Roman" w:hAnsi="Times New Roman"/>
          <w:i/>
          <w:iCs/>
          <w:color w:val="808080"/>
          <w:sz w:val="24"/>
          <w:szCs w:val="24"/>
        </w:rPr>
        <w:t xml:space="preserve">[ Figure A.3: OTP verification screen — four-digit code entry with the OtpInput component — insert image here ]</w:t>
      </w:r>
    </w:p>
    <w:p>
      <w:pPr>
        <w:spacing w:after="240" w:before="0" w:line="360" w:lineRule="auto"/>
        <w:jc w:val="center"/>
      </w:pPr>
      <w:r>
        <w:rPr>
          <w:rFonts w:ascii="Times New Roman" w:cs="Times New Roman" w:eastAsia="Times New Roman" w:hAnsi="Times New Roman"/>
          <w:i/>
          <w:iCs/>
          <w:sz w:val="22"/>
          <w:szCs w:val="22"/>
        </w:rPr>
        <w:t xml:space="preserve">Figure A.3: Email verification screen. The OtpInput component renders four individual digit fields that advance focus automatically on each keystroke. The resend link re-triggers the Authentication Service's OTP endpoint.</w:t>
      </w:r>
    </w:p>
    <w:p>
      <w:pPr>
        <w:spacing w:after="60" w:before="240" w:line="360" w:lineRule="auto"/>
        <w:jc w:val="center"/>
      </w:pPr>
      <w:r>
        <w:rPr>
          <w:rFonts w:ascii="Times New Roman" w:cs="Times New Roman" w:eastAsia="Times New Roman" w:hAnsi="Times New Roman"/>
          <w:i/>
          <w:iCs/>
          <w:color w:val="808080"/>
          <w:sz w:val="24"/>
          <w:szCs w:val="24"/>
        </w:rPr>
        <w:t xml:space="preserve">[ Figure A.4: Login screen — email and password with a "Forgot password?" link — insert image here ]</w:t>
      </w:r>
    </w:p>
    <w:p>
      <w:pPr>
        <w:spacing w:after="240" w:before="0" w:line="360" w:lineRule="auto"/>
        <w:jc w:val="center"/>
      </w:pPr>
      <w:r>
        <w:rPr>
          <w:rFonts w:ascii="Times New Roman" w:cs="Times New Roman" w:eastAsia="Times New Roman" w:hAnsi="Times New Roman"/>
          <w:i/>
          <w:iCs/>
          <w:sz w:val="22"/>
          <w:szCs w:val="22"/>
        </w:rPr>
        <w:t xml:space="preserve">Figure A.4: Login screen. On successful authentication the client stores the JWT in localStorage and redirects to the dashboard. The "Forgot password?" link initiates the password-reset flow.</w:t>
      </w:r>
    </w:p>
    <w:p>
      <w:pPr>
        <w:spacing w:after="60" w:before="240" w:line="360" w:lineRule="auto"/>
        <w:jc w:val="center"/>
      </w:pPr>
      <w:r>
        <w:rPr>
          <w:rFonts w:ascii="Times New Roman" w:cs="Times New Roman" w:eastAsia="Times New Roman" w:hAnsi="Times New Roman"/>
          <w:i/>
          <w:iCs/>
          <w:color w:val="808080"/>
          <w:sz w:val="24"/>
          <w:szCs w:val="24"/>
        </w:rPr>
        <w:t xml:space="preserve">[ Figure A.5: Dashboard — summary tiles for total cases, confirmed violations, and unread notifications — insert image here ]</w:t>
      </w:r>
    </w:p>
    <w:p>
      <w:pPr>
        <w:spacing w:after="240" w:before="0" w:line="360" w:lineRule="auto"/>
        <w:jc w:val="center"/>
      </w:pPr>
      <w:r>
        <w:rPr>
          <w:rFonts w:ascii="Times New Roman" w:cs="Times New Roman" w:eastAsia="Times New Roman" w:hAnsi="Times New Roman"/>
          <w:i/>
          <w:iCs/>
          <w:sz w:val="22"/>
          <w:szCs w:val="22"/>
        </w:rPr>
        <w:t xml:space="preserve">Figure A.5: Dashboard. The summary tiles are populated from the GET /violations/stats/:userId endpoint. The sidebar navigation renders an unread-notification badge when the count returned by GET /notifications/unread-count/:userId is greater than zero.</w:t>
      </w:r>
    </w:p>
    <w:p>
      <w:pPr>
        <w:spacing w:after="60" w:before="240" w:line="360" w:lineRule="auto"/>
        <w:jc w:val="center"/>
      </w:pPr>
      <w:r>
        <w:rPr>
          <w:rFonts w:ascii="Times New Roman" w:cs="Times New Roman" w:eastAsia="Times New Roman" w:hAnsi="Times New Roman"/>
          <w:i/>
          <w:iCs/>
          <w:color w:val="808080"/>
          <w:sz w:val="24"/>
          <w:szCs w:val="24"/>
        </w:rPr>
        <w:t xml:space="preserve">[ Figure A.6: Upload page — image thumbnails, Google Maps location picker, and license plate field — insert image here ]</w:t>
      </w:r>
    </w:p>
    <w:p>
      <w:pPr>
        <w:spacing w:after="240" w:before="0" w:line="360" w:lineRule="auto"/>
        <w:jc w:val="center"/>
      </w:pPr>
      <w:r>
        <w:rPr>
          <w:rFonts w:ascii="Times New Roman" w:cs="Times New Roman" w:eastAsia="Times New Roman" w:hAnsi="Times New Roman"/>
          <w:i/>
          <w:iCs/>
          <w:sz w:val="22"/>
          <w:szCs w:val="22"/>
        </w:rPr>
        <w:t xml:space="preserve">Figure A.6: Violation upload page. Up to five images may be attached. The LocationPicker component embeds a Google Maps iframe and writes the selected coordinates to two hidden form fields. The license plate is an optional text field.</w:t>
      </w:r>
    </w:p>
    <w:p>
      <w:pPr>
        <w:spacing w:after="60" w:before="240" w:line="360" w:lineRule="auto"/>
        <w:jc w:val="center"/>
      </w:pPr>
      <w:r>
        <w:rPr>
          <w:rFonts w:ascii="Times New Roman" w:cs="Times New Roman" w:eastAsia="Times New Roman" w:hAnsi="Times New Roman"/>
          <w:i/>
          <w:iCs/>
          <w:color w:val="808080"/>
          <w:sz w:val="24"/>
          <w:szCs w:val="24"/>
        </w:rPr>
        <w:t xml:space="preserve">[ Figure A.7: Case detail page — AI verdict card, confidence bar, explanation text, and StatusBadge — insert image here ]</w:t>
      </w:r>
    </w:p>
    <w:p>
      <w:pPr>
        <w:spacing w:after="240" w:before="0" w:line="360" w:lineRule="auto"/>
        <w:jc w:val="center"/>
      </w:pPr>
      <w:r>
        <w:rPr>
          <w:rFonts w:ascii="Times New Roman" w:cs="Times New Roman" w:eastAsia="Times New Roman" w:hAnsi="Times New Roman"/>
          <w:i/>
          <w:iCs/>
          <w:sz w:val="22"/>
          <w:szCs w:val="22"/>
        </w:rPr>
        <w:t xml:space="preserve">Figure A.7: Case detail page. The AI verdict card shows the violation type, the confidence score rendered as a percentage, and the natural-language explanation returned by Gemini. The StatusBadge is colour-coded by status: blue for pending, yellow for in-progress, green for completed, grey for cancelled, red for notification-failed.</w:t>
      </w:r>
    </w:p>
    <w:p>
      <w:pPr>
        <w:spacing w:after="60" w:before="240" w:line="360" w:lineRule="auto"/>
        <w:jc w:val="center"/>
      </w:pPr>
      <w:r>
        <w:rPr>
          <w:rFonts w:ascii="Times New Roman" w:cs="Times New Roman" w:eastAsia="Times New Roman" w:hAnsi="Times New Roman"/>
          <w:i/>
          <w:iCs/>
          <w:color w:val="808080"/>
          <w:sz w:val="24"/>
          <w:szCs w:val="24"/>
        </w:rPr>
        <w:t xml:space="preserve">[ Figure A.8: Case list page — paginated table of the citizen's submitted cases — insert image here ]</w:t>
      </w:r>
    </w:p>
    <w:p>
      <w:pPr>
        <w:spacing w:after="240" w:before="0" w:line="360" w:lineRule="auto"/>
        <w:jc w:val="center"/>
      </w:pPr>
      <w:r>
        <w:rPr>
          <w:rFonts w:ascii="Times New Roman" w:cs="Times New Roman" w:eastAsia="Times New Roman" w:hAnsi="Times New Roman"/>
          <w:i/>
          <w:iCs/>
          <w:sz w:val="22"/>
          <w:szCs w:val="22"/>
        </w:rPr>
        <w:t xml:space="preserve">Figure A.8: Case history page. The paginated table shows each case's license plate, violation type, confidence, submission date, and current status. Clicking any row navigates to the case detail page.</w:t>
      </w:r>
    </w:p>
    <w:p>
      <w:pPr>
        <w:spacing w:after="60" w:before="240" w:line="360" w:lineRule="auto"/>
        <w:jc w:val="center"/>
      </w:pPr>
      <w:r>
        <w:rPr>
          <w:rFonts w:ascii="Times New Roman" w:cs="Times New Roman" w:eastAsia="Times New Roman" w:hAnsi="Times New Roman"/>
          <w:i/>
          <w:iCs/>
          <w:color w:val="808080"/>
          <w:sz w:val="24"/>
          <w:szCs w:val="24"/>
        </w:rPr>
        <w:t xml:space="preserve">[ Figure A.9: Notifications page — in-app notification feed with unread highlighting — insert image here ]</w:t>
      </w:r>
    </w:p>
    <w:p>
      <w:pPr>
        <w:spacing w:after="240" w:before="0" w:line="360" w:lineRule="auto"/>
        <w:jc w:val="center"/>
      </w:pPr>
      <w:r>
        <w:rPr>
          <w:rFonts w:ascii="Times New Roman" w:cs="Times New Roman" w:eastAsia="Times New Roman" w:hAnsi="Times New Roman"/>
          <w:i/>
          <w:iCs/>
          <w:sz w:val="22"/>
          <w:szCs w:val="22"/>
        </w:rPr>
        <w:t xml:space="preserve">Figure A.9: Notifications page. Unread notifications are highlighted with a light blue background. The "Mark all as read" button calls PATCH /notifications/read-all/:userId. Individual notifications can be marked read by clicking the row.</w:t>
      </w:r>
    </w:p>
    <w:p>
      <w:pPr>
        <w:spacing w:after="60" w:before="240" w:line="360" w:lineRule="auto"/>
        <w:jc w:val="center"/>
      </w:pPr>
      <w:r>
        <w:rPr>
          <w:rFonts w:ascii="Times New Roman" w:cs="Times New Roman" w:eastAsia="Times New Roman" w:hAnsi="Times New Roman"/>
          <w:i/>
          <w:iCs/>
          <w:color w:val="808080"/>
          <w:sz w:val="24"/>
          <w:szCs w:val="24"/>
        </w:rPr>
        <w:t xml:space="preserve">[ Figure A.10: Settings page — notification preferences toggles for email, SMS, and push channels — insert image here ]</w:t>
      </w:r>
    </w:p>
    <w:p>
      <w:pPr>
        <w:spacing w:after="240" w:before="0" w:line="360" w:lineRule="auto"/>
        <w:jc w:val="center"/>
      </w:pPr>
      <w:r>
        <w:rPr>
          <w:rFonts w:ascii="Times New Roman" w:cs="Times New Roman" w:eastAsia="Times New Roman" w:hAnsi="Times New Roman"/>
          <w:i/>
          <w:iCs/>
          <w:sz w:val="22"/>
          <w:szCs w:val="22"/>
        </w:rPr>
        <w:t xml:space="preserve">Figure A.10: Settings / Notification preferences page. The toggles map to the boolean columns in the notification_preferences table. Changes are persisted immediately through PUT /notifications/preferences/:userId.</w:t>
      </w:r>
    </w:p>
    <w:p>
      <w:pPr>
        <w:spacing w:after="60" w:before="240" w:line="360" w:lineRule="auto"/>
        <w:jc w:val="center"/>
      </w:pPr>
      <w:r>
        <w:rPr>
          <w:rFonts w:ascii="Times New Roman" w:cs="Times New Roman" w:eastAsia="Times New Roman" w:hAnsi="Times New Roman"/>
          <w:i/>
          <w:iCs/>
          <w:color w:val="808080"/>
          <w:sz w:val="24"/>
          <w:szCs w:val="24"/>
        </w:rPr>
        <w:t xml:space="preserve">[ Figure A.11: Admin panel — paginated all-cases view with Report and Resolve action buttons — insert image here ]</w:t>
      </w:r>
    </w:p>
    <w:p>
      <w:pPr>
        <w:spacing w:after="240" w:before="0" w:line="360" w:lineRule="auto"/>
        <w:jc w:val="center"/>
      </w:pPr>
      <w:r>
        <w:rPr>
          <w:rFonts w:ascii="Times New Roman" w:cs="Times New Roman" w:eastAsia="Times New Roman" w:hAnsi="Times New Roman"/>
          <w:i/>
          <w:iCs/>
          <w:sz w:val="22"/>
          <w:szCs w:val="22"/>
        </w:rPr>
        <w:t xml:space="preserve">Figure A.11: Administrator panel. Visible only to users whose JWT carries the admin role, this view shows all cases across all citizens. Each row exposes a "Report to Authorities" button (transitions the case to in_progress) and a "Resolve" button (transitions to completed).</w:t>
      </w:r>
    </w:p>
    <w:p>
      <w:pPr>
        <w:spacing w:after="60" w:before="240" w:line="360" w:lineRule="auto"/>
        <w:jc w:val="center"/>
      </w:pPr>
      <w:r>
        <w:rPr>
          <w:rFonts w:ascii="Times New Roman" w:cs="Times New Roman" w:eastAsia="Times New Roman" w:hAnsi="Times New Roman"/>
          <w:i/>
          <w:iCs/>
          <w:color w:val="808080"/>
          <w:sz w:val="24"/>
          <w:szCs w:val="24"/>
        </w:rPr>
        <w:t xml:space="preserve">[ Figure A.12: Password-reset flow — forgot-password email entry and reset-password confirmation screens — insert image here ]</w:t>
      </w:r>
    </w:p>
    <w:p>
      <w:pPr>
        <w:spacing w:after="240" w:before="0" w:line="360" w:lineRule="auto"/>
        <w:jc w:val="center"/>
      </w:pPr>
      <w:r>
        <w:rPr>
          <w:rFonts w:ascii="Times New Roman" w:cs="Times New Roman" w:eastAsia="Times New Roman" w:hAnsi="Times New Roman"/>
          <w:i/>
          <w:iCs/>
          <w:sz w:val="22"/>
          <w:szCs w:val="22"/>
        </w:rPr>
        <w:t xml:space="preserve">Figure A.12: Password reset flow. The forgot-password screen submits the citizen's email to the Authentication Service, which sends a reset link. The reset-password screen verifies the token and sets the new password.</w:t>
      </w:r>
    </w:p>
    <w:sectPr>
      <w:footerReference w:type="default" r:id="rId11"/>
      <w:pgSz w:w="11906" w:h="16838" w:orient="portrait"/>
      <w:pgMar w:top="1417" w:right="1417" w:bottom="1417" w:left="1417"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480" w:line="360" w:lineRule="auto"/>
      <w:outlineLvl w:val="0"/>
    </w:pPr>
    <w:rPr>
      <w:rFonts w:ascii="Times New Roman" w:cs="Times New Roman" w:eastAsia="Times New Roman" w:hAnsi="Times New Roman"/>
      <w:b/>
      <w:bCs/>
      <w:sz w:val="36"/>
      <w:szCs w:val="36"/>
    </w:rPr>
  </w:style>
  <w:style w:type="paragraph" w:styleId="Heading2">
    <w:name w:val="Heading 2"/>
    <w:basedOn w:val="Normal"/>
    <w:next w:val="Normal"/>
    <w:qFormat/>
    <w:pPr>
      <w:spacing w:after="180" w:before="360" w:line="360" w:lineRule="auto"/>
      <w:outlineLvl w:val="1"/>
    </w:pPr>
    <w:rPr>
      <w:rFonts w:ascii="Times New Roman" w:cs="Times New Roman" w:eastAsia="Times New Roman" w:hAnsi="Times New Roman"/>
      <w:b/>
      <w:bCs/>
      <w:sz w:val="30"/>
      <w:szCs w:val="30"/>
    </w:rPr>
  </w:style>
  <w:style w:type="paragraph" w:styleId="Heading3">
    <w:name w:val="Heading 3"/>
    <w:basedOn w:val="Normal"/>
    <w:next w:val="Normal"/>
    <w:qFormat/>
    <w:pPr>
      <w:spacing w:after="120" w:before="240" w:line="360" w:lineRule="auto"/>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SnapPark — Bachelors Dissertation</dc:title>
  <dc:creator>Drin Ismaili</dc:creator>
  <cp:lastModifiedBy>Un-named</cp:lastModifiedBy>
  <cp:revision>1</cp:revision>
  <dcterms:created xsi:type="dcterms:W3CDTF">2026-05-23T20:52:36.169Z</dcterms:created>
  <dcterms:modified xsi:type="dcterms:W3CDTF">2026-05-23T20:52:36.170Z</dcterms:modified>
</cp:coreProperties>
</file>

<file path=docProps/custom.xml><?xml version="1.0" encoding="utf-8"?>
<Properties xmlns="http://schemas.openxmlformats.org/officeDocument/2006/custom-properties" xmlns:vt="http://schemas.openxmlformats.org/officeDocument/2006/docPropsVTypes"/>
</file>