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jc w:val="center"/>
      </w:pPr>
      <w:r>
        <w:rPr>
          <w:rFonts w:ascii="Calibri" w:hAnsi="Calibri" w:eastAsia="SimSun"/>
          <w:b/>
          <w:sz w:val="40"/>
        </w:rPr>
        <w:t>研究生“高级机器学习理论”课程报告</w:t>
      </w:r>
    </w:p>
    <w:p>
      <w:pPr>
        <w:spacing w:after="560"/>
        <w:jc w:val="center"/>
      </w:pPr>
      <w:r>
        <w:rPr>
          <w:rFonts w:ascii="Calibri" w:hAnsi="Calibri" w:eastAsia="SimSun"/>
          <w:b/>
          <w:sz w:val="32"/>
        </w:rPr>
        <w:t>题 目：基于梯度提升树与模型融合的Kaggle房价预测研究</w:t>
      </w:r>
    </w:p>
    <w:p>
      <w:pPr>
        <w:spacing w:after="120" w:line="264" w:lineRule="auto"/>
      </w:pPr>
      <w:r>
        <w:rPr>
          <w:rFonts w:ascii="Calibri" w:hAnsi="Calibri" w:eastAsia="SimSun"/>
          <w:sz w:val="22"/>
        </w:rPr>
        <w:t>选题方向：</w:t>
      </w:r>
    </w:p>
    <w:p>
      <w:pPr>
        <w:spacing w:after="120" w:line="264" w:lineRule="auto"/>
        <w:ind w:left="1728"/>
      </w:pPr>
      <w:r>
        <w:rPr>
          <w:rFonts w:ascii="Calibri" w:hAnsi="Calibri" w:eastAsia="SimSun"/>
          <w:sz w:val="22"/>
        </w:rPr>
        <w:t>□ 三个以上的基础算法解决经典的仿真问题</w:t>
      </w:r>
    </w:p>
    <w:p>
      <w:pPr>
        <w:spacing w:after="120" w:line="264" w:lineRule="auto"/>
        <w:ind w:left="1728"/>
      </w:pPr>
      <w:r>
        <w:rPr>
          <w:rFonts w:ascii="Calibri" w:hAnsi="Calibri" w:eastAsia="SimSun"/>
          <w:sz w:val="22"/>
        </w:rPr>
        <w:t>☑ 扩展算法解决竞赛问题或实际问题</w:t>
      </w:r>
    </w:p>
    <w:p>
      <w:pPr>
        <w:spacing w:after="120" w:line="264" w:lineRule="auto"/>
        <w:ind w:left="1728"/>
      </w:pPr>
      <w:r>
        <w:rPr>
          <w:rFonts w:ascii="Calibri" w:hAnsi="Calibri" w:eastAsia="SimSun"/>
          <w:sz w:val="22"/>
        </w:rPr>
        <w:t>□ 提出了创新性的算法思路解决实际问题</w:t>
      </w:r>
    </w:p>
    <w:tbl>
      <w:tblPr>
        <w:tblW w:type="auto" w:w="0"/>
        <w:jc w:val="center"/>
        <w:tblLook w:firstColumn="1" w:firstRow="1" w:lastColumn="0" w:lastRow="0" w:noHBand="0" w:noVBand="1" w:val="04A0"/>
      </w:tblPr>
      <w:tblGrid>
        <w:gridCol w:w="4680"/>
        <w:gridCol w:w="4680"/>
      </w:tblGrid>
      <w:tr>
        <w:tc>
          <w:tcPr>
            <w:tcW w:type="dxa" w:w="2592"/>
            <w:vAlign w:val="center"/>
          </w:tcPr>
          <w:p>
            <w:pPr>
              <w:spacing w:after="0"/>
              <w:jc w:val="right"/>
            </w:pPr>
            <w:r/>
            <w:r>
              <w:rPr>
                <w:rFonts w:ascii="Calibri" w:hAnsi="Calibri" w:eastAsia="SimSun"/>
                <w:b/>
                <w:sz w:val="24"/>
              </w:rPr>
              <w:t>学号</w:t>
            </w:r>
          </w:p>
        </w:tc>
        <w:tc>
          <w:tcPr>
            <w:tcW w:type="dxa" w:w="5472"/>
            <w:vAlign w:val="center"/>
          </w:tcPr>
          <w:p>
            <w:pPr>
              <w:spacing w:after="0"/>
              <w:jc w:val="left"/>
            </w:pPr>
            <w:r/>
            <w:r>
              <w:rPr>
                <w:rFonts w:ascii="Calibri" w:hAnsi="Calibri" w:eastAsia="SimSun"/>
                <w:b w:val="0"/>
                <w:sz w:val="24"/>
              </w:rPr>
              <w:t>Y202502064</w:t>
            </w:r>
          </w:p>
        </w:tc>
      </w:tr>
      <w:tr>
        <w:tc>
          <w:tcPr>
            <w:tcW w:type="dxa" w:w="2592"/>
            <w:vAlign w:val="center"/>
          </w:tcPr>
          <w:p>
            <w:pPr>
              <w:spacing w:after="0"/>
              <w:jc w:val="right"/>
            </w:pPr>
            <w:r/>
            <w:r>
              <w:rPr>
                <w:rFonts w:ascii="Calibri" w:hAnsi="Calibri" w:eastAsia="SimSun"/>
                <w:b/>
                <w:sz w:val="24"/>
              </w:rPr>
              <w:t>姓名</w:t>
            </w:r>
          </w:p>
        </w:tc>
        <w:tc>
          <w:tcPr>
            <w:tcW w:type="dxa" w:w="5472"/>
            <w:vAlign w:val="center"/>
          </w:tcPr>
          <w:p>
            <w:pPr>
              <w:spacing w:after="0"/>
              <w:jc w:val="left"/>
            </w:pPr>
            <w:r/>
            <w:r>
              <w:rPr>
                <w:rFonts w:ascii="Calibri" w:hAnsi="Calibri" w:eastAsia="SimSun"/>
                <w:b w:val="0"/>
                <w:sz w:val="24"/>
              </w:rPr>
              <w:t>李小茹</w:t>
            </w:r>
          </w:p>
        </w:tc>
      </w:tr>
      <w:tr>
        <w:tc>
          <w:tcPr>
            <w:tcW w:type="dxa" w:w="2592"/>
            <w:vAlign w:val="center"/>
          </w:tcPr>
          <w:p>
            <w:pPr>
              <w:spacing w:after="0"/>
              <w:jc w:val="right"/>
            </w:pPr>
            <w:r/>
            <w:r>
              <w:rPr>
                <w:rFonts w:ascii="Calibri" w:hAnsi="Calibri" w:eastAsia="SimSun"/>
                <w:b/>
                <w:sz w:val="24"/>
              </w:rPr>
              <w:t>专业</w:t>
            </w:r>
          </w:p>
        </w:tc>
        <w:tc>
          <w:tcPr>
            <w:tcW w:type="dxa" w:w="5472"/>
            <w:vAlign w:val="center"/>
          </w:tcPr>
          <w:p>
            <w:pPr>
              <w:spacing w:after="0"/>
              <w:jc w:val="left"/>
            </w:pPr>
            <w:r/>
            <w:r>
              <w:rPr>
                <w:rFonts w:ascii="Calibri" w:hAnsi="Calibri" w:eastAsia="SimSun"/>
                <w:b w:val="0"/>
                <w:sz w:val="24"/>
              </w:rPr>
              <w:t>计算机科学与技术</w:t>
            </w:r>
          </w:p>
        </w:tc>
      </w:tr>
      <w:tr>
        <w:tc>
          <w:tcPr>
            <w:tcW w:type="dxa" w:w="2592"/>
            <w:vAlign w:val="center"/>
          </w:tcPr>
          <w:p>
            <w:pPr>
              <w:spacing w:after="0"/>
              <w:jc w:val="right"/>
            </w:pPr>
            <w:r/>
            <w:r>
              <w:rPr>
                <w:rFonts w:ascii="Calibri" w:hAnsi="Calibri" w:eastAsia="SimSun"/>
                <w:b/>
                <w:sz w:val="24"/>
              </w:rPr>
              <w:t>课程指导教师</w:t>
            </w:r>
          </w:p>
        </w:tc>
        <w:tc>
          <w:tcPr>
            <w:tcW w:type="dxa" w:w="5472"/>
            <w:vAlign w:val="center"/>
          </w:tcPr>
          <w:p>
            <w:pPr>
              <w:spacing w:after="0"/>
              <w:jc w:val="left"/>
            </w:pPr>
            <w:r/>
            <w:r>
              <w:rPr>
                <w:rFonts w:ascii="Calibri" w:hAnsi="Calibri" w:eastAsia="SimSun"/>
                <w:b w:val="0"/>
                <w:sz w:val="24"/>
              </w:rPr>
              <w:t>伍东睿、朱力军、程骋</w:t>
            </w:r>
          </w:p>
        </w:tc>
      </w:tr>
      <w:tr>
        <w:tc>
          <w:tcPr>
            <w:tcW w:type="dxa" w:w="2592"/>
            <w:vAlign w:val="center"/>
          </w:tcPr>
          <w:p>
            <w:pPr>
              <w:spacing w:after="0"/>
              <w:jc w:val="right"/>
            </w:pPr>
            <w:r/>
            <w:r>
              <w:rPr>
                <w:rFonts w:ascii="Calibri" w:hAnsi="Calibri" w:eastAsia="SimSun"/>
                <w:b/>
                <w:sz w:val="24"/>
              </w:rPr>
              <w:t>院（系、所）</w:t>
            </w:r>
          </w:p>
        </w:tc>
        <w:tc>
          <w:tcPr>
            <w:tcW w:type="dxa" w:w="5472"/>
            <w:vAlign w:val="center"/>
          </w:tcPr>
          <w:p>
            <w:pPr>
              <w:spacing w:after="0"/>
              <w:jc w:val="left"/>
            </w:pPr>
            <w:r/>
            <w:r>
              <w:rPr>
                <w:rFonts w:ascii="Calibri" w:hAnsi="Calibri" w:eastAsia="SimSun"/>
                <w:b w:val="0"/>
                <w:sz w:val="24"/>
              </w:rPr>
              <w:t>研究生院</w:t>
            </w:r>
          </w:p>
        </w:tc>
      </w:tr>
      <w:tr>
        <w:tc>
          <w:tcPr>
            <w:tcW w:type="dxa" w:w="2592"/>
            <w:vAlign w:val="center"/>
          </w:tcPr>
          <w:p>
            <w:pPr>
              <w:spacing w:after="0"/>
              <w:jc w:val="right"/>
            </w:pPr>
            <w:r/>
            <w:r>
              <w:rPr>
                <w:rFonts w:ascii="Calibri" w:hAnsi="Calibri" w:eastAsia="SimSun"/>
                <w:b/>
                <w:sz w:val="24"/>
              </w:rPr>
              <w:t>日期</w:t>
            </w:r>
          </w:p>
        </w:tc>
        <w:tc>
          <w:tcPr>
            <w:tcW w:type="dxa" w:w="5472"/>
            <w:vAlign w:val="center"/>
          </w:tcPr>
          <w:p>
            <w:pPr>
              <w:spacing w:after="0"/>
              <w:jc w:val="left"/>
            </w:pPr>
            <w:r/>
            <w:r>
              <w:rPr>
                <w:rFonts w:ascii="Calibri" w:hAnsi="Calibri" w:eastAsia="SimSun"/>
                <w:b w:val="0"/>
                <w:sz w:val="24"/>
              </w:rPr>
              <w:t>2026年5月26日</w:t>
            </w:r>
          </w:p>
        </w:tc>
      </w:tr>
    </w:tbl>
    <w:p>
      <w:r>
        <w:br w:type="page"/>
      </w:r>
    </w:p>
    <w:p>
      <w:pPr>
        <w:jc w:val="center"/>
      </w:pPr>
      <w:r>
        <w:rPr>
          <w:rFonts w:ascii="Calibri" w:hAnsi="Calibri" w:eastAsia="SimSun"/>
          <w:b/>
          <w:sz w:val="32"/>
        </w:rPr>
        <w:t>基于梯度提升树与模型融合的Kaggle房价预测研究</w:t>
      </w:r>
    </w:p>
    <w:p>
      <w:pPr>
        <w:jc w:val="center"/>
      </w:pPr>
      <w:r>
        <w:rPr>
          <w:rFonts w:ascii="Calibri" w:hAnsi="Calibri" w:eastAsia="SimSun"/>
          <w:sz w:val="22"/>
        </w:rPr>
        <w:t>李小茹</w:t>
      </w:r>
    </w:p>
    <w:p>
      <w:pPr>
        <w:jc w:val="center"/>
      </w:pPr>
      <w:r>
        <w:rPr>
          <w:rFonts w:ascii="Calibri" w:hAnsi="Calibri" w:eastAsia="SimSun"/>
          <w:sz w:val="22"/>
        </w:rPr>
        <w:t>（研究生院，计算机科学与技术）</w:t>
      </w:r>
    </w:p>
    <w:p>
      <w:pPr>
        <w:spacing w:after="120" w:line="264" w:lineRule="auto"/>
      </w:pPr>
      <w:r>
        <w:rPr>
          <w:rFonts w:ascii="Calibri" w:hAnsi="Calibri" w:eastAsia="SimSun"/>
          <w:sz w:val="22"/>
        </w:rPr>
        <w:t>摘要：本文以 Kaggle House Prices - Advanced Regression Techniques 房价预测竞赛为研究对象，围绕结构化表格数据回归预测问题，构建了从线性基线到树集成模型、再到梯度提升树和加权融合的实验流程。实验采用 Ridge Regression、Random Forest、XGBoost、LightGBM、CatBoost 和 Weighted Ensemble 六类模型，对 SalePrice 进行 log1p 变换后，以 5 折交叉验证下的 RMSE 作为 RMSLE 的本地等价指标。结果表明，CatBoost 在本地验证中取得最优 RMSLE 0.12029，Kaggle Public Score 为 0.12481，明显优于 Ridge 和 Random Forest 基线。实验说明梯度提升树能够较好处理房屋属性中的非线性关系和特征交互，是解决该类竞赛问题的有效扩展算法。</w:t>
      </w:r>
    </w:p>
    <w:p>
      <w:pPr>
        <w:spacing w:after="120" w:line="264" w:lineRule="auto"/>
      </w:pPr>
      <w:r>
        <w:rPr>
          <w:rFonts w:ascii="Calibri" w:hAnsi="Calibri" w:eastAsia="SimSun"/>
          <w:sz w:val="22"/>
        </w:rPr>
        <w:t>关键词：机器学习；房价预测；梯度提升树；CatBoost；Kaggle</w:t>
      </w:r>
    </w:p>
    <w:p>
      <w:pPr>
        <w:pStyle w:val="Heading1"/>
        <w:spacing w:before="240" w:after="120"/>
      </w:pPr>
      <w:r>
        <w:rPr>
          <w:rFonts w:ascii="Calibri" w:hAnsi="Calibri" w:eastAsia="SimSun"/>
          <w:b/>
          <w:color w:val="2E74B5"/>
          <w:sz w:val="32"/>
        </w:rPr>
        <w:t>1 引言</w:t>
      </w:r>
    </w:p>
    <w:p>
      <w:pPr>
        <w:spacing w:after="120" w:line="264" w:lineRule="auto"/>
        <w:ind w:firstLine="403"/>
      </w:pPr>
      <w:r>
        <w:rPr>
          <w:rFonts w:ascii="Calibri" w:hAnsi="Calibri" w:eastAsia="SimSun"/>
          <w:sz w:val="22"/>
        </w:rPr>
        <w:t>房价预测是机器学习在实际经济和生活场景中的典型应用。房屋成交价格受建筑面积、整体质量、建造年份、地理位置、地下室、车库、装修状态等多因素影响，变量之间具有明显的非线性关系和交互效应。传统线性模型能够提供可解释的基线，但在复杂结构化数据上往往难以充分刻画高阶特征关系。</w:t>
      </w:r>
    </w:p>
    <w:p>
      <w:pPr>
        <w:spacing w:after="120" w:line="264" w:lineRule="auto"/>
        <w:ind w:firstLine="403"/>
      </w:pPr>
      <w:r>
        <w:rPr>
          <w:rFonts w:ascii="Calibri" w:hAnsi="Calibri" w:eastAsia="SimSun"/>
          <w:sz w:val="22"/>
        </w:rPr>
        <w:t>本文选择 Kaggle House Prices 竞赛作为课程报告的竞赛问题。该任务要求根据训练集中的房屋特征预测测试集房价，线上评价指标为均方根对数误差 RMSLE。本文的动机是比较基础模型与近年常用的梯度提升树扩展算法在同一竞赛问题上的表现，并分析模型效果差异及改进方向。</w:t>
      </w:r>
    </w:p>
    <w:p>
      <w:pPr>
        <w:pStyle w:val="Heading1"/>
        <w:spacing w:before="240" w:after="120"/>
      </w:pPr>
      <w:r>
        <w:rPr>
          <w:rFonts w:ascii="Calibri" w:hAnsi="Calibri" w:eastAsia="SimSun"/>
          <w:b/>
          <w:color w:val="2E74B5"/>
          <w:sz w:val="32"/>
        </w:rPr>
        <w:t>2 方法或算法</w:t>
      </w:r>
    </w:p>
    <w:p>
      <w:pPr>
        <w:spacing w:after="120" w:line="264" w:lineRule="auto"/>
        <w:ind w:firstLine="403"/>
      </w:pPr>
      <w:r>
        <w:rPr>
          <w:rFonts w:ascii="Calibri" w:hAnsi="Calibri" w:eastAsia="SimSun"/>
          <w:sz w:val="22"/>
        </w:rPr>
        <w:t>设训练样本为 (xi, yi)，其中 xi 表示第 i 套房屋的多维特征，yi 表示成交价格。由于房价分布通常右偏，本文对目标变量进行 log1p 变换，即 zi=log(1+yi)。模型在 z 空间中训练和评估，最终预测时使用 expm1 还原为房价。</w:t>
      </w:r>
    </w:p>
    <w:p>
      <w:pPr>
        <w:pStyle w:val="Heading2"/>
        <w:spacing w:before="160" w:after="120"/>
      </w:pPr>
      <w:r>
        <w:rPr>
          <w:rFonts w:ascii="Calibri" w:hAnsi="Calibri" w:eastAsia="SimSun"/>
          <w:b/>
          <w:color w:val="2E74B5"/>
          <w:sz w:val="26"/>
        </w:rPr>
        <w:t>2.1 基线模型</w:t>
      </w:r>
    </w:p>
    <w:p>
      <w:pPr>
        <w:spacing w:after="120" w:line="264" w:lineRule="auto"/>
        <w:ind w:firstLine="403"/>
      </w:pPr>
      <w:r>
        <w:rPr>
          <w:rFonts w:ascii="Calibri" w:hAnsi="Calibri" w:eastAsia="SimSun"/>
          <w:sz w:val="22"/>
        </w:rPr>
        <w:t>Ridge Regression 在线性回归损失函数中加入 L2 正则化项，能够缓解特征共线性带来的过拟合问题。Random Forest 通过对多个决策树进行 Bagging 集成，能够捕捉一定的非线性关系，作为树模型基线。</w:t>
      </w:r>
    </w:p>
    <w:p>
      <w:pPr>
        <w:pStyle w:val="Heading2"/>
        <w:spacing w:before="160" w:after="120"/>
      </w:pPr>
      <w:r>
        <w:rPr>
          <w:rFonts w:ascii="Calibri" w:hAnsi="Calibri" w:eastAsia="SimSun"/>
          <w:b/>
          <w:color w:val="2E74B5"/>
          <w:sz w:val="26"/>
        </w:rPr>
        <w:t>2.2 扩展算法</w:t>
      </w:r>
    </w:p>
    <w:p>
      <w:pPr>
        <w:spacing w:after="120" w:line="264" w:lineRule="auto"/>
        <w:ind w:firstLine="403"/>
      </w:pPr>
      <w:r>
        <w:rPr>
          <w:rFonts w:ascii="Calibri" w:hAnsi="Calibri" w:eastAsia="SimSun"/>
          <w:sz w:val="22"/>
        </w:rPr>
        <w:t>XGBoost、LightGBM 和 CatBoost 均属于梯度提升树框架。梯度提升树通过逐轮拟合前一轮模型的残差或负梯度，不断降低损失函数。XGBoost 引入二阶梯度、正则化和列采样，具有较强的泛化能力；LightGBM 采用直方图算法和叶子优先生长策略，训练效率较高；CatBoost 对类别特征和有序提升机制进行了专门设计，在包含大量类别变量的结构化数据上表现稳定。</w:t>
      </w:r>
    </w:p>
    <w:p>
      <w:pPr>
        <w:spacing w:after="120" w:line="264" w:lineRule="auto"/>
        <w:ind w:firstLine="403"/>
      </w:pPr>
      <w:r>
        <w:rPr>
          <w:rFonts w:ascii="Calibri" w:hAnsi="Calibri" w:eastAsia="SimSun"/>
          <w:sz w:val="22"/>
        </w:rPr>
        <w:t>本文还实现了 Weighted Ensemble。其基本思想是根据各单模型交叉验证误差的倒数分配权重，使验证误差更低的模型在融合预测中占更大比例。该方法实现简单，能够检验不同模型预测结果是否具有互补性。</w:t>
      </w:r>
    </w:p>
    <w:p>
      <w:pPr>
        <w:pStyle w:val="Heading1"/>
        <w:spacing w:before="240" w:after="120"/>
      </w:pPr>
      <w:r>
        <w:rPr>
          <w:rFonts w:ascii="Calibri" w:hAnsi="Calibri" w:eastAsia="SimSun"/>
          <w:b/>
          <w:color w:val="2E74B5"/>
          <w:sz w:val="32"/>
        </w:rPr>
        <w:t>3 软件结构和软件实现方法</w:t>
      </w:r>
    </w:p>
    <w:p>
      <w:pPr>
        <w:spacing w:after="120" w:line="264" w:lineRule="auto"/>
        <w:ind w:firstLine="403"/>
      </w:pPr>
      <w:r>
        <w:rPr>
          <w:rFonts w:ascii="Calibri" w:hAnsi="Calibri" w:eastAsia="SimSun"/>
          <w:sz w:val="22"/>
        </w:rPr>
        <w:t>项目代码已上传至 GitHub：https://github.com/Disorder00/Course-work。仓库中提供了环境配置、数据获取说明、样例输入和完整训练脚本。运行入口为 src/train.py，脚本自动完成数据读取、缺失值填补、类别变量独热编码、目标变量对数变换、5 折交叉验证、结果保存和提交文件生成。</w:t>
      </w:r>
    </w:p>
    <w:tbl>
      <w:tblPr>
        <w:tblStyle w:val="TableGrid"/>
        <w:tblW w:type="auto" w:w="0"/>
        <w:jc w:val="center"/>
        <w:tblLook w:firstColumn="1" w:firstRow="1" w:lastColumn="0" w:lastRow="0" w:noHBand="0" w:noVBand="1" w:val="04A0"/>
      </w:tblPr>
      <w:tblGrid>
        <w:gridCol w:w="4680"/>
        <w:gridCol w:w="4680"/>
      </w:tblGrid>
      <w:tr>
        <w:tc>
          <w:tcPr>
            <w:tcW w:type="dxa" w:w="2088"/>
            <w:vAlign w:val="center"/>
            <w:shd w:fill="F2F4F7"/>
          </w:tcPr>
          <w:p>
            <w:pPr>
              <w:spacing w:after="0"/>
              <w:jc w:val="center"/>
            </w:pPr>
            <w:r/>
            <w:r>
              <w:rPr>
                <w:rFonts w:ascii="Calibri" w:hAnsi="Calibri" w:eastAsia="SimSun"/>
                <w:b/>
                <w:sz w:val="21"/>
              </w:rPr>
              <w:t>路径</w:t>
            </w:r>
          </w:p>
        </w:tc>
        <w:tc>
          <w:tcPr>
            <w:tcW w:type="dxa" w:w="7200"/>
            <w:vAlign w:val="center"/>
            <w:shd w:fill="F2F4F7"/>
          </w:tcPr>
          <w:p>
            <w:pPr>
              <w:spacing w:after="0"/>
              <w:jc w:val="center"/>
            </w:pPr>
            <w:r/>
            <w:r>
              <w:rPr>
                <w:rFonts w:ascii="Calibri" w:hAnsi="Calibri" w:eastAsia="SimSun"/>
                <w:b/>
                <w:sz w:val="21"/>
              </w:rPr>
              <w:t>作用</w:t>
            </w:r>
          </w:p>
        </w:tc>
      </w:tr>
      <w:tr>
        <w:tc>
          <w:tcPr>
            <w:tcW w:type="dxa" w:w="2088"/>
            <w:vAlign w:val="center"/>
          </w:tcPr>
          <w:p>
            <w:pPr>
              <w:spacing w:after="0"/>
              <w:jc w:val="center"/>
            </w:pPr>
            <w:r/>
            <w:r>
              <w:rPr>
                <w:rFonts w:ascii="Calibri" w:hAnsi="Calibri" w:eastAsia="SimSun"/>
                <w:b w:val="0"/>
                <w:sz w:val="20"/>
              </w:rPr>
              <w:t>src/train.py</w:t>
            </w:r>
          </w:p>
        </w:tc>
        <w:tc>
          <w:tcPr>
            <w:tcW w:type="dxa" w:w="7200"/>
            <w:vAlign w:val="center"/>
          </w:tcPr>
          <w:p>
            <w:pPr>
              <w:spacing w:after="0"/>
              <w:jc w:val="left"/>
            </w:pPr>
            <w:r/>
            <w:r>
              <w:rPr>
                <w:rFonts w:ascii="Calibri" w:hAnsi="Calibri" w:eastAsia="SimSun"/>
                <w:b w:val="0"/>
                <w:sz w:val="20"/>
              </w:rPr>
              <w:t>主训练脚本，包含模型定义、交叉验证、融合与提交文件生成。</w:t>
            </w:r>
          </w:p>
        </w:tc>
      </w:tr>
      <w:tr>
        <w:tc>
          <w:tcPr>
            <w:tcW w:type="dxa" w:w="2088"/>
            <w:vAlign w:val="center"/>
          </w:tcPr>
          <w:p>
            <w:pPr>
              <w:spacing w:after="0"/>
              <w:jc w:val="center"/>
            </w:pPr>
            <w:r/>
            <w:r>
              <w:rPr>
                <w:rFonts w:ascii="Calibri" w:hAnsi="Calibri" w:eastAsia="SimSun"/>
                <w:b w:val="0"/>
                <w:sz w:val="20"/>
              </w:rPr>
              <w:t>src/utils.py</w:t>
            </w:r>
          </w:p>
        </w:tc>
        <w:tc>
          <w:tcPr>
            <w:tcW w:type="dxa" w:w="7200"/>
            <w:vAlign w:val="center"/>
          </w:tcPr>
          <w:p>
            <w:pPr>
              <w:spacing w:after="0"/>
              <w:jc w:val="left"/>
            </w:pPr>
            <w:r/>
            <w:r>
              <w:rPr>
                <w:rFonts w:ascii="Calibri" w:hAnsi="Calibri" w:eastAsia="SimSun"/>
                <w:b w:val="0"/>
                <w:sz w:val="20"/>
              </w:rPr>
              <w:t>通用工具，包括目录创建、指标图保存等。</w:t>
            </w:r>
          </w:p>
        </w:tc>
      </w:tr>
      <w:tr>
        <w:tc>
          <w:tcPr>
            <w:tcW w:type="dxa" w:w="2088"/>
            <w:vAlign w:val="center"/>
          </w:tcPr>
          <w:p>
            <w:pPr>
              <w:spacing w:after="0"/>
              <w:jc w:val="center"/>
            </w:pPr>
            <w:r/>
            <w:r>
              <w:rPr>
                <w:rFonts w:ascii="Calibri" w:hAnsi="Calibri" w:eastAsia="SimSun"/>
                <w:b w:val="0"/>
                <w:sz w:val="20"/>
              </w:rPr>
              <w:t>data/raw</w:t>
            </w:r>
          </w:p>
        </w:tc>
        <w:tc>
          <w:tcPr>
            <w:tcW w:type="dxa" w:w="7200"/>
            <w:vAlign w:val="center"/>
          </w:tcPr>
          <w:p>
            <w:pPr>
              <w:spacing w:after="0"/>
              <w:jc w:val="left"/>
            </w:pPr>
            <w:r/>
            <w:r>
              <w:rPr>
                <w:rFonts w:ascii="Calibri" w:hAnsi="Calibri" w:eastAsia="SimSun"/>
                <w:b w:val="0"/>
                <w:sz w:val="20"/>
              </w:rPr>
              <w:t>存放 Kaggle 原始 train.csv 和 test.csv，原始数据不提交到 Git。</w:t>
            </w:r>
          </w:p>
        </w:tc>
      </w:tr>
      <w:tr>
        <w:tc>
          <w:tcPr>
            <w:tcW w:type="dxa" w:w="2088"/>
            <w:vAlign w:val="center"/>
          </w:tcPr>
          <w:p>
            <w:pPr>
              <w:spacing w:after="0"/>
              <w:jc w:val="center"/>
            </w:pPr>
            <w:r/>
            <w:r>
              <w:rPr>
                <w:rFonts w:ascii="Calibri" w:hAnsi="Calibri" w:eastAsia="SimSun"/>
                <w:b w:val="0"/>
                <w:sz w:val="20"/>
              </w:rPr>
              <w:t>data/sample</w:t>
            </w:r>
          </w:p>
        </w:tc>
        <w:tc>
          <w:tcPr>
            <w:tcW w:type="dxa" w:w="7200"/>
            <w:vAlign w:val="center"/>
          </w:tcPr>
          <w:p>
            <w:pPr>
              <w:spacing w:after="0"/>
              <w:jc w:val="left"/>
            </w:pPr>
            <w:r/>
            <w:r>
              <w:rPr>
                <w:rFonts w:ascii="Calibri" w:hAnsi="Calibri" w:eastAsia="SimSun"/>
                <w:b w:val="0"/>
                <w:sz w:val="20"/>
              </w:rPr>
              <w:t>小型样例输入，用于验证程序运行流程。</w:t>
            </w:r>
          </w:p>
        </w:tc>
      </w:tr>
      <w:tr>
        <w:tc>
          <w:tcPr>
            <w:tcW w:type="dxa" w:w="2088"/>
            <w:vAlign w:val="center"/>
          </w:tcPr>
          <w:p>
            <w:pPr>
              <w:spacing w:after="0"/>
              <w:jc w:val="center"/>
            </w:pPr>
            <w:r/>
            <w:r>
              <w:rPr>
                <w:rFonts w:ascii="Calibri" w:hAnsi="Calibri" w:eastAsia="SimSun"/>
                <w:b w:val="0"/>
                <w:sz w:val="20"/>
              </w:rPr>
              <w:t>outputs</w:t>
            </w:r>
          </w:p>
        </w:tc>
        <w:tc>
          <w:tcPr>
            <w:tcW w:type="dxa" w:w="7200"/>
            <w:vAlign w:val="center"/>
          </w:tcPr>
          <w:p>
            <w:pPr>
              <w:spacing w:after="0"/>
              <w:jc w:val="left"/>
            </w:pPr>
            <w:r/>
            <w:r>
              <w:rPr>
                <w:rFonts w:ascii="Calibri" w:hAnsi="Calibri" w:eastAsia="SimSun"/>
                <w:b w:val="0"/>
                <w:sz w:val="20"/>
              </w:rPr>
              <w:t>保存交叉验证结果、图表和 Kaggle 提交文件。</w:t>
            </w:r>
          </w:p>
        </w:tc>
      </w:tr>
      <w:tr>
        <w:tc>
          <w:tcPr>
            <w:tcW w:type="dxa" w:w="2088"/>
            <w:vAlign w:val="center"/>
          </w:tcPr>
          <w:p>
            <w:pPr>
              <w:spacing w:after="0"/>
              <w:jc w:val="center"/>
            </w:pPr>
            <w:r/>
            <w:r>
              <w:rPr>
                <w:rFonts w:ascii="Calibri" w:hAnsi="Calibri" w:eastAsia="SimSun"/>
                <w:b w:val="0"/>
                <w:sz w:val="20"/>
              </w:rPr>
              <w:t>reports</w:t>
            </w:r>
          </w:p>
        </w:tc>
        <w:tc>
          <w:tcPr>
            <w:tcW w:type="dxa" w:w="7200"/>
            <w:vAlign w:val="center"/>
          </w:tcPr>
          <w:p>
            <w:pPr>
              <w:spacing w:after="0"/>
              <w:jc w:val="left"/>
            </w:pPr>
            <w:r/>
            <w:r>
              <w:rPr>
                <w:rFonts w:ascii="Calibri" w:hAnsi="Calibri" w:eastAsia="SimSun"/>
                <w:b w:val="0"/>
                <w:sz w:val="20"/>
              </w:rPr>
              <w:t>保存实验记录和课程报告。</w:t>
            </w:r>
          </w:p>
        </w:tc>
      </w:tr>
    </w:tbl>
    <w:p/>
    <w:p>
      <w:pPr>
        <w:pStyle w:val="Heading1"/>
        <w:spacing w:before="240" w:after="120"/>
      </w:pPr>
      <w:r>
        <w:rPr>
          <w:rFonts w:ascii="Calibri" w:hAnsi="Calibri" w:eastAsia="SimSun"/>
          <w:b/>
          <w:color w:val="2E74B5"/>
          <w:sz w:val="32"/>
        </w:rPr>
        <w:t>4 数据描述</w:t>
      </w:r>
    </w:p>
    <w:p>
      <w:pPr>
        <w:spacing w:after="120" w:line="264" w:lineRule="auto"/>
        <w:ind w:firstLine="403"/>
      </w:pPr>
      <w:r>
        <w:rPr>
          <w:rFonts w:ascii="Calibri" w:hAnsi="Calibri" w:eastAsia="SimSun"/>
          <w:sz w:val="22"/>
        </w:rPr>
        <w:t>Kaggle House Prices 数据集包含 1460 条训练样本和 1459 条测试样本。每条样本描述一套房屋，特征包括数值型变量和类别型变量，例如 LotArea、OverallQual、YearBuilt、GrLivArea、GarageCars、Neighborhood、MSZoning 等。预测目标为训练集中的 SalePrice。</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spacing w:after="0"/>
              <w:jc w:val="center"/>
            </w:pPr>
            <w:r/>
            <w:r>
              <w:rPr>
                <w:rFonts w:ascii="Calibri" w:hAnsi="Calibri" w:eastAsia="SimSun"/>
                <w:b/>
                <w:sz w:val="21"/>
              </w:rPr>
              <w:t>项目</w:t>
            </w:r>
          </w:p>
        </w:tc>
        <w:tc>
          <w:tcPr>
            <w:tcW w:type="dxa" w:w="6912"/>
            <w:vAlign w:val="center"/>
            <w:shd w:fill="F2F4F7"/>
          </w:tcPr>
          <w:p>
            <w:pPr>
              <w:spacing w:after="0"/>
              <w:jc w:val="center"/>
            </w:pPr>
            <w:r/>
            <w:r>
              <w:rPr>
                <w:rFonts w:ascii="Calibri" w:hAnsi="Calibri" w:eastAsia="SimSun"/>
                <w:b/>
                <w:sz w:val="21"/>
              </w:rPr>
              <w:t>说明</w:t>
            </w:r>
          </w:p>
        </w:tc>
      </w:tr>
      <w:tr>
        <w:tc>
          <w:tcPr>
            <w:tcW w:type="dxa" w:w="2304"/>
            <w:vAlign w:val="center"/>
          </w:tcPr>
          <w:p>
            <w:pPr>
              <w:spacing w:after="0"/>
              <w:jc w:val="center"/>
            </w:pPr>
            <w:r/>
            <w:r>
              <w:rPr>
                <w:rFonts w:ascii="Calibri" w:hAnsi="Calibri" w:eastAsia="SimSun"/>
                <w:b w:val="0"/>
                <w:sz w:val="20"/>
              </w:rPr>
              <w:t>数据来源</w:t>
            </w:r>
          </w:p>
        </w:tc>
        <w:tc>
          <w:tcPr>
            <w:tcW w:type="dxa" w:w="6912"/>
            <w:vAlign w:val="center"/>
          </w:tcPr>
          <w:p>
            <w:pPr>
              <w:spacing w:after="0"/>
              <w:jc w:val="left"/>
            </w:pPr>
            <w:r/>
            <w:r>
              <w:rPr>
                <w:rFonts w:ascii="Calibri" w:hAnsi="Calibri" w:eastAsia="SimSun"/>
                <w:b w:val="0"/>
                <w:sz w:val="20"/>
              </w:rPr>
              <w:t>Kaggle House Prices - Advanced Regression Techniques</w:t>
            </w:r>
          </w:p>
        </w:tc>
      </w:tr>
      <w:tr>
        <w:tc>
          <w:tcPr>
            <w:tcW w:type="dxa" w:w="2304"/>
            <w:vAlign w:val="center"/>
          </w:tcPr>
          <w:p>
            <w:pPr>
              <w:spacing w:after="0"/>
              <w:jc w:val="center"/>
            </w:pPr>
            <w:r/>
            <w:r>
              <w:rPr>
                <w:rFonts w:ascii="Calibri" w:hAnsi="Calibri" w:eastAsia="SimSun"/>
                <w:b w:val="0"/>
                <w:sz w:val="20"/>
              </w:rPr>
              <w:t>训练集规模</w:t>
            </w:r>
          </w:p>
        </w:tc>
        <w:tc>
          <w:tcPr>
            <w:tcW w:type="dxa" w:w="6912"/>
            <w:vAlign w:val="center"/>
          </w:tcPr>
          <w:p>
            <w:pPr>
              <w:spacing w:after="0"/>
              <w:jc w:val="left"/>
            </w:pPr>
            <w:r/>
            <w:r>
              <w:rPr>
                <w:rFonts w:ascii="Calibri" w:hAnsi="Calibri" w:eastAsia="SimSun"/>
                <w:b w:val="0"/>
                <w:sz w:val="20"/>
              </w:rPr>
              <w:t>1460 条样本</w:t>
            </w:r>
          </w:p>
        </w:tc>
      </w:tr>
      <w:tr>
        <w:tc>
          <w:tcPr>
            <w:tcW w:type="dxa" w:w="2304"/>
            <w:vAlign w:val="center"/>
          </w:tcPr>
          <w:p>
            <w:pPr>
              <w:spacing w:after="0"/>
              <w:jc w:val="center"/>
            </w:pPr>
            <w:r/>
            <w:r>
              <w:rPr>
                <w:rFonts w:ascii="Calibri" w:hAnsi="Calibri" w:eastAsia="SimSun"/>
                <w:b w:val="0"/>
                <w:sz w:val="20"/>
              </w:rPr>
              <w:t>测试集规模</w:t>
            </w:r>
          </w:p>
        </w:tc>
        <w:tc>
          <w:tcPr>
            <w:tcW w:type="dxa" w:w="6912"/>
            <w:vAlign w:val="center"/>
          </w:tcPr>
          <w:p>
            <w:pPr>
              <w:spacing w:after="0"/>
              <w:jc w:val="left"/>
            </w:pPr>
            <w:r/>
            <w:r>
              <w:rPr>
                <w:rFonts w:ascii="Calibri" w:hAnsi="Calibri" w:eastAsia="SimSun"/>
                <w:b w:val="0"/>
                <w:sz w:val="20"/>
              </w:rPr>
              <w:t>1459 条样本</w:t>
            </w:r>
          </w:p>
        </w:tc>
      </w:tr>
      <w:tr>
        <w:tc>
          <w:tcPr>
            <w:tcW w:type="dxa" w:w="2304"/>
            <w:vAlign w:val="center"/>
          </w:tcPr>
          <w:p>
            <w:pPr>
              <w:spacing w:after="0"/>
              <w:jc w:val="center"/>
            </w:pPr>
            <w:r/>
            <w:r>
              <w:rPr>
                <w:rFonts w:ascii="Calibri" w:hAnsi="Calibri" w:eastAsia="SimSun"/>
                <w:b w:val="0"/>
                <w:sz w:val="20"/>
              </w:rPr>
              <w:t>特征类型</w:t>
            </w:r>
          </w:p>
        </w:tc>
        <w:tc>
          <w:tcPr>
            <w:tcW w:type="dxa" w:w="6912"/>
            <w:vAlign w:val="center"/>
          </w:tcPr>
          <w:p>
            <w:pPr>
              <w:spacing w:after="0"/>
              <w:jc w:val="left"/>
            </w:pPr>
            <w:r/>
            <w:r>
              <w:rPr>
                <w:rFonts w:ascii="Calibri" w:hAnsi="Calibri" w:eastAsia="SimSun"/>
                <w:b w:val="0"/>
                <w:sz w:val="20"/>
              </w:rPr>
              <w:t>数值特征与类别特征混合</w:t>
            </w:r>
          </w:p>
        </w:tc>
      </w:tr>
      <w:tr>
        <w:tc>
          <w:tcPr>
            <w:tcW w:type="dxa" w:w="2304"/>
            <w:vAlign w:val="center"/>
          </w:tcPr>
          <w:p>
            <w:pPr>
              <w:spacing w:after="0"/>
              <w:jc w:val="center"/>
            </w:pPr>
            <w:r/>
            <w:r>
              <w:rPr>
                <w:rFonts w:ascii="Calibri" w:hAnsi="Calibri" w:eastAsia="SimSun"/>
                <w:b w:val="0"/>
                <w:sz w:val="20"/>
              </w:rPr>
              <w:t>预测目标</w:t>
            </w:r>
          </w:p>
        </w:tc>
        <w:tc>
          <w:tcPr>
            <w:tcW w:type="dxa" w:w="6912"/>
            <w:vAlign w:val="center"/>
          </w:tcPr>
          <w:p>
            <w:pPr>
              <w:spacing w:after="0"/>
              <w:jc w:val="left"/>
            </w:pPr>
            <w:r/>
            <w:r>
              <w:rPr>
                <w:rFonts w:ascii="Calibri" w:hAnsi="Calibri" w:eastAsia="SimSun"/>
                <w:b w:val="0"/>
                <w:sz w:val="20"/>
              </w:rPr>
              <w:t>SalePrice</w:t>
            </w:r>
          </w:p>
        </w:tc>
      </w:tr>
      <w:tr>
        <w:tc>
          <w:tcPr>
            <w:tcW w:type="dxa" w:w="2304"/>
            <w:vAlign w:val="center"/>
          </w:tcPr>
          <w:p>
            <w:pPr>
              <w:spacing w:after="0"/>
              <w:jc w:val="center"/>
            </w:pPr>
            <w:r/>
            <w:r>
              <w:rPr>
                <w:rFonts w:ascii="Calibri" w:hAnsi="Calibri" w:eastAsia="SimSun"/>
                <w:b w:val="0"/>
                <w:sz w:val="20"/>
              </w:rPr>
              <w:t>评价指标</w:t>
            </w:r>
          </w:p>
        </w:tc>
        <w:tc>
          <w:tcPr>
            <w:tcW w:type="dxa" w:w="6912"/>
            <w:vAlign w:val="center"/>
          </w:tcPr>
          <w:p>
            <w:pPr>
              <w:spacing w:after="0"/>
              <w:jc w:val="left"/>
            </w:pPr>
            <w:r/>
            <w:r>
              <w:rPr>
                <w:rFonts w:ascii="Calibri" w:hAnsi="Calibri" w:eastAsia="SimSun"/>
                <w:b w:val="0"/>
                <w:sz w:val="20"/>
              </w:rPr>
              <w:t>RMSLE；本地实验使用 log1p 目标空间 RMSE 等价计算</w:t>
            </w:r>
          </w:p>
        </w:tc>
      </w:tr>
    </w:tbl>
    <w:p/>
    <w:p>
      <w:pPr>
        <w:pStyle w:val="Heading1"/>
        <w:spacing w:before="240" w:after="120"/>
      </w:pPr>
      <w:r>
        <w:rPr>
          <w:rFonts w:ascii="Calibri" w:hAnsi="Calibri" w:eastAsia="SimSun"/>
          <w:b/>
          <w:color w:val="2E74B5"/>
          <w:sz w:val="32"/>
        </w:rPr>
        <w:t>5 实验结果</w:t>
      </w:r>
    </w:p>
    <w:p>
      <w:pPr>
        <w:spacing w:after="120" w:line="264" w:lineRule="auto"/>
        <w:ind w:firstLine="403"/>
      </w:pPr>
      <w:r>
        <w:rPr>
          <w:rFonts w:ascii="Calibri" w:hAnsi="Calibri" w:eastAsia="SimSun"/>
          <w:sz w:val="22"/>
        </w:rPr>
        <w:t>实验采用 5 折交叉验证。所有模型使用相同的数据划分、预处理流程和随机种子 2026。表 1 给出了各模型在本地验证集上的平均 RMSLE 和标准差。</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vAlign w:val="center"/>
            <w:shd w:fill="F2F4F7"/>
          </w:tcPr>
          <w:p>
            <w:pPr>
              <w:spacing w:after="0"/>
              <w:jc w:val="center"/>
            </w:pPr>
            <w:r/>
            <w:r>
              <w:rPr>
                <w:rFonts w:ascii="Calibri" w:hAnsi="Calibri" w:eastAsia="SimSun"/>
                <w:b/>
                <w:sz w:val="21"/>
              </w:rPr>
              <w:t>模型</w:t>
            </w:r>
          </w:p>
        </w:tc>
        <w:tc>
          <w:tcPr>
            <w:tcW w:type="dxa" w:w="1728"/>
            <w:vAlign w:val="center"/>
            <w:shd w:fill="F2F4F7"/>
          </w:tcPr>
          <w:p>
            <w:pPr>
              <w:spacing w:after="0"/>
              <w:jc w:val="center"/>
            </w:pPr>
            <w:r/>
            <w:r>
              <w:rPr>
                <w:rFonts w:ascii="Calibri" w:hAnsi="Calibri" w:eastAsia="SimSun"/>
                <w:b/>
                <w:sz w:val="21"/>
              </w:rPr>
              <w:t>平均 RMSLE</w:t>
            </w:r>
          </w:p>
        </w:tc>
        <w:tc>
          <w:tcPr>
            <w:tcW w:type="dxa" w:w="1440"/>
            <w:vAlign w:val="center"/>
            <w:shd w:fill="F2F4F7"/>
          </w:tcPr>
          <w:p>
            <w:pPr>
              <w:spacing w:after="0"/>
              <w:jc w:val="center"/>
            </w:pPr>
            <w:r/>
            <w:r>
              <w:rPr>
                <w:rFonts w:ascii="Calibri" w:hAnsi="Calibri" w:eastAsia="SimSun"/>
                <w:b/>
                <w:sz w:val="21"/>
              </w:rPr>
              <w:t>标准差</w:t>
            </w:r>
          </w:p>
        </w:tc>
        <w:tc>
          <w:tcPr>
            <w:tcW w:type="dxa" w:w="3744"/>
            <w:vAlign w:val="center"/>
            <w:shd w:fill="F2F4F7"/>
          </w:tcPr>
          <w:p>
            <w:pPr>
              <w:spacing w:after="0"/>
              <w:jc w:val="center"/>
            </w:pPr>
            <w:r/>
            <w:r>
              <w:rPr>
                <w:rFonts w:ascii="Calibri" w:hAnsi="Calibri" w:eastAsia="SimSun"/>
                <w:b/>
                <w:sz w:val="21"/>
              </w:rPr>
              <w:t>说明</w:t>
            </w:r>
          </w:p>
        </w:tc>
      </w:tr>
      <w:tr>
        <w:tc>
          <w:tcPr>
            <w:tcW w:type="dxa" w:w="2304"/>
            <w:vAlign w:val="center"/>
          </w:tcPr>
          <w:p>
            <w:pPr>
              <w:spacing w:after="0"/>
              <w:jc w:val="center"/>
            </w:pPr>
            <w:r/>
            <w:r>
              <w:rPr>
                <w:rFonts w:ascii="Calibri" w:hAnsi="Calibri" w:eastAsia="SimSun"/>
                <w:b w:val="0"/>
                <w:sz w:val="20"/>
              </w:rPr>
              <w:t>CatBoost</w:t>
            </w:r>
          </w:p>
        </w:tc>
        <w:tc>
          <w:tcPr>
            <w:tcW w:type="dxa" w:w="1728"/>
            <w:vAlign w:val="center"/>
          </w:tcPr>
          <w:p>
            <w:pPr>
              <w:spacing w:after="0"/>
              <w:jc w:val="center"/>
            </w:pPr>
            <w:r/>
            <w:r>
              <w:rPr>
                <w:rFonts w:ascii="Calibri" w:hAnsi="Calibri" w:eastAsia="SimSun"/>
                <w:b w:val="0"/>
                <w:sz w:val="20"/>
              </w:rPr>
              <w:t>0.12029</w:t>
            </w:r>
          </w:p>
        </w:tc>
        <w:tc>
          <w:tcPr>
            <w:tcW w:type="dxa" w:w="1440"/>
            <w:vAlign w:val="center"/>
          </w:tcPr>
          <w:p>
            <w:pPr>
              <w:spacing w:after="0"/>
              <w:jc w:val="center"/>
            </w:pPr>
            <w:r/>
            <w:r>
              <w:rPr>
                <w:rFonts w:ascii="Calibri" w:hAnsi="Calibri" w:eastAsia="SimSun"/>
                <w:b w:val="0"/>
                <w:sz w:val="20"/>
              </w:rPr>
              <w:t>0.00532</w:t>
            </w:r>
          </w:p>
        </w:tc>
        <w:tc>
          <w:tcPr>
            <w:tcW w:type="dxa" w:w="3744"/>
            <w:vAlign w:val="center"/>
          </w:tcPr>
          <w:p>
            <w:pPr>
              <w:spacing w:after="0"/>
              <w:jc w:val="left"/>
            </w:pPr>
            <w:r/>
            <w:r>
              <w:rPr>
                <w:rFonts w:ascii="Calibri" w:hAnsi="Calibri" w:eastAsia="SimSun"/>
                <w:b w:val="0"/>
                <w:sz w:val="20"/>
              </w:rPr>
              <w:t>本地交叉验证最优模型</w:t>
            </w:r>
          </w:p>
        </w:tc>
      </w:tr>
      <w:tr>
        <w:tc>
          <w:tcPr>
            <w:tcW w:type="dxa" w:w="2304"/>
            <w:vAlign w:val="center"/>
          </w:tcPr>
          <w:p>
            <w:pPr>
              <w:spacing w:after="0"/>
              <w:jc w:val="center"/>
            </w:pPr>
            <w:r/>
            <w:r>
              <w:rPr>
                <w:rFonts w:ascii="Calibri" w:hAnsi="Calibri" w:eastAsia="SimSun"/>
                <w:b w:val="0"/>
                <w:sz w:val="20"/>
              </w:rPr>
              <w:t>XGBoost</w:t>
            </w:r>
          </w:p>
        </w:tc>
        <w:tc>
          <w:tcPr>
            <w:tcW w:type="dxa" w:w="1728"/>
            <w:vAlign w:val="center"/>
          </w:tcPr>
          <w:p>
            <w:pPr>
              <w:spacing w:after="0"/>
              <w:jc w:val="center"/>
            </w:pPr>
            <w:r/>
            <w:r>
              <w:rPr>
                <w:rFonts w:ascii="Calibri" w:hAnsi="Calibri" w:eastAsia="SimSun"/>
                <w:b w:val="0"/>
                <w:sz w:val="20"/>
              </w:rPr>
              <w:t>0.12039</w:t>
            </w:r>
          </w:p>
        </w:tc>
        <w:tc>
          <w:tcPr>
            <w:tcW w:type="dxa" w:w="1440"/>
            <w:vAlign w:val="center"/>
          </w:tcPr>
          <w:p>
            <w:pPr>
              <w:spacing w:after="0"/>
              <w:jc w:val="center"/>
            </w:pPr>
            <w:r/>
            <w:r>
              <w:rPr>
                <w:rFonts w:ascii="Calibri" w:hAnsi="Calibri" w:eastAsia="SimSun"/>
                <w:b w:val="0"/>
                <w:sz w:val="20"/>
              </w:rPr>
              <w:t>0.00514</w:t>
            </w:r>
          </w:p>
        </w:tc>
        <w:tc>
          <w:tcPr>
            <w:tcW w:type="dxa" w:w="3744"/>
            <w:vAlign w:val="center"/>
          </w:tcPr>
          <w:p>
            <w:pPr>
              <w:spacing w:after="0"/>
              <w:jc w:val="left"/>
            </w:pPr>
            <w:r/>
            <w:r>
              <w:rPr>
                <w:rFonts w:ascii="Calibri" w:hAnsi="Calibri" w:eastAsia="SimSun"/>
                <w:b w:val="0"/>
                <w:sz w:val="20"/>
              </w:rPr>
              <w:t>与 CatBoost 非常接近</w:t>
            </w:r>
          </w:p>
        </w:tc>
      </w:tr>
      <w:tr>
        <w:tc>
          <w:tcPr>
            <w:tcW w:type="dxa" w:w="2304"/>
            <w:vAlign w:val="center"/>
          </w:tcPr>
          <w:p>
            <w:pPr>
              <w:spacing w:after="0"/>
              <w:jc w:val="center"/>
            </w:pPr>
            <w:r/>
            <w:r>
              <w:rPr>
                <w:rFonts w:ascii="Calibri" w:hAnsi="Calibri" w:eastAsia="SimSun"/>
                <w:b w:val="0"/>
                <w:sz w:val="20"/>
              </w:rPr>
              <w:t>Weighted Ensemble</w:t>
            </w:r>
          </w:p>
        </w:tc>
        <w:tc>
          <w:tcPr>
            <w:tcW w:type="dxa" w:w="1728"/>
            <w:vAlign w:val="center"/>
          </w:tcPr>
          <w:p>
            <w:pPr>
              <w:spacing w:after="0"/>
              <w:jc w:val="center"/>
            </w:pPr>
            <w:r/>
            <w:r>
              <w:rPr>
                <w:rFonts w:ascii="Calibri" w:hAnsi="Calibri" w:eastAsia="SimSun"/>
                <w:b w:val="0"/>
                <w:sz w:val="20"/>
              </w:rPr>
              <w:t>0.12187</w:t>
            </w:r>
          </w:p>
        </w:tc>
        <w:tc>
          <w:tcPr>
            <w:tcW w:type="dxa" w:w="1440"/>
            <w:vAlign w:val="center"/>
          </w:tcPr>
          <w:p>
            <w:pPr>
              <w:spacing w:after="0"/>
              <w:jc w:val="center"/>
            </w:pPr>
            <w:r/>
            <w:r>
              <w:rPr>
                <w:rFonts w:ascii="Calibri" w:hAnsi="Calibri" w:eastAsia="SimSun"/>
                <w:b w:val="0"/>
                <w:sz w:val="20"/>
              </w:rPr>
              <w:t>0.00000</w:t>
            </w:r>
          </w:p>
        </w:tc>
        <w:tc>
          <w:tcPr>
            <w:tcW w:type="dxa" w:w="3744"/>
            <w:vAlign w:val="center"/>
          </w:tcPr>
          <w:p>
            <w:pPr>
              <w:spacing w:after="0"/>
              <w:jc w:val="left"/>
            </w:pPr>
            <w:r/>
            <w:r>
              <w:rPr>
                <w:rFonts w:ascii="Calibri" w:hAnsi="Calibri" w:eastAsia="SimSun"/>
                <w:b w:val="0"/>
                <w:sz w:val="20"/>
              </w:rPr>
              <w:t>简单加权融合略差于最优单模型</w:t>
            </w:r>
          </w:p>
        </w:tc>
      </w:tr>
      <w:tr>
        <w:tc>
          <w:tcPr>
            <w:tcW w:type="dxa" w:w="2304"/>
            <w:vAlign w:val="center"/>
          </w:tcPr>
          <w:p>
            <w:pPr>
              <w:spacing w:after="0"/>
              <w:jc w:val="center"/>
            </w:pPr>
            <w:r/>
            <w:r>
              <w:rPr>
                <w:rFonts w:ascii="Calibri" w:hAnsi="Calibri" w:eastAsia="SimSun"/>
                <w:b w:val="0"/>
                <w:sz w:val="20"/>
              </w:rPr>
              <w:t>LightGBM</w:t>
            </w:r>
          </w:p>
        </w:tc>
        <w:tc>
          <w:tcPr>
            <w:tcW w:type="dxa" w:w="1728"/>
            <w:vAlign w:val="center"/>
          </w:tcPr>
          <w:p>
            <w:pPr>
              <w:spacing w:after="0"/>
              <w:jc w:val="center"/>
            </w:pPr>
            <w:r/>
            <w:r>
              <w:rPr>
                <w:rFonts w:ascii="Calibri" w:hAnsi="Calibri" w:eastAsia="SimSun"/>
                <w:b w:val="0"/>
                <w:sz w:val="20"/>
              </w:rPr>
              <w:t>0.12817</w:t>
            </w:r>
          </w:p>
        </w:tc>
        <w:tc>
          <w:tcPr>
            <w:tcW w:type="dxa" w:w="1440"/>
            <w:vAlign w:val="center"/>
          </w:tcPr>
          <w:p>
            <w:pPr>
              <w:spacing w:after="0"/>
              <w:jc w:val="center"/>
            </w:pPr>
            <w:r/>
            <w:r>
              <w:rPr>
                <w:rFonts w:ascii="Calibri" w:hAnsi="Calibri" w:eastAsia="SimSun"/>
                <w:b w:val="0"/>
                <w:sz w:val="20"/>
              </w:rPr>
              <w:t>0.00128</w:t>
            </w:r>
          </w:p>
        </w:tc>
        <w:tc>
          <w:tcPr>
            <w:tcW w:type="dxa" w:w="3744"/>
            <w:vAlign w:val="center"/>
          </w:tcPr>
          <w:p>
            <w:pPr>
              <w:spacing w:after="0"/>
              <w:jc w:val="left"/>
            </w:pPr>
            <w:r/>
            <w:r>
              <w:rPr>
                <w:rFonts w:ascii="Calibri" w:hAnsi="Calibri" w:eastAsia="SimSun"/>
                <w:b w:val="0"/>
                <w:sz w:val="20"/>
              </w:rPr>
              <w:t>训练稳定，但本配置下低于 XGBoost/CatBoost</w:t>
            </w:r>
          </w:p>
        </w:tc>
      </w:tr>
      <w:tr>
        <w:tc>
          <w:tcPr>
            <w:tcW w:type="dxa" w:w="2304"/>
            <w:vAlign w:val="center"/>
          </w:tcPr>
          <w:p>
            <w:pPr>
              <w:spacing w:after="0"/>
              <w:jc w:val="center"/>
            </w:pPr>
            <w:r/>
            <w:r>
              <w:rPr>
                <w:rFonts w:ascii="Calibri" w:hAnsi="Calibri" w:eastAsia="SimSun"/>
                <w:b w:val="0"/>
                <w:sz w:val="20"/>
              </w:rPr>
              <w:t>Random Forest</w:t>
            </w:r>
          </w:p>
        </w:tc>
        <w:tc>
          <w:tcPr>
            <w:tcW w:type="dxa" w:w="1728"/>
            <w:vAlign w:val="center"/>
          </w:tcPr>
          <w:p>
            <w:pPr>
              <w:spacing w:after="0"/>
              <w:jc w:val="center"/>
            </w:pPr>
            <w:r/>
            <w:r>
              <w:rPr>
                <w:rFonts w:ascii="Calibri" w:hAnsi="Calibri" w:eastAsia="SimSun"/>
                <w:b w:val="0"/>
                <w:sz w:val="20"/>
              </w:rPr>
              <w:t>0.14251</w:t>
            </w:r>
          </w:p>
        </w:tc>
        <w:tc>
          <w:tcPr>
            <w:tcW w:type="dxa" w:w="1440"/>
            <w:vAlign w:val="center"/>
          </w:tcPr>
          <w:p>
            <w:pPr>
              <w:spacing w:after="0"/>
              <w:jc w:val="center"/>
            </w:pPr>
            <w:r/>
            <w:r>
              <w:rPr>
                <w:rFonts w:ascii="Calibri" w:hAnsi="Calibri" w:eastAsia="SimSun"/>
                <w:b w:val="0"/>
                <w:sz w:val="20"/>
              </w:rPr>
              <w:t>0.00580</w:t>
            </w:r>
          </w:p>
        </w:tc>
        <w:tc>
          <w:tcPr>
            <w:tcW w:type="dxa" w:w="3744"/>
            <w:vAlign w:val="center"/>
          </w:tcPr>
          <w:p>
            <w:pPr>
              <w:spacing w:after="0"/>
              <w:jc w:val="left"/>
            </w:pPr>
            <w:r/>
            <w:r>
              <w:rPr>
                <w:rFonts w:ascii="Calibri" w:hAnsi="Calibri" w:eastAsia="SimSun"/>
                <w:b w:val="0"/>
                <w:sz w:val="20"/>
              </w:rPr>
              <w:t>基础树集成模型</w:t>
            </w:r>
          </w:p>
        </w:tc>
      </w:tr>
      <w:tr>
        <w:tc>
          <w:tcPr>
            <w:tcW w:type="dxa" w:w="2304"/>
            <w:vAlign w:val="center"/>
          </w:tcPr>
          <w:p>
            <w:pPr>
              <w:spacing w:after="0"/>
              <w:jc w:val="center"/>
            </w:pPr>
            <w:r/>
            <w:r>
              <w:rPr>
                <w:rFonts w:ascii="Calibri" w:hAnsi="Calibri" w:eastAsia="SimSun"/>
                <w:b w:val="0"/>
                <w:sz w:val="20"/>
              </w:rPr>
              <w:t>Ridge Regression</w:t>
            </w:r>
          </w:p>
        </w:tc>
        <w:tc>
          <w:tcPr>
            <w:tcW w:type="dxa" w:w="1728"/>
            <w:vAlign w:val="center"/>
          </w:tcPr>
          <w:p>
            <w:pPr>
              <w:spacing w:after="0"/>
              <w:jc w:val="center"/>
            </w:pPr>
            <w:r/>
            <w:r>
              <w:rPr>
                <w:rFonts w:ascii="Calibri" w:hAnsi="Calibri" w:eastAsia="SimSun"/>
                <w:b w:val="0"/>
                <w:sz w:val="20"/>
              </w:rPr>
              <w:t>0.14399</w:t>
            </w:r>
          </w:p>
        </w:tc>
        <w:tc>
          <w:tcPr>
            <w:tcW w:type="dxa" w:w="1440"/>
            <w:vAlign w:val="center"/>
          </w:tcPr>
          <w:p>
            <w:pPr>
              <w:spacing w:after="0"/>
              <w:jc w:val="center"/>
            </w:pPr>
            <w:r/>
            <w:r>
              <w:rPr>
                <w:rFonts w:ascii="Calibri" w:hAnsi="Calibri" w:eastAsia="SimSun"/>
                <w:b w:val="0"/>
                <w:sz w:val="20"/>
              </w:rPr>
              <w:t>0.02627</w:t>
            </w:r>
          </w:p>
        </w:tc>
        <w:tc>
          <w:tcPr>
            <w:tcW w:type="dxa" w:w="3744"/>
            <w:vAlign w:val="center"/>
          </w:tcPr>
          <w:p>
            <w:pPr>
              <w:spacing w:after="0"/>
              <w:jc w:val="left"/>
            </w:pPr>
            <w:r/>
            <w:r>
              <w:rPr>
                <w:rFonts w:ascii="Calibri" w:hAnsi="Calibri" w:eastAsia="SimSun"/>
                <w:b w:val="0"/>
                <w:sz w:val="20"/>
              </w:rPr>
              <w:t>线性基线模型</w:t>
            </w:r>
          </w:p>
        </w:tc>
      </w:tr>
    </w:tbl>
    <w:p/>
    <w:p>
      <w:pPr>
        <w:jc w:val="center"/>
      </w:pPr>
      <w:r>
        <w:drawing>
          <wp:inline xmlns:a="http://schemas.openxmlformats.org/drawingml/2006/main" xmlns:pic="http://schemas.openxmlformats.org/drawingml/2006/picture">
            <wp:extent cx="5303520" cy="2946400"/>
            <wp:docPr id="1" name="Picture 1"/>
            <wp:cNvGraphicFramePr>
              <a:graphicFrameLocks noChangeAspect="1"/>
            </wp:cNvGraphicFramePr>
            <a:graphic>
              <a:graphicData uri="http://schemas.openxmlformats.org/drawingml/2006/picture">
                <pic:pic>
                  <pic:nvPicPr>
                    <pic:cNvPr id="0" name="cv_results.png"/>
                    <pic:cNvPicPr/>
                  </pic:nvPicPr>
                  <pic:blipFill>
                    <a:blip r:embed="rId10"/>
                    <a:stretch>
                      <a:fillRect/>
                    </a:stretch>
                  </pic:blipFill>
                  <pic:spPr>
                    <a:xfrm>
                      <a:off x="0" y="0"/>
                      <a:ext cx="5303520" cy="2946400"/>
                    </a:xfrm>
                    <a:prstGeom prst="rect"/>
                  </pic:spPr>
                </pic:pic>
              </a:graphicData>
            </a:graphic>
          </wp:inline>
        </w:drawing>
      </w:r>
    </w:p>
    <w:p>
      <w:pPr>
        <w:jc w:val="center"/>
      </w:pPr>
      <w:r>
        <w:rPr>
          <w:rFonts w:ascii="Calibri" w:hAnsi="Calibri" w:eastAsia="SimSun"/>
          <w:b/>
          <w:sz w:val="20"/>
        </w:rPr>
        <w:t>图 1 各模型 5 折交叉验证 RMSLE 对比</w:t>
      </w:r>
    </w:p>
    <w:p>
      <w:pPr>
        <w:spacing w:after="120" w:line="264" w:lineRule="auto"/>
        <w:ind w:firstLine="403"/>
      </w:pPr>
      <w:r>
        <w:rPr>
          <w:rFonts w:ascii="Calibri" w:hAnsi="Calibri" w:eastAsia="SimSun"/>
          <w:sz w:val="22"/>
        </w:rPr>
        <w:t>从实验结果可以看出，CatBoost 和 XGBoost 的误差最低，说明梯度提升树能够有效学习房价数据中的非线性结构和特征交互。LightGBM 的表现也明显优于 Ridge 和 Random Forest，但在当前参数设置下不及 CatBoost 和 XGBoost。Ridge Regression 作为线性基线，难以充分表达复杂的房屋属性关系；Random Forest 虽能处理非线性，但其逐树独立训练的 Bagging 机制在该任务中不如 Boosting 类模型。</w:t>
      </w:r>
    </w:p>
    <w:p>
      <w:pPr>
        <w:spacing w:after="120" w:line="264" w:lineRule="auto"/>
        <w:ind w:firstLine="403"/>
      </w:pPr>
      <w:r>
        <w:rPr>
          <w:rFonts w:ascii="Calibri" w:hAnsi="Calibri" w:eastAsia="SimSun"/>
          <w:sz w:val="22"/>
        </w:rPr>
        <w:t>本文将本地交叉验证最优的 CatBoost 模型生成提交文件 best_model_submission.csv，并提交至 Kaggle。线上 Public Score 为 0.12481，与本地 5 折交叉验证 RMSLE 0.12029 较为接近，说明本地验证方案能够较好反映模型的泛化性能。简单加权融合没有超过最优单模型，可能原因是各强模型之间预测相关性较高，且当前权重仅由误差倒数确定，未进行专门的融合权重搜索。</w:t>
      </w:r>
    </w:p>
    <w:p>
      <w:pPr>
        <w:pStyle w:val="Heading1"/>
        <w:spacing w:before="240" w:after="120"/>
      </w:pPr>
      <w:r>
        <w:rPr>
          <w:rFonts w:ascii="Calibri" w:hAnsi="Calibri" w:eastAsia="SimSun"/>
          <w:b/>
          <w:color w:val="2E74B5"/>
          <w:sz w:val="32"/>
        </w:rPr>
        <w:t>6 总结</w:t>
      </w:r>
    </w:p>
    <w:p>
      <w:pPr>
        <w:spacing w:after="120" w:line="264" w:lineRule="auto"/>
        <w:ind w:firstLine="403"/>
      </w:pPr>
      <w:r>
        <w:rPr>
          <w:rFonts w:ascii="Calibri" w:hAnsi="Calibri" w:eastAsia="SimSun"/>
          <w:sz w:val="22"/>
        </w:rPr>
        <w:t>本文围绕 Kaggle 房价预测竞赛，完成了从数据准备、模型构建、交叉验证、线上提交到结果分析的完整机器学习实验流程。实验表明，梯度提升树模型整体优于线性模型和基础随机森林，其中 CatBoost 取得了最佳本地验证成绩和较稳定的线上得分。</w:t>
      </w:r>
    </w:p>
    <w:p>
      <w:pPr>
        <w:spacing w:after="120" w:line="264" w:lineRule="auto"/>
        <w:ind w:firstLine="403"/>
      </w:pPr>
      <w:r>
        <w:rPr>
          <w:rFonts w:ascii="Calibri" w:hAnsi="Calibri" w:eastAsia="SimSun"/>
          <w:sz w:val="22"/>
        </w:rPr>
        <w:t>后续改进可以从三个方向展开：第一，增加更细致的特征工程，如房屋总面积、房龄、翻修年限、质量交互项等；第二，对 XGBoost、LightGBM、CatBoost 进行更系统的超参数搜索；第三，采用 Stacking 或基于验证集优化的融合策略，替代简单误差倒数加权，以进一步提升 Kaggle 成绩。</w:t>
      </w:r>
    </w:p>
    <w:p>
      <w:pPr>
        <w:pStyle w:val="Heading1"/>
        <w:spacing w:before="240" w:after="120"/>
      </w:pPr>
      <w:r>
        <w:rPr>
          <w:rFonts w:ascii="Calibri" w:hAnsi="Calibri" w:eastAsia="SimSun"/>
          <w:b/>
          <w:color w:val="2E74B5"/>
          <w:sz w:val="32"/>
        </w:rPr>
        <w:t>参考文献</w:t>
      </w:r>
    </w:p>
    <w:p>
      <w:pPr>
        <w:spacing w:after="120" w:line="264" w:lineRule="auto"/>
      </w:pPr>
      <w:r>
        <w:rPr>
          <w:rFonts w:ascii="Calibri" w:hAnsi="Calibri" w:eastAsia="SimSun"/>
          <w:sz w:val="22"/>
        </w:rPr>
        <w:t>[1] Kaggle. House Prices - Advanced Regression Techniques[EB/OL]. https://www.kaggle.com/competitions/house-prices-advanced-regression-techniques.</w:t>
      </w:r>
    </w:p>
    <w:p>
      <w:pPr>
        <w:spacing w:after="120" w:line="264" w:lineRule="auto"/>
      </w:pPr>
      <w:r>
        <w:rPr>
          <w:rFonts w:ascii="Calibri" w:hAnsi="Calibri" w:eastAsia="SimSun"/>
          <w:sz w:val="22"/>
        </w:rPr>
        <w:t>[2] Chen T, Guestrin C. XGBoost: A Scalable Tree Boosting System[C]. Proceedings of the 22nd ACM SIGKDD International Conference on Knowledge Discovery and Data Mining, 2016.</w:t>
      </w:r>
    </w:p>
    <w:p>
      <w:pPr>
        <w:spacing w:after="120" w:line="264" w:lineRule="auto"/>
      </w:pPr>
      <w:r>
        <w:rPr>
          <w:rFonts w:ascii="Calibri" w:hAnsi="Calibri" w:eastAsia="SimSun"/>
          <w:sz w:val="22"/>
        </w:rPr>
        <w:t>[3] Ke G, Meng Q, Finley T, et al. LightGBM: A Highly Efficient Gradient Boosting Decision Tree[C]. Advances in Neural Information Processing Systems, 2017.</w:t>
      </w:r>
    </w:p>
    <w:p>
      <w:pPr>
        <w:spacing w:after="120" w:line="264" w:lineRule="auto"/>
      </w:pPr>
      <w:r>
        <w:rPr>
          <w:rFonts w:ascii="Calibri" w:hAnsi="Calibri" w:eastAsia="SimSun"/>
          <w:sz w:val="22"/>
        </w:rPr>
        <w:t>[4] Prokhorenkova L, Gusev G, Vorobev A, et al. CatBoost: unbiased boosting with categorical features[C]. Advances in Neural Information Processing Systems, 2018.</w:t>
      </w:r>
    </w:p>
    <w:p>
      <w:pPr>
        <w:spacing w:after="120" w:line="264" w:lineRule="auto"/>
      </w:pPr>
      <w:r>
        <w:rPr>
          <w:rFonts w:ascii="Calibri" w:hAnsi="Calibri" w:eastAsia="SimSun"/>
          <w:sz w:val="22"/>
        </w:rPr>
        <w:t>[5] Hastie T, Tibshirani R, Friedman J. The Elements of Statistical Learning[M]. Springer, 2009.</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color w:val="555555"/>
        <w:sz w:val="18"/>
      </w:rPr>
      <w:t>高级机器学习理论课程报告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Sun" w:hAnsi="SimSun" w:eastAsia="SimSun"/>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Sun" w:hAnsi="SimSun"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Sun" w:hAnsi="SimSun" w:eastAsia="SimSun"/>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