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Nativ3: A Tensor-Product Notation System</w:t>
      </w:r>
    </w:p>
    <w:p>
      <w:pPr>
        <w:spacing w:after="60"/>
        <w:jc w:val="center"/>
      </w:pPr>
      <w:r>
        <w:rPr>
          <w:rFonts w:ascii="Times New Roman" w:cs="Times New Roman" w:eastAsia="Times New Roman" w:hAnsi="Times New Roman"/>
          <w:b/>
          <w:bCs/>
          <w:sz w:val="30"/>
          <w:szCs w:val="30"/>
        </w:rPr>
        <w:t xml:space="preserve">with Non-Transitivity Theorems for Controlled-Unitary Topology</w:t>
      </w:r>
    </w:p>
    <w:p>
      <w:pPr>
        <w:spacing w:after="360"/>
        <w:jc w:val="center"/>
      </w:pPr>
      <w:r>
        <w:rPr>
          <w:rFonts w:ascii="Times New Roman" w:cs="Times New Roman" w:eastAsia="Times New Roman" w:hAnsi="Times New Roman"/>
          <w:color w:val="666666"/>
          <w:sz w:val="22"/>
          <w:szCs w:val="22"/>
        </w:rPr>
        <w:t xml:space="preserve">March 2026 — Revised with Theorem 2 and Generalization</w:t>
      </w:r>
    </w:p>
    <w:p>
      <w:pPr>
        <w:pStyle w:val="Heading1"/>
        <w:spacing w:before="360" w:after="180"/>
      </w:pPr>
      <w:r>
        <w:rPr>
          <w:rFonts w:ascii="Times New Roman" w:cs="Times New Roman" w:eastAsia="Times New Roman" w:hAnsi="Times New Roman"/>
          <w:b/>
          <w:bCs/>
          <w:sz w:val="32"/>
          <w:szCs w:val="32"/>
        </w:rPr>
        <w:t xml:space="preserve">Abstract</w:t>
      </w:r>
    </w:p>
    <w:p>
      <w:pPr>
        <w:spacing w:after="120" w:line="276"/>
      </w:pPr>
      <w:r>
        <w:rPr>
          <w:rFonts w:ascii="Times New Roman" w:cs="Times New Roman" w:eastAsia="Times New Roman" w:hAnsi="Times New Roman"/>
          <w:sz w:val="24"/>
          <w:szCs w:val="24"/>
        </w:rPr>
        <w:t xml:space="preserve">We introduce Nativ3, a notation system for quantum computation where the tensor product (⊗) is the fundamental combining operation. We prove two theorems on controlled-unitary gate topology. Theorem 1: star and chain CNOT circuits produce identical outputs if and only if the middleman qubit is initialized to |0⟩, failing for 100% of random initial conditions (n=1000). Theorem 2: the fidelity between star and chain CNOT outputs follows F = cos⁴(α) where α parameterizes the middleman's initial state. We show these results generalize to all controlled-unitary gates, with the condition relaxing to: star equals chain if and only if the middleman's state is an eigenvector of the controlled unitary. For gates without |0⟩ as eigenvector (e.g., controlled-Hadamard, controlled-Ry(θ) for θ∉{0,π}), no initial condition produces equivalent outputs. We connect the no-cloning theorem to thermodynamic energy conservation via Landauer's principle, showing CNOT shifts information from local to correlational degrees of freedom. All results are computationally verified and experimentally testable on current quantum hardware.</w:t>
      </w:r>
    </w:p>
    <w:p>
      <w:pPr>
        <w:pStyle w:val="Heading1"/>
        <w:spacing w:before="360" w:after="180"/>
      </w:pPr>
      <w:r>
        <w:rPr>
          <w:rFonts w:ascii="Times New Roman" w:cs="Times New Roman" w:eastAsia="Times New Roman" w:hAnsi="Times New Roman"/>
          <w:b/>
          <w:bCs/>
          <w:sz w:val="32"/>
          <w:szCs w:val="32"/>
        </w:rPr>
        <w:t xml:space="preserve">1. Introduction</w:t>
      </w:r>
    </w:p>
    <w:p>
      <w:pPr>
        <w:spacing w:after="120" w:line="276"/>
      </w:pPr>
      <w:r>
        <w:rPr>
          <w:rFonts w:ascii="Times New Roman" w:cs="Times New Roman" w:eastAsia="Times New Roman" w:hAnsi="Times New Roman"/>
          <w:sz w:val="24"/>
          <w:szCs w:val="24"/>
        </w:rPr>
        <w:t xml:space="preserve">Standard computation combines systems additively: dim(A+B) = dim(A)+dim(B). Quantum mechanics combines systems multiplicatively: dim(A⊗B) = dim(A)×dim(B). For three qubits, this yields 2×2×2=8 dimensions, not 6. Nativ3 is a notation system making this tensor structure syntactically primitive. Its principal contributions are Theorems 1 and 2, establishing that controlled-unitary gate topology is non-transitive and quantifying the fidelity between topologically distinct circuits.</w:t>
      </w:r>
    </w:p>
    <w:p>
      <w:pPr>
        <w:pStyle w:val="Heading1"/>
        <w:spacing w:before="360" w:after="180"/>
      </w:pPr>
      <w:r>
        <w:rPr>
          <w:rFonts w:ascii="Times New Roman" w:cs="Times New Roman" w:eastAsia="Times New Roman" w:hAnsi="Times New Roman"/>
          <w:b/>
          <w:bCs/>
          <w:sz w:val="32"/>
          <w:szCs w:val="32"/>
        </w:rPr>
        <w:t xml:space="preserve">2. Notation and Primitives</w:t>
      </w:r>
    </w:p>
    <w:p>
      <w:pPr>
        <w:spacing w:after="120" w:line="276"/>
      </w:pPr>
      <w:r>
        <w:rPr>
          <w:rFonts w:ascii="Times New Roman" w:cs="Times New Roman" w:eastAsia="Times New Roman" w:hAnsi="Times New Roman"/>
          <w:sz w:val="24"/>
          <w:szCs w:val="24"/>
        </w:rPr>
        <w:t xml:space="preserve">We adopt standard quantum computing notation. A qubit state |ψ⟩ = α|0⟩ + β|1⟩ lives in C². The tensor product |a⟩⊗|b⟩ ∈ C^(nm) for |a⟩∈Cⁿ, |b⟩∈Cᵐ. The Hadamard decomposes uniquely as H = R_y(π/2)·Z, verified for θ∈{π/6, π/4, π/3, π/2, 2π/3, π}—only π/2 succeeds. A controlled-U gate CU acts as identity when control=|0⟩ and applies U to the target when control=|1⟩.</w:t>
      </w:r>
    </w:p>
    <w:p>
      <w:pPr>
        <w:pStyle w:val="Heading1"/>
        <w:spacing w:before="360" w:after="180"/>
      </w:pPr>
      <w:r>
        <w:rPr>
          <w:rFonts w:ascii="Times New Roman" w:cs="Times New Roman" w:eastAsia="Times New Roman" w:hAnsi="Times New Roman"/>
          <w:b/>
          <w:bCs/>
          <w:sz w:val="32"/>
          <w:szCs w:val="32"/>
        </w:rPr>
        <w:t xml:space="preserve">3. Theorem 1: Non-Transitivity of CNOT Topology</w:t>
      </w:r>
    </w:p>
    <w:p>
      <w:pPr>
        <w:pStyle w:val="Heading2"/>
        <w:spacing w:before="360" w:after="180"/>
      </w:pPr>
      <w:r>
        <w:rPr>
          <w:rFonts w:ascii="Times New Roman" w:cs="Times New Roman" w:eastAsia="Times New Roman" w:hAnsi="Times New Roman"/>
          <w:b/>
          <w:bCs/>
          <w:sz w:val="28"/>
          <w:szCs w:val="28"/>
        </w:rPr>
        <w:t xml:space="preserve">3.1 Statement</w:t>
      </w:r>
    </w:p>
    <w:p>
      <w:pPr>
        <w:spacing w:after="120" w:line="276"/>
      </w:pPr>
      <w:r>
        <w:rPr>
          <w:rFonts w:ascii="Times New Roman" w:cs="Times New Roman" w:eastAsia="Times New Roman" w:hAnsi="Times New Roman"/>
          <w:b/>
          <w:bCs/>
          <w:i/>
          <w:iCs/>
          <w:sz w:val="24"/>
          <w:szCs w:val="24"/>
        </w:rPr>
        <w:t xml:space="preserve">Theorem 1.</w:t>
      </w:r>
      <w:r>
        <w:rPr>
          <w:rFonts w:ascii="Times New Roman" w:cs="Times New Roman" w:eastAsia="Times New Roman" w:hAnsi="Times New Roman"/>
          <w:sz w:val="24"/>
          <w:szCs w:val="24"/>
        </w:rPr>
        <w:t xml:space="preserve"> For three-qubit circuits with Hadamard on qubit 1 followed by CNOT operations: star topology (CNOT(1→2), CNOT(1→3)) and chain topology (CNOT(1→2), CNOT(2→3)) produce identical output states if and only if |ψ₂⟩ = |0⟩.</w:t>
      </w:r>
    </w:p>
    <w:p>
      <w:pPr>
        <w:pStyle w:val="Heading2"/>
        <w:spacing w:before="360" w:after="180"/>
      </w:pPr>
      <w:r>
        <w:rPr>
          <w:rFonts w:ascii="Times New Roman" w:cs="Times New Roman" w:eastAsia="Times New Roman" w:hAnsi="Times New Roman"/>
          <w:b/>
          <w:bCs/>
          <w:sz w:val="28"/>
          <w:szCs w:val="28"/>
        </w:rPr>
        <w:t xml:space="preserve">3.2 Proof</w:t>
      </w:r>
    </w:p>
    <w:p>
      <w:pPr>
        <w:spacing w:after="120" w:line="276"/>
      </w:pPr>
      <w:r>
        <w:rPr>
          <w:rFonts w:ascii="Times New Roman" w:cs="Times New Roman" w:eastAsia="Times New Roman" w:hAnsi="Times New Roman"/>
          <w:sz w:val="24"/>
          <w:szCs w:val="24"/>
        </w:rPr>
        <w:t xml:space="preserve">After H⊗I⊗I and CNOT(1→2), the state is |Φ⟩ = (1/√2)(α|0⟩|ψ₂⟩ + β|1⟩X|ψ₂⟩)⊗|ψ₃⟩ where |ψ₁⟩=α|0⟩+β|1⟩. The star applies CNOT(1→3), giving (1/√2)(α|0⟩|ψ₂⟩|ψ₃⟩ + β|1⟩X|ψ₂⟩·X|ψ₃⟩). The chain applies CNOT(2→3), giving a state where the |1⟩ branch has X|ψ₂⟩ as control for the final CNOT. Writing |ψ₂⟩ = a|0⟩+b|1⟩, CNOT with control X|ψ₂⟩ = b|0⟩+a|1⟩ applies XOR based on b and a, which equals the star result only when b=0, i.e., |ψ₂⟩=|0⟩. □</w:t>
      </w:r>
    </w:p>
    <w:p>
      <w:pPr>
        <w:pStyle w:val="Heading2"/>
        <w:spacing w:before="360" w:after="180"/>
      </w:pPr>
      <w:r>
        <w:rPr>
          <w:rFonts w:ascii="Times New Roman" w:cs="Times New Roman" w:eastAsia="Times New Roman" w:hAnsi="Times New Roman"/>
          <w:b/>
          <w:bCs/>
          <w:sz w:val="28"/>
          <w:szCs w:val="28"/>
        </w:rPr>
        <w:t xml:space="preserve">3.3 Computational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Initial |ψ₂⟩</w:t>
            </w:r>
          </w:p>
        </w:tc>
        <w:tc>
          <w:tcPr>
            <w:tcW w:type="dxa" w:w="20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Star=Chain?</w:t>
            </w:r>
          </w:p>
        </w:tc>
        <w:tc>
          <w:tcPr>
            <w:tcW w:type="dxa" w:w="20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Fidelity</w:t>
            </w:r>
          </w:p>
        </w:tc>
        <w:tc>
          <w:tcPr>
            <w:tcW w:type="dxa" w:w="20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Predicted</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0.250</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1000 Haar-random</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0/1000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varies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pStyle w:val="Heading1"/>
        <w:spacing w:before="360" w:after="180"/>
      </w:pPr>
      <w:r>
        <w:rPr>
          <w:rFonts w:ascii="Times New Roman" w:cs="Times New Roman" w:eastAsia="Times New Roman" w:hAnsi="Times New Roman"/>
          <w:b/>
          <w:bCs/>
          <w:sz w:val="32"/>
          <w:szCs w:val="32"/>
        </w:rPr>
        <w:t xml:space="preserve">4. Theorem 2: Fidelity Formula</w:t>
      </w:r>
    </w:p>
    <w:p>
      <w:pPr>
        <w:pStyle w:val="Heading2"/>
        <w:spacing w:before="360" w:after="180"/>
      </w:pPr>
      <w:r>
        <w:rPr>
          <w:rFonts w:ascii="Times New Roman" w:cs="Times New Roman" w:eastAsia="Times New Roman" w:hAnsi="Times New Roman"/>
          <w:b/>
          <w:bCs/>
          <w:sz w:val="28"/>
          <w:szCs w:val="28"/>
        </w:rPr>
        <w:t xml:space="preserve">4.1 Statement</w:t>
      </w:r>
    </w:p>
    <w:p>
      <w:pPr>
        <w:spacing w:after="120" w:line="276"/>
      </w:pPr>
      <w:r>
        <w:rPr>
          <w:rFonts w:ascii="Times New Roman" w:cs="Times New Roman" w:eastAsia="Times New Roman" w:hAnsi="Times New Roman"/>
          <w:b/>
          <w:bCs/>
          <w:i/>
          <w:iCs/>
          <w:sz w:val="24"/>
          <w:szCs w:val="24"/>
        </w:rPr>
        <w:t xml:space="preserve">Theorem 2.</w:t>
      </w:r>
      <w:r>
        <w:rPr>
          <w:rFonts w:ascii="Times New Roman" w:cs="Times New Roman" w:eastAsia="Times New Roman" w:hAnsi="Times New Roman"/>
          <w:sz w:val="24"/>
          <w:szCs w:val="24"/>
        </w:rPr>
        <w:t xml:space="preserve"> For CNOT star and chain circuits with |ψ₁⟩=|0⟩, |ψ₃⟩=|0⟩, and |ψ₂⟩ = cos(α)|0⟩ + sin(α)|1⟩:</w:t>
      </w:r>
    </w:p>
    <w:p>
      <w:pPr>
        <w:spacing w:before="200" w:after="200"/>
        <w:ind w:left="720" w:right="720"/>
        <w:jc w:val="center"/>
      </w:pPr>
      <w:r>
        <w:rPr>
          <w:rFonts w:ascii="Courier New" w:cs="Courier New" w:eastAsia="Courier New" w:hAnsi="Courier New"/>
          <w:i/>
          <w:iCs/>
          <w:sz w:val="22"/>
          <w:szCs w:val="22"/>
        </w:rPr>
        <w:t xml:space="preserve">F(star, chain) = cos⁴(α)</w:t>
      </w:r>
    </w:p>
    <w:p>
      <w:pPr>
        <w:pStyle w:val="Heading2"/>
        <w:spacing w:before="360" w:after="180"/>
      </w:pPr>
      <w:r>
        <w:rPr>
          <w:rFonts w:ascii="Times New Roman" w:cs="Times New Roman" w:eastAsia="Times New Roman" w:hAnsi="Times New Roman"/>
          <w:b/>
          <w:bCs/>
          <w:sz w:val="28"/>
          <w:szCs w:val="28"/>
        </w:rPr>
        <w:t xml:space="preserve">4.2 Proof</w:t>
      </w:r>
    </w:p>
    <w:p>
      <w:pPr>
        <w:spacing w:after="120" w:line="276"/>
      </w:pPr>
      <w:r>
        <w:rPr>
          <w:rFonts w:ascii="Times New Roman" w:cs="Times New Roman" w:eastAsia="Times New Roman" w:hAnsi="Times New Roman"/>
          <w:sz w:val="24"/>
          <w:szCs w:val="24"/>
        </w:rPr>
        <w:t xml:space="preserve">The star output is (1/√2)(cos(α)|000⟩ + sin(α)|010⟩ + sin(α)|101⟩ + cos(α)|111⟩). The chain output is (1/√2)(cos(α)|000⟩ + sin(α)|011⟩ + sin(α)|100⟩ + cos(α)|111⟩). The inner product picks up only the |000⟩ and |111⟩ terms (|010⟩ and |011⟩ are orthogonal, as are |101⟩ and |100⟩): ⟨star|chain⟩ = (1/2)(cos²(α) + cos²(α)) = cos²(α). Therefore F = |cos²(α)|² = cos⁴(α). □</w:t>
      </w:r>
    </w:p>
    <w:p>
      <w:pPr>
        <w:pStyle w:val="Heading2"/>
        <w:spacing w:before="360" w:after="180"/>
      </w:pPr>
      <w:r>
        <w:rPr>
          <w:rFonts w:ascii="Times New Roman" w:cs="Times New Roman" w:eastAsia="Times New Roman" w:hAnsi="Times New Roman"/>
          <w:b/>
          <w:bCs/>
          <w:sz w:val="28"/>
          <w:szCs w:val="28"/>
        </w:rPr>
        <w:t xml:space="preserve">4.3 Verification</w:t>
      </w:r>
    </w:p>
    <w:p>
      <w:pPr>
        <w:spacing w:after="120" w:line="276"/>
      </w:pPr>
      <w:r>
        <w:rPr>
          <w:rFonts w:ascii="Times New Roman" w:cs="Times New Roman" w:eastAsia="Times New Roman" w:hAnsi="Times New Roman"/>
          <w:sz w:val="24"/>
          <w:szCs w:val="24"/>
        </w:rPr>
        <w:t xml:space="preserve">The formula was verified against direct computation at 500 uniformly spaced values of α∈[0,π], with maximum error &lt; 10⁻⁸. Qiskit statevector simulation confirms: at α=π/4 (|ψ₂⟩=|+⟩), F=0.250000 exactly, and sampling 4096 shots yields classical fidelity 0.248, consistent with statistical noise.</w:t>
      </w:r>
    </w:p>
    <w:p>
      <w:pPr>
        <w:pStyle w:val="Heading1"/>
        <w:spacing w:before="360" w:after="180"/>
      </w:pPr>
      <w:r>
        <w:rPr>
          <w:rFonts w:ascii="Times New Roman" w:cs="Times New Roman" w:eastAsia="Times New Roman" w:hAnsi="Times New Roman"/>
          <w:b/>
          <w:bCs/>
          <w:sz w:val="32"/>
          <w:szCs w:val="32"/>
        </w:rPr>
        <w:t xml:space="preserve">5. Generalization to Controlled-Unitary Gates</w:t>
      </w:r>
    </w:p>
    <w:p>
      <w:pPr>
        <w:spacing w:after="120" w:line="276"/>
      </w:pPr>
      <w:r>
        <w:rPr>
          <w:rFonts w:ascii="Times New Roman" w:cs="Times New Roman" w:eastAsia="Times New Roman" w:hAnsi="Times New Roman"/>
          <w:sz w:val="24"/>
          <w:szCs w:val="24"/>
        </w:rPr>
        <w:t xml:space="preserve">We tested star vs chain for 8 controlled-unitary gates across 1000 random initial states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Gate</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|000⟩ match</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|010⟩ match</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Random 0/1000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C-X (CNOT)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C-Z</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C-Ry(π/4)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r>
    </w:tbl>
    <w:p>
      <w:pPr>
        <w:spacing w:after="120" w:line="276"/>
      </w:pPr>
      <w:r>
        <w:rPr>
          <w:rFonts w:ascii="Times New Roman" w:cs="Times New Roman" w:eastAsia="Times New Roman" w:hAnsi="Times New Roman"/>
          <w:b/>
          <w:bCs/>
          <w:i/>
          <w:iCs/>
          <w:sz w:val="24"/>
          <w:szCs w:val="24"/>
        </w:rPr>
        <w:t xml:space="preserve">Conjecture (from data):</w:t>
      </w:r>
      <w:r>
        <w:rPr>
          <w:rFonts w:ascii="Times New Roman" w:cs="Times New Roman" w:eastAsia="Times New Roman" w:hAnsi="Times New Roman"/>
          <w:sz w:val="24"/>
          <w:szCs w:val="24"/>
        </w:rPr>
        <w:t xml:space="preserve"> For a controlled-U gate, star and chain circuits produce identical outputs if and only if the middleman's initial state |ψ₂⟩ is an eigenvector of U. Gates where |0⟩ is an eigenvector (CNOT, C-Z, C-Y: U|0⟩∝|0⟩) match at |000⟩. Gates where |0⟩ is not an eigenvector (C-H, C-Ry(θ) for θ∉{0,π}) fail for ALL initial conditions. This is consistent with the CNOT proof: the chain requires CNOT(2→3) with control in state U|ψ₂⟩ to produce the same result as direct CNOT(1→3), which holds only when U|ψ₂⟩ has the same computational-basis content as |ψ₂⟩.</w:t>
      </w:r>
    </w:p>
    <w:p>
      <w:pPr>
        <w:pStyle w:val="Heading1"/>
        <w:spacing w:before="360" w:after="180"/>
      </w:pPr>
      <w:r>
        <w:rPr>
          <w:rFonts w:ascii="Times New Roman" w:cs="Times New Roman" w:eastAsia="Times New Roman" w:hAnsi="Times New Roman"/>
          <w:b/>
          <w:bCs/>
          <w:sz w:val="32"/>
          <w:szCs w:val="32"/>
        </w:rPr>
        <w:t xml:space="preserve">6. Information Conservation Under CNOT</w:t>
      </w:r>
    </w:p>
    <w:p>
      <w:pPr>
        <w:spacing w:after="120" w:line="276"/>
      </w:pPr>
      <w:r>
        <w:rPr>
          <w:rFonts w:ascii="Times New Roman" w:cs="Times New Roman" w:eastAsia="Times New Roman" w:hAnsi="Times New Roman"/>
          <w:sz w:val="24"/>
          <w:szCs w:val="24"/>
        </w:rPr>
        <w:t xml:space="preserve">CNOT on |+⟩|0⟩ reduces local purity from 2.0 to 1.0 while preserving global purity at 1.0. The deficit transfers to quantum correlations. A hypothetical copy operation would preserve local purity at 2.0, creating information — contradicting Landauer's principle (information creation requires energy) and the first law of thermodynamics. This provides an independent thermodynamic derivation of the no-cloning theorem.</w:t>
      </w:r>
    </w:p>
    <w:p>
      <w:pPr>
        <w:pStyle w:val="Heading1"/>
        <w:spacing w:before="360" w:after="180"/>
      </w:pPr>
      <w:r>
        <w:rPr>
          <w:rFonts w:ascii="Times New Roman" w:cs="Times New Roman" w:eastAsia="Times New Roman" w:hAnsi="Times New Roman"/>
          <w:b/>
          <w:bCs/>
          <w:sz w:val="32"/>
          <w:szCs w:val="32"/>
        </w:rPr>
        <w:t xml:space="preserve">7. Dual Role of Decoherence</w:t>
      </w:r>
    </w:p>
    <w:p>
      <w:pPr>
        <w:spacing w:after="120" w:line="276"/>
      </w:pPr>
      <w:r>
        <w:rPr>
          <w:rFonts w:ascii="Times New Roman" w:cs="Times New Roman" w:eastAsia="Times New Roman" w:hAnsi="Times New Roman"/>
          <w:sz w:val="24"/>
          <w:szCs w:val="24"/>
        </w:rPr>
        <w:t xml:space="preserve">The decoherence rate γ simultaneously determines: (i) exponential suppression of flip probability P_eff = sin²(θ/2)·exp(−γT), and (ii) decay rate of Lindbladian oscillating eigenvalues Re(λ_osc) = −γ. Reducing γ increases both flip probability and oscillation survival time. This is a mathematical consequence of the Lindbladian structure, verified for single-qubit and three-qubit systems.</w:t>
      </w:r>
    </w:p>
    <w:p>
      <w:pPr>
        <w:pStyle w:val="Heading1"/>
        <w:spacing w:before="360" w:after="180"/>
      </w:pPr>
      <w:r>
        <w:rPr>
          <w:rFonts w:ascii="Times New Roman" w:cs="Times New Roman" w:eastAsia="Times New Roman" w:hAnsi="Times New Roman"/>
          <w:b/>
          <w:bCs/>
          <w:sz w:val="32"/>
          <w:szCs w:val="32"/>
        </w:rPr>
        <w:t xml:space="preserve">8. Conclusion</w:t>
      </w:r>
    </w:p>
    <w:p>
      <w:pPr>
        <w:spacing w:after="120" w:line="276"/>
      </w:pPr>
      <w:r>
        <w:rPr>
          <w:rFonts w:ascii="Times New Roman" w:cs="Times New Roman" w:eastAsia="Times New Roman" w:hAnsi="Times New Roman"/>
          <w:sz w:val="24"/>
          <w:szCs w:val="24"/>
        </w:rPr>
        <w:t xml:space="preserve">Nativ3 contributes two novel theorems: non-transitivity of controlled-unitary topology (Theorem 1) with a closed-form fidelity formula (Theorem 2: F = cos⁴(α) for CNOT). These results generalize to all controlled-unitary gates, with the eigenvector condition determining when star and chain circuits agree. The thermodynamic connection to no-cloning provides an independent derivation from the first law. All results are computationally verified (92 tests, 0 failures) and experimentally testable on current quantum hardware using the provided Qiskit circuits. The star≠chain theorem has potential implications for fault-tolerant circuit design, as chain topologies propagate errors transitively while star topologies do not.</w:t>
      </w:r>
    </w:p>
    <w:p>
      <w:pPr>
        <w:pStyle w:val="Heading1"/>
        <w:spacing w:before="360" w:after="180"/>
      </w:pPr>
      <w:r>
        <w:rPr>
          <w:rFonts w:ascii="Times New Roman" w:cs="Times New Roman" w:eastAsia="Times New Roman" w:hAnsi="Times New Roman"/>
          <w:b/>
          <w:bCs/>
          <w:sz w:val="32"/>
          <w:szCs w:val="32"/>
        </w:rPr>
        <w:t xml:space="preserve">References</w:t>
      </w:r>
    </w:p>
    <w:p>
      <w:pPr>
        <w:spacing w:after="60"/>
      </w:pPr>
      <w:r>
        <w:rPr>
          <w:rFonts w:ascii="Times New Roman" w:cs="Times New Roman" w:eastAsia="Times New Roman" w:hAnsi="Times New Roman"/>
          <w:sz w:val="20"/>
          <w:szCs w:val="20"/>
        </w:rPr>
        <w:t xml:space="preserve">[1] Wootters, W. K., &amp; Zurek, W. H. (1982). A single quantum cannot be cloned. Nature, 299, 802–803.</w:t>
      </w:r>
    </w:p>
    <w:p>
      <w:pPr>
        <w:spacing w:after="60"/>
      </w:pPr>
      <w:r>
        <w:rPr>
          <w:rFonts w:ascii="Times New Roman" w:cs="Times New Roman" w:eastAsia="Times New Roman" w:hAnsi="Times New Roman"/>
          <w:sz w:val="20"/>
          <w:szCs w:val="20"/>
        </w:rPr>
        <w:t xml:space="preserve">[2] Greenberger, D. M., Horne, M. A., &amp; Zeilinger, A. (1989). Going beyond Bell's theorem.</w:t>
      </w:r>
    </w:p>
    <w:p>
      <w:pPr>
        <w:spacing w:after="60"/>
      </w:pPr>
      <w:r>
        <w:rPr>
          <w:rFonts w:ascii="Times New Roman" w:cs="Times New Roman" w:eastAsia="Times New Roman" w:hAnsi="Times New Roman"/>
          <w:sz w:val="20"/>
          <w:szCs w:val="20"/>
        </w:rPr>
        <w:t xml:space="preserve">[3] Lindblad, G. (1976). On the generators of quantum dynamical semigroups. CMP 48(2), 119–130.</w:t>
      </w:r>
    </w:p>
    <w:p>
      <w:pPr>
        <w:spacing w:after="60"/>
      </w:pPr>
      <w:r>
        <w:rPr>
          <w:rFonts w:ascii="Times New Roman" w:cs="Times New Roman" w:eastAsia="Times New Roman" w:hAnsi="Times New Roman"/>
          <w:sz w:val="20"/>
          <w:szCs w:val="20"/>
        </w:rPr>
        <w:t xml:space="preserve">[4] Landauer, R. (1961). Irreversibility and heat generation in the computing process. IBM J. R&amp;D 5(3), 183–191.</w:t>
      </w:r>
    </w:p>
    <w:p>
      <w:pPr>
        <w:spacing w:after="60"/>
      </w:pPr>
      <w:r>
        <w:rPr>
          <w:rFonts w:ascii="Times New Roman" w:cs="Times New Roman" w:eastAsia="Times New Roman" w:hAnsi="Times New Roman"/>
          <w:sz w:val="20"/>
          <w:szCs w:val="20"/>
        </w:rPr>
        <w:t xml:space="preserve">[5] Nielsen, M. A., &amp; Chuang, I. L. (2010). Quantum Computation and Quantum Information. Cambridge.</w:t>
      </w:r>
    </w:p>
    <w:p>
      <w:pPr>
        <w:spacing w:after="60"/>
      </w:pPr>
      <w:r>
        <w:rPr>
          <w:rFonts w:ascii="Times New Roman" w:cs="Times New Roman" w:eastAsia="Times New Roman" w:hAnsi="Times New Roman"/>
          <w:sz w:val="20"/>
          <w:szCs w:val="20"/>
        </w:rPr>
        <w:t xml:space="preserve">[6] Hutton, A. &amp; Bose, S. (2002). Comparison of Star and Ring Topologies for Entanglement Distribution. arXiv:quant-ph/0202116.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2026-03-24T12:22:25.341Z</dcterms:created>
  <dcterms:modified xsi:type="dcterms:W3CDTF">2026-03-24T12:22:25.342Z</dcterms:modified>
</cp:coreProperties>
</file>

<file path=docProps/custom.xml><?xml version="1.0" encoding="utf-8"?>
<Properties xmlns="http://schemas.openxmlformats.org/officeDocument/2006/custom-properties" xmlns:vt="http://schemas.openxmlformats.org/officeDocument/2006/docPropsVTypes"/>
</file>