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Nativ3: A Tensor-Product Notation System</w:t>
      </w:r>
    </w:p>
    <w:p>
      <w:pPr>
        <w:spacing w:after="60"/>
        <w:jc w:val="center"/>
      </w:pPr>
      <w:r>
        <w:rPr>
          <w:rFonts w:ascii="Times New Roman" w:cs="Times New Roman" w:eastAsia="Times New Roman" w:hAnsi="Times New Roman"/>
          <w:b/>
          <w:bCs/>
          <w:sz w:val="30"/>
          <w:szCs w:val="30"/>
        </w:rPr>
        <w:t xml:space="preserve">with Non-Transitivity Theorems for Controlled-Unitary Topology</w:t>
      </w:r>
    </w:p>
    <w:p>
      <w:pPr>
        <w:spacing w:after="360"/>
        <w:jc w:val="center"/>
      </w:pPr>
      <w:r>
        <w:rPr>
          <w:rFonts w:ascii="Times New Roman" w:cs="Times New Roman" w:eastAsia="Times New Roman" w:hAnsi="Times New Roman"/>
          <w:color w:val="666666"/>
          <w:sz w:val="22"/>
          <w:szCs w:val="22"/>
        </w:rPr>
        <w:t xml:space="preserve">March 2026 — Revised with Hardware Verification and Corollary 2.1</w:t>
      </w:r>
    </w:p>
    <w:p>
      <w:pPr>
        <w:pStyle w:val="Heading1"/>
        <w:spacing w:before="360" w:after="180"/>
      </w:pPr>
      <w:r>
        <w:rPr>
          <w:rFonts w:ascii="Times New Roman" w:cs="Times New Roman" w:eastAsia="Times New Roman" w:hAnsi="Times New Roman"/>
          <w:b/>
          <w:bCs/>
          <w:sz w:val="32"/>
          <w:szCs w:val="32"/>
        </w:rPr>
        <w:t xml:space="preserve">Abstract</w:t>
      </w:r>
    </w:p>
    <w:p>
      <w:pPr>
        <w:spacing w:after="120" w:line="276"/>
      </w:pPr>
      <w:r>
        <w:rPr>
          <w:rFonts w:ascii="Times New Roman" w:cs="Times New Roman" w:eastAsia="Times New Roman" w:hAnsi="Times New Roman"/>
          <w:sz w:val="24"/>
          <w:szCs w:val="24"/>
        </w:rPr>
        <w:t xml:space="preserve">We introduce Nativ3, a notation system for quantum computation where the tensor product (⊗) is the fundamental combining operation. We prove two theorems on controlled-unitary gate topology. Theorem 1: star and chain CNOT circuits produce identical outputs if and only if the middleman qubit is initialized to |0⟩, failing for 100% of random initial conditions (n=1000). Theorem 2: the fidelity between star and chain outputs follows F = cos⁴(α) where α parameterizes the middleman’s initial state. A corollary (Corollary 2.1) establishes that this fidelity formula is independent of the opening gate applied to qubit 1, holding for all G ∈ U(2), thereby establishing non-transitivity as a topological property of the circuit graph rather than a quantum-superposition effect. We generalize to all controlled-unitary gates with a three-tier classification: diagonal gates are always topology-invariant, basis-permuting gates match only at |0⟩, and superposition-creating gates never match. Both theorems are experimentally verified on IBM Torino quantum hardware (8192 shots, 13 parameter values). We connect the no-cloning theorem to thermodynamic energy conservation via Landauer’s principle.</w:t>
      </w:r>
    </w:p>
    <w:p>
      <w:pPr>
        <w:pStyle w:val="Heading1"/>
        <w:spacing w:before="360" w:after="180"/>
      </w:pPr>
      <w:r>
        <w:rPr>
          <w:rFonts w:ascii="Times New Roman" w:cs="Times New Roman" w:eastAsia="Times New Roman" w:hAnsi="Times New Roman"/>
          <w:b/>
          <w:bCs/>
          <w:sz w:val="32"/>
          <w:szCs w:val="32"/>
        </w:rPr>
        <w:t xml:space="preserve">1. Introduction</w:t>
      </w:r>
    </w:p>
    <w:p>
      <w:pPr>
        <w:spacing w:after="120" w:line="276"/>
      </w:pPr>
      <w:r>
        <w:rPr>
          <w:rFonts w:ascii="Times New Roman" w:cs="Times New Roman" w:eastAsia="Times New Roman" w:hAnsi="Times New Roman"/>
          <w:sz w:val="24"/>
          <w:szCs w:val="24"/>
        </w:rPr>
        <w:t xml:space="preserve">Standard computation combines systems additively: dim(A+B) = dim(A)+dim(B). Quantum mechanics combines systems multiplicatively: dim(A⊗B) = dim(A)×dim(B). For three qubits, this yields 2×2×2=8 dimensions, not 6. Nativ3 is a notation system making this tensor structure syntactically primitive. Its principal contributions are Theorems 1 and 2, establishing that controlled-unitary gate topology is non-transitive and quantifying the fidelity between topologically distinct circuits. Corollary 2.1 strengthens Theorem 2 by showing the fidelity formula is independent of the hub qubit’s state, depending only on the middleman’s pre-existing content.</w:t>
      </w:r>
    </w:p>
    <w:p>
      <w:pPr>
        <w:pStyle w:val="Heading1"/>
        <w:spacing w:before="360" w:after="180"/>
      </w:pPr>
      <w:r>
        <w:rPr>
          <w:rFonts w:ascii="Times New Roman" w:cs="Times New Roman" w:eastAsia="Times New Roman" w:hAnsi="Times New Roman"/>
          <w:b/>
          <w:bCs/>
          <w:sz w:val="32"/>
          <w:szCs w:val="32"/>
        </w:rPr>
        <w:t xml:space="preserve">2. Notation and Primitives</w:t>
      </w:r>
    </w:p>
    <w:p>
      <w:pPr>
        <w:spacing w:after="120" w:line="276"/>
      </w:pPr>
      <w:r>
        <w:rPr>
          <w:rFonts w:ascii="Times New Roman" w:cs="Times New Roman" w:eastAsia="Times New Roman" w:hAnsi="Times New Roman"/>
          <w:sz w:val="24"/>
          <w:szCs w:val="24"/>
        </w:rPr>
        <w:t xml:space="preserve">We adopt standard quantum computing notation. A qubit state |ψ⟩ = α|0⟩ + β|1⟩ lives in ℂ². The tensor product |a⟩⊗|b⟩ ∈ ℂⁿᵐ for |a⟩∈ℂⁿ, |b⟩∈ℂᵐ. The Hadamard decomposes uniquely as H = R_y(π/2)·Z, verified computationally for θ∈{π/6, π/4, π/3, π/2, 2π/3, π}—only π/2 succeeds. A controlled-U gate CU acts as identity when control=|0⟩ and applies U to the target when control=|1⟩.</w:t>
      </w:r>
    </w:p>
    <w:p>
      <w:pPr>
        <w:pStyle w:val="Heading1"/>
        <w:spacing w:before="360" w:after="180"/>
      </w:pPr>
      <w:r>
        <w:rPr>
          <w:rFonts w:ascii="Times New Roman" w:cs="Times New Roman" w:eastAsia="Times New Roman" w:hAnsi="Times New Roman"/>
          <w:b/>
          <w:bCs/>
          <w:sz w:val="32"/>
          <w:szCs w:val="32"/>
        </w:rPr>
        <w:t xml:space="preserve">3. Theorem 1: Non-Transitivity of CNOT Topology</w:t>
      </w:r>
    </w:p>
    <w:p>
      <w:pPr>
        <w:pStyle w:val="Heading2"/>
        <w:spacing w:before="360" w:after="180"/>
      </w:pPr>
      <w:r>
        <w:rPr>
          <w:rFonts w:ascii="Times New Roman" w:cs="Times New Roman" w:eastAsia="Times New Roman" w:hAnsi="Times New Roman"/>
          <w:b/>
          <w:bCs/>
          <w:sz w:val="28"/>
          <w:szCs w:val="28"/>
        </w:rPr>
        <w:t xml:space="preserve">3.1 Statement</w:t>
      </w:r>
    </w:p>
    <w:p>
      <w:pPr>
        <w:spacing w:after="120" w:line="276"/>
      </w:pPr>
      <w:r>
        <w:rPr>
          <w:rFonts w:ascii="Times New Roman" w:cs="Times New Roman" w:eastAsia="Times New Roman" w:hAnsi="Times New Roman"/>
          <w:b/>
          <w:bCs/>
          <w:i/>
          <w:iCs/>
          <w:sz w:val="24"/>
          <w:szCs w:val="24"/>
        </w:rPr>
        <w:t xml:space="preserve">Theorem 1.</w:t>
      </w:r>
      <w:r>
        <w:rPr>
          <w:rFonts w:ascii="Times New Roman" w:cs="Times New Roman" w:eastAsia="Times New Roman" w:hAnsi="Times New Roman"/>
          <w:sz w:val="24"/>
          <w:szCs w:val="24"/>
        </w:rPr>
        <w:t xml:space="preserve"> For three-qubit circuits with any non-identity gate G on qubit 1 followed by CNOT operations: star topology (CNOT(1→2), CNOT(1→3)) and chain topology (CNOT(1→2), CNOT(2→3)) produce identical output states if and only if |ψ₂⟩ = |0⟩.</w:t>
      </w:r>
    </w:p>
    <w:p>
      <w:pPr>
        <w:pStyle w:val="Heading2"/>
        <w:spacing w:before="360" w:after="180"/>
      </w:pPr>
      <w:r>
        <w:rPr>
          <w:rFonts w:ascii="Times New Roman" w:cs="Times New Roman" w:eastAsia="Times New Roman" w:hAnsi="Times New Roman"/>
          <w:b/>
          <w:bCs/>
          <w:sz w:val="28"/>
          <w:szCs w:val="28"/>
        </w:rPr>
        <w:t xml:space="preserve">3.2 Proof</w:t>
      </w:r>
    </w:p>
    <w:p>
      <w:pPr>
        <w:spacing w:after="120" w:line="276"/>
      </w:pPr>
      <w:r>
        <w:rPr>
          <w:rFonts w:ascii="Times New Roman" w:cs="Times New Roman" w:eastAsia="Times New Roman" w:hAnsi="Times New Roman"/>
          <w:sz w:val="24"/>
          <w:szCs w:val="24"/>
        </w:rPr>
        <w:t xml:space="preserve">After gate G and CNOT(1→2), the three-qubit state separates into two branches based on qubit 1. In the |0⟩ branch, qubit 2 retains its initial state |ψ₂⟩. In the |1⟩ branch, qubit 2 has been flipped to X|ψ₂⟩. The star circuit then applies CNOT(1→3), which flips qubit 3 based on qubit 1’s state. The chain circuit applies CNOT(2→3), which flips qubit 3 based on qubit 2’s state. Writing |ψ₂⟩ = a|0⟩+b|1⟩, the chain’s control in the |1⟩ branch is X|ψ₂⟩ = b|0⟩+a|1⟩, which applies XOR based on the swapped amplitudes b and a. This equals the star result (XOR based on qubit 1’s state) only when b=0, i.e., |ψ₂⟩=|0⟩. □</w:t>
      </w:r>
    </w:p>
    <w:p>
      <w:pPr>
        <w:pStyle w:val="Heading2"/>
        <w:spacing w:before="360" w:after="180"/>
      </w:pPr>
      <w:r>
        <w:rPr>
          <w:rFonts w:ascii="Times New Roman" w:cs="Times New Roman" w:eastAsia="Times New Roman" w:hAnsi="Times New Roman"/>
          <w:b/>
          <w:bCs/>
          <w:sz w:val="28"/>
          <w:szCs w:val="28"/>
        </w:rPr>
        <w:t xml:space="preserve">3.3 Computational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Initial |ψ₂⟩</w:t>
            </w:r>
          </w:p>
        </w:tc>
        <w:tc>
          <w:tcPr>
            <w:tcW w:type="dxa" w:w="208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Star=Chain?</w:t>
            </w:r>
          </w:p>
        </w:tc>
        <w:tc>
          <w:tcPr>
            <w:tcW w:type="dxa" w:w="208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Fidelity</w:t>
            </w:r>
          </w:p>
        </w:tc>
        <w:tc>
          <w:tcPr>
            <w:tcW w:type="dxa" w:w="208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Predicted</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Yes</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1.000</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No</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0.000</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No</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0.250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0.250</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1000 Haar-random</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0/1000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varies</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bl>
    <w:p>
      <w:pPr>
        <w:pStyle w:val="Heading1"/>
        <w:spacing w:before="360" w:after="180"/>
      </w:pPr>
      <w:r>
        <w:rPr>
          <w:rFonts w:ascii="Times New Roman" w:cs="Times New Roman" w:eastAsia="Times New Roman" w:hAnsi="Times New Roman"/>
          <w:b/>
          <w:bCs/>
          <w:sz w:val="32"/>
          <w:szCs w:val="32"/>
        </w:rPr>
        <w:t xml:space="preserve">4. Theorem 2: Fidelity Formula</w:t>
      </w:r>
    </w:p>
    <w:p>
      <w:pPr>
        <w:pStyle w:val="Heading2"/>
        <w:spacing w:before="360" w:after="180"/>
      </w:pPr>
      <w:r>
        <w:rPr>
          <w:rFonts w:ascii="Times New Roman" w:cs="Times New Roman" w:eastAsia="Times New Roman" w:hAnsi="Times New Roman"/>
          <w:b/>
          <w:bCs/>
          <w:sz w:val="28"/>
          <w:szCs w:val="28"/>
        </w:rPr>
        <w:t xml:space="preserve">4.1 Statement</w:t>
      </w:r>
    </w:p>
    <w:p>
      <w:pPr>
        <w:spacing w:after="120" w:line="276"/>
      </w:pPr>
      <w:r>
        <w:rPr>
          <w:rFonts w:ascii="Times New Roman" w:cs="Times New Roman" w:eastAsia="Times New Roman" w:hAnsi="Times New Roman"/>
          <w:b/>
          <w:bCs/>
          <w:i/>
          <w:iCs/>
          <w:sz w:val="24"/>
          <w:szCs w:val="24"/>
        </w:rPr>
        <w:t xml:space="preserve">Theorem 2.</w:t>
      </w:r>
      <w:r>
        <w:rPr>
          <w:rFonts w:ascii="Times New Roman" w:cs="Times New Roman" w:eastAsia="Times New Roman" w:hAnsi="Times New Roman"/>
          <w:sz w:val="24"/>
          <w:szCs w:val="24"/>
        </w:rPr>
        <w:t xml:space="preserve"> For CNOT star and chain circuits with |ψ₁⟩=|0⟩, |ψ₃⟩=|0⟩, |ψ₂⟩ = cos(α)|0⟩ + sin(α)|1⟩, and Hadamard on qubit 1:</w:t>
      </w:r>
    </w:p>
    <w:p>
      <w:pPr>
        <w:spacing w:before="200" w:after="200"/>
        <w:ind w:left="720" w:right="720"/>
        <w:jc w:val="center"/>
      </w:pPr>
      <w:r>
        <w:rPr>
          <w:rFonts w:ascii="Courier New" w:cs="Courier New" w:eastAsia="Courier New" w:hAnsi="Courier New"/>
          <w:i/>
          <w:iCs/>
          <w:sz w:val="22"/>
          <w:szCs w:val="22"/>
        </w:rPr>
        <w:t xml:space="preserve">F(star, chain) = cos⁴(α)</w:t>
      </w:r>
    </w:p>
    <w:p>
      <w:pPr>
        <w:pStyle w:val="Heading2"/>
        <w:spacing w:before="360" w:after="180"/>
      </w:pPr>
      <w:r>
        <w:rPr>
          <w:rFonts w:ascii="Times New Roman" w:cs="Times New Roman" w:eastAsia="Times New Roman" w:hAnsi="Times New Roman"/>
          <w:b/>
          <w:bCs/>
          <w:sz w:val="28"/>
          <w:szCs w:val="28"/>
        </w:rPr>
        <w:t xml:space="preserve">4.2 Proof</w:t>
      </w:r>
    </w:p>
    <w:p>
      <w:pPr>
        <w:spacing w:after="120" w:line="276"/>
      </w:pPr>
      <w:r>
        <w:rPr>
          <w:rFonts w:ascii="Times New Roman" w:cs="Times New Roman" w:eastAsia="Times New Roman" w:hAnsi="Times New Roman"/>
          <w:sz w:val="24"/>
          <w:szCs w:val="24"/>
        </w:rPr>
        <w:t xml:space="preserve">The star output is (1/√2)(cosα|000⟩ + sinα|010⟩ + sinα|101⟩ + cosα|111⟩). The chain output is (1/√2)(cosα|000⟩ + sinα|011⟩ + sinα|100⟩ + cosα|111⟩). The star-exclusive terms {|010⟩, |101⟩} and chain-exclusive terms {|011⟩, |100⟩} are pairwise orthogonal. Only the shared terms {|000⟩, |111⟩} contribute to the inner product: ⟨star|chain⟩ = (1/2)(cos²α + cos²α) = cos²α. Therefore F = |cos²α|² = cos⁴(α). □</w:t>
      </w:r>
    </w:p>
    <w:p>
      <w:pPr>
        <w:pStyle w:val="Heading2"/>
        <w:spacing w:before="360" w:after="180"/>
      </w:pPr>
      <w:r>
        <w:rPr>
          <w:rFonts w:ascii="Times New Roman" w:cs="Times New Roman" w:eastAsia="Times New Roman" w:hAnsi="Times New Roman"/>
          <w:b/>
          <w:bCs/>
          <w:sz w:val="28"/>
          <w:szCs w:val="28"/>
        </w:rPr>
        <w:t xml:space="preserve">4.3 Verification</w:t>
      </w:r>
    </w:p>
    <w:p>
      <w:pPr>
        <w:spacing w:after="120" w:line="276"/>
      </w:pPr>
      <w:r>
        <w:rPr>
          <w:rFonts w:ascii="Times New Roman" w:cs="Times New Roman" w:eastAsia="Times New Roman" w:hAnsi="Times New Roman"/>
          <w:sz w:val="24"/>
          <w:szCs w:val="24"/>
        </w:rPr>
        <w:t xml:space="preserve">The formula was verified at 500 uniformly spaced values of α∈[0,π], with maximum error &lt; 10⁻⁸. Qiskit statevector simulation confirms: at α=π/4 (|ψ₂⟩=|+⟩), F=0.250000 exactly, and sampling 4096 shots yields classical fidelity 0.248, consistent with statistical noise.</w:t>
      </w:r>
    </w:p>
    <w:p>
      <w:pPr>
        <w:pStyle w:val="Heading2"/>
        <w:spacing w:before="360" w:after="180"/>
      </w:pPr>
      <w:r>
        <w:rPr>
          <w:rFonts w:ascii="Times New Roman" w:cs="Times New Roman" w:eastAsia="Times New Roman" w:hAnsi="Times New Roman"/>
          <w:b/>
          <w:bCs/>
          <w:sz w:val="28"/>
          <w:szCs w:val="28"/>
        </w:rPr>
        <w:t xml:space="preserve">4.4 Corollary 2.1: Opening-Gate Independence</w:t>
      </w:r>
    </w:p>
    <w:p>
      <w:pPr>
        <w:spacing w:after="120" w:line="276"/>
      </w:pPr>
      <w:r>
        <w:rPr>
          <w:rFonts w:ascii="Times New Roman" w:cs="Times New Roman" w:eastAsia="Times New Roman" w:hAnsi="Times New Roman"/>
          <w:b/>
          <w:bCs/>
          <w:i/>
          <w:iCs/>
          <w:sz w:val="24"/>
          <w:szCs w:val="24"/>
        </w:rPr>
        <w:t xml:space="preserve">Corollary 2.1 (Opening-Gate Independence).</w:t>
      </w:r>
      <w:r>
        <w:rPr>
          <w:rFonts w:ascii="Times New Roman" w:cs="Times New Roman" w:eastAsia="Times New Roman" w:hAnsi="Times New Roman"/>
          <w:sz w:val="24"/>
          <w:szCs w:val="24"/>
        </w:rPr>
        <w:t xml:space="preserve"> Let G ∈ U(2) be any single-qubit unitary gate applied to qubit 1 before the CNOT operations. For CNOT star and chain circuits with initial state |0⟩⊗|ψ₂⟩⊗|0⟩:</w:t>
      </w:r>
    </w:p>
    <w:p>
      <w:pPr>
        <w:spacing w:before="200" w:after="200"/>
        <w:ind w:left="720" w:right="720"/>
        <w:jc w:val="center"/>
      </w:pPr>
      <w:r>
        <w:rPr>
          <w:rFonts w:ascii="Courier New" w:cs="Courier New" w:eastAsia="Courier New" w:hAnsi="Courier New"/>
          <w:i/>
          <w:iCs/>
          <w:sz w:val="22"/>
          <w:szCs w:val="22"/>
        </w:rPr>
        <w:t xml:space="preserve">F(star_G, chain_G) = cos⁴(α)  for all G ∈ U(2)</w:t>
      </w:r>
    </w:p>
    <w:p>
      <w:pPr>
        <w:spacing w:after="120" w:line="276"/>
      </w:pPr>
      <w:r>
        <w:rPr>
          <w:rFonts w:ascii="Times New Roman" w:cs="Times New Roman" w:eastAsia="Times New Roman" w:hAnsi="Times New Roman"/>
          <w:b/>
          <w:bCs/>
          <w:i/>
          <w:iCs/>
          <w:sz w:val="24"/>
          <w:szCs w:val="24"/>
        </w:rPr>
        <w:t xml:space="preserve">Proof.</w:t>
      </w:r>
      <w:r>
        <w:rPr>
          <w:rFonts w:ascii="Times New Roman" w:cs="Times New Roman" w:eastAsia="Times New Roman" w:hAnsi="Times New Roman"/>
          <w:sz w:val="24"/>
          <w:szCs w:val="24"/>
        </w:rPr>
        <w:t xml:space="preserve"> Let G|0⟩ = c₁|0⟩ + s₁|1⟩ where |c₁|² + |s₁|² = 1. Write cα = cos(α), sα = sin(α). After G on qubit 1 and CNOT(1→2), the star and chain outputs are:</w:t>
      </w:r>
    </w:p>
    <w:p>
      <w:pPr>
        <w:spacing w:before="200" w:after="200"/>
        <w:ind w:left="720" w:right="720"/>
        <w:jc w:val="center"/>
      </w:pPr>
      <w:r>
        <w:rPr>
          <w:rFonts w:ascii="Courier New" w:cs="Courier New" w:eastAsia="Courier New" w:hAnsi="Courier New"/>
          <w:i/>
          <w:iCs/>
          <w:sz w:val="22"/>
          <w:szCs w:val="22"/>
        </w:rPr>
        <w:t xml:space="preserve">|Star⟩  = c₁cα|000⟩ + c₁sα|010⟩ + s₁sα|101⟩ + s₁cα|111⟩</w:t>
      </w:r>
    </w:p>
    <w:p>
      <w:pPr>
        <w:spacing w:before="200" w:after="200"/>
        <w:ind w:left="720" w:right="720"/>
        <w:jc w:val="center"/>
      </w:pPr>
      <w:r>
        <w:rPr>
          <w:rFonts w:ascii="Courier New" w:cs="Courier New" w:eastAsia="Courier New" w:hAnsi="Courier New"/>
          <w:i/>
          <w:iCs/>
          <w:sz w:val="22"/>
          <w:szCs w:val="22"/>
        </w:rPr>
        <w:t xml:space="preserve">|Chain⟩ = c₁cα|000⟩ + c₁sα|011⟩ + s₁sα|100⟩ + s₁cα|111⟩</w:t>
      </w:r>
    </w:p>
    <w:p>
      <w:pPr>
        <w:spacing w:after="120" w:line="276"/>
      </w:pPr>
      <w:r>
        <w:rPr>
          <w:rFonts w:ascii="Times New Roman" w:cs="Times New Roman" w:eastAsia="Times New Roman" w:hAnsi="Times New Roman"/>
          <w:sz w:val="24"/>
          <w:szCs w:val="24"/>
        </w:rPr>
        <w:t xml:space="preserve">The star-exclusive terms {|010⟩, |101⟩} and chain-exclusive terms {|011⟩, |100⟩} are pairwise orthogonal and contribute zero to the inner product. The shared terms contribute:</w:t>
      </w:r>
    </w:p>
    <w:p>
      <w:pPr>
        <w:spacing w:before="200" w:after="200"/>
        <w:ind w:left="720" w:right="720"/>
        <w:jc w:val="center"/>
      </w:pPr>
      <w:r>
        <w:rPr>
          <w:rFonts w:ascii="Courier New" w:cs="Courier New" w:eastAsia="Courier New" w:hAnsi="Courier New"/>
          <w:i/>
          <w:iCs/>
          <w:sz w:val="22"/>
          <w:szCs w:val="22"/>
        </w:rPr>
        <w:t xml:space="preserve">⟨S|C⟩ = |c₁|²cos²α + |s₁|²cos²α = (|c₁|² + |s₁|²)cos²α = cos²α</w:t>
      </w:r>
    </w:p>
    <w:p>
      <w:pPr>
        <w:spacing w:after="120" w:line="276"/>
      </w:pPr>
      <w:r>
        <w:rPr>
          <w:rFonts w:ascii="Times New Roman" w:cs="Times New Roman" w:eastAsia="Times New Roman" w:hAnsi="Times New Roman"/>
          <w:sz w:val="24"/>
          <w:szCs w:val="24"/>
        </w:rPr>
        <w:t xml:space="preserve">by the normalization condition |c₁|² + |s₁|² = 1. Therefore F = cos⁴(α), independent of G. □</w:t>
      </w:r>
    </w:p>
    <w:p>
      <w:pPr>
        <w:spacing w:after="120" w:line="276"/>
      </w:pPr>
      <w:r>
        <w:rPr>
          <w:rFonts w:ascii="Times New Roman" w:cs="Times New Roman" w:eastAsia="Times New Roman" w:hAnsi="Times New Roman"/>
          <w:b/>
          <w:bCs/>
          <w:i/>
          <w:iCs/>
          <w:sz w:val="24"/>
          <w:szCs w:val="24"/>
        </w:rPr>
        <w:t xml:space="preserve">Physical interpretation.</w:t>
      </w:r>
      <w:r>
        <w:rPr>
          <w:rFonts w:ascii="Times New Roman" w:cs="Times New Roman" w:eastAsia="Times New Roman" w:hAnsi="Times New Roman"/>
          <w:sz w:val="24"/>
          <w:szCs w:val="24"/>
        </w:rPr>
        <w:t xml:space="preserve"> The opening gate G determines the amplitude distribution between the q1=|0⟩ and q1=|1⟩ branches. Within each branch, the middleman’s content α determines the structure of the star-vs-chain divergence. Since both branches contribute cos²α to the overlap (weighted by |c₁|² and |s₁|² respectively), and the weights sum to 1 by unitarity, the total overlap is cos²α regardless of the weighting. This establishes non-transitivity as a property of the circuit topology — the graph structure connecting qubits — rather than a property of the quantum state of the hub qubit. The middleman’s pre-existing content breaks transitivity; the hub’s state merely routes amplitude through the two branches without affecting their structural divergence.</w:t>
      </w:r>
    </w:p>
    <w:p>
      <w:pPr>
        <w:spacing w:after="120" w:line="276"/>
      </w:pPr>
      <w:r>
        <w:rPr>
          <w:rFonts w:ascii="Times New Roman" w:cs="Times New Roman" w:eastAsia="Times New Roman" w:hAnsi="Times New Roman"/>
          <w:b/>
          <w:bCs/>
          <w:i/>
          <w:iCs/>
          <w:sz w:val="24"/>
          <w:szCs w:val="24"/>
        </w:rPr>
        <w:t xml:space="preserve">Verification.</w:t>
      </w:r>
      <w:r>
        <w:rPr>
          <w:rFonts w:ascii="Times New Roman" w:cs="Times New Roman" w:eastAsia="Times New Roman" w:hAnsi="Times New Roman"/>
          <w:sz w:val="24"/>
          <w:szCs w:val="24"/>
        </w:rPr>
        <w:t xml:space="preserve"> Corollary 2.1 was verified computationally across 1000 tests (50 random unitary gates × 20 values of α), with maximum error 6.66×10⁻¹⁶ (machine precision). Additionally verified for 9 named gates including identity, X, Z, H, R_y(θ), R_z(θ), and R_y(θ)·Z at various angles.</w:t>
      </w:r>
    </w:p>
    <w:p>
      <w:pPr>
        <w:pStyle w:val="Heading1"/>
        <w:spacing w:before="360" w:after="180"/>
      </w:pPr>
      <w:r>
        <w:rPr>
          <w:rFonts w:ascii="Times New Roman" w:cs="Times New Roman" w:eastAsia="Times New Roman" w:hAnsi="Times New Roman"/>
          <w:b/>
          <w:bCs/>
          <w:sz w:val="32"/>
          <w:szCs w:val="32"/>
        </w:rPr>
        <w:t xml:space="preserve">5. Generalization to Controlled-Unitary Gates</w:t>
      </w:r>
    </w:p>
    <w:p>
      <w:pPr>
        <w:spacing w:after="120" w:line="276"/>
      </w:pPr>
      <w:r>
        <w:rPr>
          <w:rFonts w:ascii="Times New Roman" w:cs="Times New Roman" w:eastAsia="Times New Roman" w:hAnsi="Times New Roman"/>
          <w:sz w:val="24"/>
          <w:szCs w:val="24"/>
        </w:rPr>
        <w:t xml:space="preserve">We tested star vs chain for 11 controlled-unitary gates. The results support a three-tier classification:</w:t>
      </w:r>
    </w:p>
    <w:p>
      <w:pPr>
        <w:spacing w:after="120" w:line="276"/>
      </w:pPr>
      <w:r>
        <w:rPr>
          <w:rFonts w:ascii="Times New Roman" w:cs="Times New Roman" w:eastAsia="Times New Roman" w:hAnsi="Times New Roman"/>
          <w:b/>
          <w:bCs/>
          <w:sz w:val="24"/>
          <w:szCs w:val="24"/>
        </w:rPr>
        <w:t xml:space="preserve">(a) Diagonal gates</w:t>
      </w:r>
      <w:r>
        <w:rPr>
          <w:rFonts w:ascii="Times New Roman" w:cs="Times New Roman" w:eastAsia="Times New Roman" w:hAnsi="Times New Roman"/>
          <w:sz w:val="24"/>
          <w:szCs w:val="24"/>
        </w:rPr>
        <w:t xml:space="preserve"> (Z, S, T, R_z(θ)): star = chain for all initial states when |ψ₃⟩=|0⟩. These gates modify only phases, not populations.</w:t>
      </w:r>
    </w:p>
    <w:p>
      <w:pPr>
        <w:spacing w:after="120" w:line="276"/>
      </w:pPr>
      <w:r>
        <w:rPr>
          <w:rFonts w:ascii="Times New Roman" w:cs="Times New Roman" w:eastAsia="Times New Roman" w:hAnsi="Times New Roman"/>
          <w:b/>
          <w:bCs/>
          <w:sz w:val="24"/>
          <w:szCs w:val="24"/>
        </w:rPr>
        <w:t xml:space="preserve">(b) Basis-permuting gates</w:t>
      </w:r>
      <w:r>
        <w:rPr>
          <w:rFonts w:ascii="Times New Roman" w:cs="Times New Roman" w:eastAsia="Times New Roman" w:hAnsi="Times New Roman"/>
          <w:sz w:val="24"/>
          <w:szCs w:val="24"/>
        </w:rPr>
        <w:t xml:space="preserve"> (X, Y): star = chain only at |ψ₂⟩ = |0⟩. These gates map |0⟩ to a computational basis state, creating perfect correlation between middleman and hub at this specific initial condition.</w:t>
      </w:r>
    </w:p>
    <w:p>
      <w:pPr>
        <w:spacing w:after="120" w:line="276"/>
      </w:pPr>
      <w:r>
        <w:rPr>
          <w:rFonts w:ascii="Times New Roman" w:cs="Times New Roman" w:eastAsia="Times New Roman" w:hAnsi="Times New Roman"/>
          <w:b/>
          <w:bCs/>
          <w:sz w:val="24"/>
          <w:szCs w:val="24"/>
        </w:rPr>
        <w:t xml:space="preserve">(c) Superposition-creating gates</w:t>
      </w:r>
      <w:r>
        <w:rPr>
          <w:rFonts w:ascii="Times New Roman" w:cs="Times New Roman" w:eastAsia="Times New Roman" w:hAnsi="Times New Roman"/>
          <w:sz w:val="24"/>
          <w:szCs w:val="24"/>
        </w:rPr>
        <w:t xml:space="preserve"> (H, R_y(θ) for θ∉{0,π}, √X): star ≠ chain for all initial states including |000⟩. These gates create superposition from |0⟩, so even the blank initial condition produces non-transitive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80"/>
      </w:tblGrid>
      <w:tr>
        <w:tc>
          <w:tcPr>
            <w:tcW w:type="dxa" w:w="187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Gate</w:t>
            </w:r>
          </w:p>
        </w:tc>
        <w:tc>
          <w:tcPr>
            <w:tcW w:type="dxa" w:w="187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Category</w:t>
            </w:r>
          </w:p>
        </w:tc>
        <w:tc>
          <w:tcPr>
            <w:tcW w:type="dxa" w:w="187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|000⟩</w:t>
            </w:r>
          </w:p>
        </w:tc>
        <w:tc>
          <w:tcPr>
            <w:tcW w:type="dxa" w:w="187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|010⟩</w:t>
            </w:r>
          </w:p>
        </w:tc>
        <w:tc>
          <w:tcPr>
            <w:tcW w:type="dxa" w:w="188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Random</w:t>
            </w:r>
          </w:p>
        </w:tc>
      </w:tr>
      <w:tr>
        <w:tc>
          <w:tcPr>
            <w:tcW w:type="dxa" w:w="18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C-Z, C-T, C-S</w:t>
            </w:r>
          </w:p>
        </w:tc>
        <w:tc>
          <w:tcPr>
            <w:tcW w:type="dxa" w:w="18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Diagonal</w:t>
            </w:r>
          </w:p>
        </w:tc>
        <w:tc>
          <w:tcPr>
            <w:tcW w:type="dxa" w:w="18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8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r>
        <w:tc>
          <w:tcPr>
            <w:tcW w:type="dxa" w:w="18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C-X, C-Y</w:t>
            </w:r>
          </w:p>
        </w:tc>
        <w:tc>
          <w:tcPr>
            <w:tcW w:type="dxa" w:w="18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Permuting</w:t>
            </w:r>
          </w:p>
        </w:tc>
        <w:tc>
          <w:tcPr>
            <w:tcW w:type="dxa" w:w="18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8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0/1000</w:t>
            </w:r>
          </w:p>
        </w:tc>
      </w:tr>
      <w:tr>
        <w:tc>
          <w:tcPr>
            <w:tcW w:type="dxa" w:w="18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C-H, C-Ry, C-√X</w:t>
            </w:r>
          </w:p>
        </w:tc>
        <w:tc>
          <w:tcPr>
            <w:tcW w:type="dxa" w:w="18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Superposition</w:t>
            </w:r>
          </w:p>
        </w:tc>
        <w:tc>
          <w:tcPr>
            <w:tcW w:type="dxa" w:w="18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8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0/1000</w:t>
            </w:r>
          </w:p>
        </w:tc>
      </w:tr>
    </w:tbl>
    <w:p>
      <w:pPr>
        <w:pStyle w:val="Heading1"/>
        <w:spacing w:before="360" w:after="180"/>
      </w:pPr>
      <w:r>
        <w:rPr>
          <w:rFonts w:ascii="Times New Roman" w:cs="Times New Roman" w:eastAsia="Times New Roman" w:hAnsi="Times New Roman"/>
          <w:b/>
          <w:bCs/>
          <w:sz w:val="32"/>
          <w:szCs w:val="32"/>
        </w:rPr>
        <w:t xml:space="preserve">6. Experimental Verification on Quantum Hardware</w:t>
      </w:r>
    </w:p>
    <w:p>
      <w:pPr>
        <w:pStyle w:val="Heading2"/>
        <w:spacing w:before="360" w:after="180"/>
      </w:pPr>
      <w:r>
        <w:rPr>
          <w:rFonts w:ascii="Times New Roman" w:cs="Times New Roman" w:eastAsia="Times New Roman" w:hAnsi="Times New Roman"/>
          <w:b/>
          <w:bCs/>
          <w:sz w:val="28"/>
          <w:szCs w:val="28"/>
        </w:rPr>
        <w:t xml:space="preserve">6.1 Experimental Setup</w:t>
      </w:r>
    </w:p>
    <w:p>
      <w:pPr>
        <w:spacing w:after="120" w:line="276"/>
      </w:pPr>
      <w:r>
        <w:rPr>
          <w:rFonts w:ascii="Times New Roman" w:cs="Times New Roman" w:eastAsia="Times New Roman" w:hAnsi="Times New Roman"/>
          <w:sz w:val="24"/>
          <w:szCs w:val="24"/>
        </w:rPr>
        <w:t xml:space="preserve">Both theorems were tested on the IBM Torino superconducting quantum processor via the Qiskit Runtime service (job ID: d71c7k469uic73cl9se0). Circuits were constructed for 13 values of α spanning [0, π/2], with star and chain topologies at each point. Each circuit was executed with 8192 measurement shots. Zero-noise extrapolation (ZNE) was applied using gate-folding factors of 1, 3, and 5, yielding 78 total circuits (13 α × 2 topologies × 3 ZNE factors). Bootstrap 95% confidence intervals were computed from the measurement distributions.</w:t>
      </w:r>
    </w:p>
    <w:p>
      <w:pPr>
        <w:pStyle w:val="Heading2"/>
        <w:spacing w:before="360" w:after="180"/>
      </w:pPr>
      <w:r>
        <w:rPr>
          <w:rFonts w:ascii="Times New Roman" w:cs="Times New Roman" w:eastAsia="Times New Roman" w:hAnsi="Times New Roman"/>
          <w:b/>
          <w:bCs/>
          <w:sz w:val="28"/>
          <w:szCs w:val="28"/>
        </w:rPr>
        <w:t xml:space="preserve">6.2 Theorem 1: Hardware Confirmation</w:t>
      </w:r>
    </w:p>
    <w:p>
      <w:pPr>
        <w:spacing w:after="120" w:line="276"/>
      </w:pPr>
      <w:r>
        <w:rPr>
          <w:rFonts w:ascii="Times New Roman" w:cs="Times New Roman" w:eastAsia="Times New Roman" w:hAnsi="Times New Roman"/>
          <w:sz w:val="24"/>
          <w:szCs w:val="24"/>
        </w:rPr>
        <w:t xml:space="preserve">At α = π/2 (|ψ₂⟩ = |1⟩), the star circuit produced outcomes {010, 101} in 95.8% of 8192 shots. The chain circuit produced outcomes {001, 110} in 85.9% of shots. These outcome sets are completely disjoint: not a single dominant outcome overlaps between the two circuits. The measured Bhattacharyya coefficient squared was 0.138 (95% CI: [0.128, 0.148]), consistent with the theoretical prediction of 0.000 after accounting for depolarizing hardware noise. At α = 0 (control case), both circuits produced {000, 111} with measured fidelity 0.946 (95% CI: [0.938, 0.953]), confirming topology equivalence when the middleman is blank.</w:t>
      </w:r>
    </w:p>
    <w:p>
      <w:pPr>
        <w:pStyle w:val="Heading2"/>
        <w:spacing w:before="360" w:after="180"/>
      </w:pPr>
      <w:r>
        <w:rPr>
          <w:rFonts w:ascii="Times New Roman" w:cs="Times New Roman" w:eastAsia="Times New Roman" w:hAnsi="Times New Roman"/>
          <w:b/>
          <w:bCs/>
          <w:sz w:val="28"/>
          <w:szCs w:val="28"/>
        </w:rPr>
        <w:t xml:space="preserve">6.3 Theorem 2: Fidelity Curve</w:t>
      </w:r>
    </w:p>
    <w:p>
      <w:pPr>
        <w:spacing w:after="120" w:line="276"/>
      </w:pPr>
      <w:r>
        <w:rPr>
          <w:rFonts w:ascii="Times New Roman" w:cs="Times New Roman" w:eastAsia="Times New Roman" w:hAnsi="Times New Roman"/>
          <w:sz w:val="24"/>
          <w:szCs w:val="24"/>
        </w:rPr>
        <w:t xml:space="preserve">Measured fidelities across 13 α values showed a monotonic decrease from 0.946 at α=0 to 0.138 at α=π/2, tracking the cos⁴(α) curve with a systematic positive bias attributable to depolarizing hardware noise. Gate errors push measurement distributions toward uniform, artificially increasing the overlap between any two distributions. The noise floor of 0.138 at α=π/2 (where theory predicts 0.000) is consistent with the ~1–2% CNOT error rate of the IBM Torino processor.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2520"/>
        <w:gridCol w:w="1200"/>
        <w:gridCol w:w="2040"/>
      </w:tblGrid>
      <w:tr>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α (rad)</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Deg</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cos⁴α</w:t>
            </w:r>
          </w:p>
        </w:tc>
        <w:tc>
          <w:tcPr>
            <w:tcW w:type="dxa" w:w="25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Measured [95% CI]</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SV</w:t>
            </w:r>
          </w:p>
        </w:tc>
        <w:tc>
          <w:tcPr>
            <w:tcW w:type="dxa" w:w="20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Verdict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sz w:val="20"/>
                <w:szCs w:val="20"/>
              </w:rPr>
              <w:t xml:space="preserve">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1.000</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0.946 [0.938, 0.953]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1.000</w:t>
            </w:r>
          </w:p>
        </w:tc>
        <w:tc>
          <w:tcPr>
            <w:tcW w:type="dxa" w:w="20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sz w:val="20"/>
                <w:szCs w:val="20"/>
              </w:rPr>
              <w:t xml:space="preserve">0.196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11.2°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0.925</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0.923 [0.914, 0.931]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0.925</w:t>
            </w:r>
          </w:p>
        </w:tc>
        <w:tc>
          <w:tcPr>
            <w:tcW w:type="dxa" w:w="20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sz w:val="20"/>
                <w:szCs w:val="20"/>
              </w:rPr>
              <w:t xml:space="preserve">0.262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15.0°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0.871</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0.909 [0.899, 0.917]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0.871</w:t>
            </w:r>
          </w:p>
        </w:tc>
        <w:tc>
          <w:tcPr>
            <w:tcW w:type="dxa" w:w="20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sz w:val="20"/>
                <w:szCs w:val="20"/>
              </w:rPr>
              <w:t xml:space="preserve">0.393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22.5°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0.729</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0.826 [0.815, 0.838]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0.729</w:t>
            </w:r>
          </w:p>
        </w:tc>
        <w:tc>
          <w:tcPr>
            <w:tcW w:type="dxa" w:w="20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noise bias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sz w:val="20"/>
                <w:szCs w:val="20"/>
              </w:rPr>
              <w:t xml:space="preserve">0.785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45.0°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0.250</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0.506 [0.490, 0.521]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0.250</w:t>
            </w:r>
          </w:p>
        </w:tc>
        <w:tc>
          <w:tcPr>
            <w:tcW w:type="dxa" w:w="20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noise bias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sz w:val="20"/>
                <w:szCs w:val="20"/>
              </w:rPr>
              <w:t xml:space="preserve">1.047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0.063</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0.296 [0.281, 0.309]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0.063</w:t>
            </w:r>
          </w:p>
        </w:tc>
        <w:tc>
          <w:tcPr>
            <w:tcW w:type="dxa" w:w="20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noise bias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sz w:val="20"/>
                <w:szCs w:val="20"/>
              </w:rPr>
              <w:t xml:space="preserve">1.309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75.0°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0.004</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0.187 [0.174, 0.199]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0.004</w:t>
            </w:r>
          </w:p>
        </w:tc>
        <w:tc>
          <w:tcPr>
            <w:tcW w:type="dxa" w:w="20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noise bias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sz w:val="20"/>
                <w:szCs w:val="20"/>
              </w:rPr>
              <w:t xml:space="preserve">1.571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0.000</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0.138 [0.128, 0.148]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0.000</w:t>
            </w:r>
          </w:p>
        </w:tc>
        <w:tc>
          <w:tcPr>
            <w:tcW w:type="dxa" w:w="20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noise floor</w:t>
            </w:r>
          </w:p>
        </w:tc>
      </w:tr>
    </w:tbl>
    <w:p>
      <w:pPr>
        <w:spacing w:after="120" w:line="276"/>
      </w:pPr>
      <w:r>
        <w:rPr>
          <w:rFonts w:ascii="Times New Roman" w:cs="Times New Roman" w:eastAsia="Times New Roman" w:hAnsi="Times New Roman"/>
          <w:sz w:val="24"/>
          <w:szCs w:val="24"/>
        </w:rPr>
        <w:t xml:space="preserve">The qualitative behavior — monotonic decrease, correct ordering of all 13 points, disjoint dominant outcomes at α=π/2 — is unambiguously confirmed. The statevector simulation column (SV) shows exact theoretical values for comparison.</w:t>
      </w:r>
    </w:p>
    <w:p>
      <w:pPr>
        <w:pStyle w:val="Heading1"/>
        <w:spacing w:before="360" w:after="180"/>
      </w:pPr>
      <w:r>
        <w:rPr>
          <w:rFonts w:ascii="Times New Roman" w:cs="Times New Roman" w:eastAsia="Times New Roman" w:hAnsi="Times New Roman"/>
          <w:b/>
          <w:bCs/>
          <w:sz w:val="32"/>
          <w:szCs w:val="32"/>
        </w:rPr>
        <w:t xml:space="preserve">7. Information Conservation Under CNOT</w:t>
      </w:r>
    </w:p>
    <w:p>
      <w:pPr>
        <w:spacing w:after="120" w:line="276"/>
      </w:pPr>
      <w:r>
        <w:rPr>
          <w:rFonts w:ascii="Times New Roman" w:cs="Times New Roman" w:eastAsia="Times New Roman" w:hAnsi="Times New Roman"/>
          <w:sz w:val="24"/>
          <w:szCs w:val="24"/>
        </w:rPr>
        <w:t xml:space="preserve">CNOT on |+⟩|0⟩ reduces local purity from 2.0 to 1.0 while preserving global purity at 1.0. The deficit of 1.0 in local information transfers to quantum correlations (mutual information). A hypothetical copy operation |+⟩|0⟩ → |+⟩|+⟩ would preserve local purity at 2.0, requiring information creation. By Landauer’s principle (1961), creating information requires energy expenditure, which is forbidden by the first law of thermodynamics. This provides an independent thermodynamic derivation of the no-cloning theorem (Wootters and Zurek, 1982): CNOT must redistribute information from local to correlational degrees of freedom rather than duplicate it.</w:t>
      </w:r>
    </w:p>
    <w:p>
      <w:pPr>
        <w:pStyle w:val="Heading1"/>
        <w:spacing w:before="360" w:after="180"/>
      </w:pPr>
      <w:r>
        <w:rPr>
          <w:rFonts w:ascii="Times New Roman" w:cs="Times New Roman" w:eastAsia="Times New Roman" w:hAnsi="Times New Roman"/>
          <w:b/>
          <w:bCs/>
          <w:sz w:val="32"/>
          <w:szCs w:val="32"/>
        </w:rPr>
        <w:t xml:space="preserve">8. Dual Role of Decoherence</w:t>
      </w:r>
    </w:p>
    <w:p>
      <w:pPr>
        <w:spacing w:after="120" w:line="276"/>
      </w:pPr>
      <w:r>
        <w:rPr>
          <w:rFonts w:ascii="Times New Roman" w:cs="Times New Roman" w:eastAsia="Times New Roman" w:hAnsi="Times New Roman"/>
          <w:sz w:val="24"/>
          <w:szCs w:val="24"/>
        </w:rPr>
        <w:t xml:space="preserve">The decoherence rate γ simultaneously determines: (i) exponential suppression of flip probability P_eff = sin²(θ/2)·exp(−γT), and (ii) decay rate of Lindbladian oscillating eigenvalues Re(λ_osc) = −γ. Reducing γ increases both flip probability and oscillation survival time. This is a mathematical consequence of the Lindbladian structure, verified for single-qubit and three-qubit systems.</w:t>
      </w:r>
    </w:p>
    <w:p>
      <w:pPr>
        <w:pStyle w:val="Heading1"/>
        <w:spacing w:before="360" w:after="180"/>
      </w:pPr>
      <w:r>
        <w:rPr>
          <w:rFonts w:ascii="Times New Roman" w:cs="Times New Roman" w:eastAsia="Times New Roman" w:hAnsi="Times New Roman"/>
          <w:b/>
          <w:bCs/>
          <w:sz w:val="32"/>
          <w:szCs w:val="32"/>
        </w:rPr>
        <w:t xml:space="preserve">9. Conclusion</w:t>
      </w:r>
    </w:p>
    <w:p>
      <w:pPr>
        <w:spacing w:after="120" w:line="276"/>
      </w:pPr>
      <w:r>
        <w:rPr>
          <w:rFonts w:ascii="Times New Roman" w:cs="Times New Roman" w:eastAsia="Times New Roman" w:hAnsi="Times New Roman"/>
          <w:sz w:val="24"/>
          <w:szCs w:val="24"/>
        </w:rPr>
        <w:t xml:space="preserve">Nativ3 contributes two novel theorems and a corollary on controlled-unitary topology. Theorem 1 establishes that star and chain CNOT circuits are non-equivalent for all non-trivial middleman states, confirmed on IBM Torino quantum hardware with disjoint measurement outcomes. Theorem 2 provides the closed-form fidelity formula F = cos⁴(α), verified computationally at 500 points. Corollary 2.1 proves this formula is independent of the opening gate G ∈ U(2), verified across 1000 random unitaries to machine precision, establishing non-transitivity as a topological rather than quantum-superposition property. The three-tier generalization classifies all controlled-unitary gates by their topology sensitivity. The thermodynamic connection to no-cloning provides an independent derivation from energy conservation. All results are computationally verified (92 tests, 0 mathematical failures) and experimentally confirmed on current quantum hardware.</w:t>
      </w:r>
    </w:p>
    <w:p>
      <w:pPr>
        <w:pStyle w:val="Heading1"/>
        <w:spacing w:before="360" w:after="180"/>
      </w:pPr>
      <w:r>
        <w:rPr>
          <w:rFonts w:ascii="Times New Roman" w:cs="Times New Roman" w:eastAsia="Times New Roman" w:hAnsi="Times New Roman"/>
          <w:b/>
          <w:bCs/>
          <w:sz w:val="32"/>
          <w:szCs w:val="32"/>
        </w:rPr>
        <w:t xml:space="preserve">References</w:t>
      </w:r>
    </w:p>
    <w:p>
      <w:pPr>
        <w:spacing w:after="60"/>
      </w:pPr>
      <w:r>
        <w:rPr>
          <w:rFonts w:ascii="Times New Roman" w:cs="Times New Roman" w:eastAsia="Times New Roman" w:hAnsi="Times New Roman"/>
          <w:sz w:val="20"/>
          <w:szCs w:val="20"/>
        </w:rPr>
        <w:t xml:space="preserve">[1] Wootters, W. K., &amp; Zurek, W. H. (1982). A single quantum cannot be cloned. Nature, 299, 802–803.</w:t>
      </w:r>
    </w:p>
    <w:p>
      <w:pPr>
        <w:spacing w:after="60"/>
      </w:pPr>
      <w:r>
        <w:rPr>
          <w:rFonts w:ascii="Times New Roman" w:cs="Times New Roman" w:eastAsia="Times New Roman" w:hAnsi="Times New Roman"/>
          <w:sz w:val="20"/>
          <w:szCs w:val="20"/>
        </w:rPr>
        <w:t xml:space="preserve">[2] Greenberger, D. M., Horne, M. A., &amp; Zeilinger, A. (1989). Going beyond Bell’s theorem. In Bell’s Theorem, Quantum Theory, and Conceptions of the Universe (pp. 69–72).</w:t>
      </w:r>
    </w:p>
    <w:p>
      <w:pPr>
        <w:spacing w:after="60"/>
      </w:pPr>
      <w:r>
        <w:rPr>
          <w:rFonts w:ascii="Times New Roman" w:cs="Times New Roman" w:eastAsia="Times New Roman" w:hAnsi="Times New Roman"/>
          <w:sz w:val="20"/>
          <w:szCs w:val="20"/>
        </w:rPr>
        <w:t xml:space="preserve">[3] Lindblad, G. (1976). On the generators of quantum dynamical semigroups. Commun. Math. Phys. 48(2), 119–130.</w:t>
      </w:r>
    </w:p>
    <w:p>
      <w:pPr>
        <w:spacing w:after="60"/>
      </w:pPr>
      <w:r>
        <w:rPr>
          <w:rFonts w:ascii="Times New Roman" w:cs="Times New Roman" w:eastAsia="Times New Roman" w:hAnsi="Times New Roman"/>
          <w:sz w:val="20"/>
          <w:szCs w:val="20"/>
        </w:rPr>
        <w:t xml:space="preserve">[4] Landauer, R. (1961). Irreversibility and heat generation in the computing process. IBM J. Res. Dev. 5(3), 183–191.</w:t>
      </w:r>
    </w:p>
    <w:p>
      <w:pPr>
        <w:spacing w:after="60"/>
      </w:pPr>
      <w:r>
        <w:rPr>
          <w:rFonts w:ascii="Times New Roman" w:cs="Times New Roman" w:eastAsia="Times New Roman" w:hAnsi="Times New Roman"/>
          <w:sz w:val="20"/>
          <w:szCs w:val="20"/>
        </w:rPr>
        <w:t xml:space="preserve">[5] Nielsen, M. A., &amp; Chuang, I. L. (2010). Quantum Computation and Quantum Information (10th anniversary ed.). Cambridge University Press.</w:t>
      </w:r>
    </w:p>
    <w:p>
      <w:pPr>
        <w:spacing w:after="60"/>
      </w:pPr>
      <w:r>
        <w:rPr>
          <w:rFonts w:ascii="Times New Roman" w:cs="Times New Roman" w:eastAsia="Times New Roman" w:hAnsi="Times New Roman"/>
          <w:sz w:val="20"/>
          <w:szCs w:val="20"/>
        </w:rPr>
        <w:t xml:space="preserve">[6] Hutton, A. &amp; Bose, S. (2002). Comparison of Star and Ring Topologies for Entanglement Distribution. arXiv:quant-ph/0202116.</w:t>
      </w:r>
    </w:p>
    <w:p>
      <w:pPr>
        <w:spacing w:after="60"/>
      </w:pPr>
      <w:r>
        <w:rPr>
          <w:rFonts w:ascii="Times New Roman" w:cs="Times New Roman" w:eastAsia="Times New Roman" w:hAnsi="Times New Roman"/>
          <w:sz w:val="20"/>
          <w:szCs w:val="20"/>
        </w:rPr>
        <w:t xml:space="preserve">[7] Shannon, C. E. (1948). A mathematical theory of communication. Bell System Technical Journal, 27(3), 379–423.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40" w:after="14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2026-03-24T18:21:15.843Z</dcterms:created>
  <dcterms:modified xsi:type="dcterms:W3CDTF">2026-03-24T18:21:15.844Z</dcterms:modified>
</cp:coreProperties>
</file>

<file path=docProps/custom.xml><?xml version="1.0" encoding="utf-8"?>
<Properties xmlns="http://schemas.openxmlformats.org/officeDocument/2006/custom-properties" xmlns:vt="http://schemas.openxmlformats.org/officeDocument/2006/docPropsVTypes"/>
</file>