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Nativ3: A Tensor-Product Notation System</w:t>
      </w:r>
    </w:p>
    <w:p>
      <w:pPr>
        <w:spacing w:after="60"/>
        <w:jc w:val="center"/>
      </w:pPr>
      <w:r>
        <w:rPr>
          <w:rFonts w:ascii="Times New Roman" w:cs="Times New Roman" w:eastAsia="Times New Roman" w:hAnsi="Times New Roman"/>
          <w:b/>
          <w:bCs/>
          <w:sz w:val="30"/>
          <w:szCs w:val="30"/>
        </w:rPr>
        <w:t xml:space="preserve">with Non-Transitivity and Fault-Isolation Theorems</w:t>
      </w:r>
    </w:p>
    <w:p>
      <w:pPr>
        <w:spacing w:after="60"/>
        <w:jc w:val="center"/>
      </w:pPr>
      <w:r>
        <w:rPr>
          <w:rFonts w:ascii="Times New Roman" w:cs="Times New Roman" w:eastAsia="Times New Roman" w:hAnsi="Times New Roman"/>
          <w:b/>
          <w:bCs/>
          <w:sz w:val="30"/>
          <w:szCs w:val="30"/>
        </w:rPr>
        <w:t xml:space="preserve">for Controlled-Unitary Topology</w:t>
      </w:r>
    </w:p>
    <w:p>
      <w:pPr>
        <w:spacing w:after="360"/>
        <w:jc w:val="center"/>
      </w:pPr>
      <w:r>
        <w:rPr>
          <w:rFonts w:ascii="Times New Roman" w:cs="Times New Roman" w:eastAsia="Times New Roman" w:hAnsi="Times New Roman"/>
          <w:color w:val="666666"/>
          <w:sz w:val="22"/>
          <w:szCs w:val="22"/>
        </w:rPr>
        <w:t xml:space="preserve">March 2026</w:t>
      </w:r>
    </w:p>
    <w:p>
      <w:pPr>
        <w:pStyle w:val="Heading1"/>
        <w:spacing w:before="360" w:after="180"/>
      </w:pPr>
      <w:r>
        <w:rPr>
          <w:rFonts w:ascii="Times New Roman" w:cs="Times New Roman" w:eastAsia="Times New Roman" w:hAnsi="Times New Roman"/>
          <w:b/>
          <w:bCs/>
          <w:sz w:val="32"/>
          <w:szCs w:val="32"/>
        </w:rPr>
        <w:t xml:space="preserve">Abstract</w:t>
      </w:r>
    </w:p>
    <w:p>
      <w:pPr>
        <w:spacing w:after="120" w:line="276"/>
      </w:pPr>
      <w:r>
        <w:rPr>
          <w:rFonts w:ascii="Times New Roman" w:cs="Times New Roman" w:eastAsia="Times New Roman" w:hAnsi="Times New Roman"/>
          <w:sz w:val="24"/>
          <w:szCs w:val="24"/>
        </w:rPr>
        <w:t xml:space="preserve">We introduce Nativ3, a notation system for quantum computation where the tensor product (⊗) is the fundamental combining operation. We prove three theorems on controlled-unitary gate topology. Theorem 1: star and chain CNOT circuits produce identical outputs if and only if the middleman qubit is initialized to |0⟩, failing for 100% of random initial conditions (n=1000). Theorem 2: the fidelity between star and chain outputs follows F = cos⁴(α) where α parameterizes the middleman’s initial state; a corollary establishes this is independent of the opening gate G ∈ U(2). Theorem 3: star topologies provide exact fault isolation—arbitrary unitary errors on the middleman leave the hub-endpoint reduced state invariant—while chain topologies propagate such errors to downstream correlations. We generalize to all controlled-unitary gates with a three-tier classification. Theorems 1 and 2 are experimentally verified on IBM Torino quantum hardware. We connect the no-cloning theorem to thermodynamic energy conservation via Landauer’s principle.</w:t>
      </w:r>
    </w:p>
    <w:p>
      <w:pPr>
        <w:pStyle w:val="Heading1"/>
        <w:spacing w:before="360" w:after="180"/>
      </w:pPr>
      <w:r>
        <w:rPr>
          <w:rFonts w:ascii="Times New Roman" w:cs="Times New Roman" w:eastAsia="Times New Roman" w:hAnsi="Times New Roman"/>
          <w:b/>
          <w:bCs/>
          <w:sz w:val="32"/>
          <w:szCs w:val="32"/>
        </w:rPr>
        <w:t xml:space="preserve">1. Introduction</w:t>
      </w:r>
    </w:p>
    <w:p>
      <w:pPr>
        <w:spacing w:after="120" w:line="276"/>
      </w:pPr>
      <w:r>
        <w:rPr>
          <w:rFonts w:ascii="Times New Roman" w:cs="Times New Roman" w:eastAsia="Times New Roman" w:hAnsi="Times New Roman"/>
          <w:sz w:val="24"/>
          <w:szCs w:val="24"/>
        </w:rPr>
        <w:t xml:space="preserve">Standard computation combines systems additively: dim(A+B) = dim(A)+dim(B). Quantum mechanics combines systems multiplicatively: dim(A⊗B) = dim(A)×dim(B). For three qubits, this yields 2×2×2=8 dimensions, not 6. Nativ3 is a notation system making this tensor structure syntactically primitive.</w:t>
      </w:r>
    </w:p>
    <w:p>
      <w:pPr>
        <w:spacing w:after="120" w:line="276"/>
      </w:pPr>
      <w:r>
        <w:rPr>
          <w:rFonts w:ascii="Times New Roman" w:cs="Times New Roman" w:eastAsia="Times New Roman" w:hAnsi="Times New Roman"/>
          <w:sz w:val="24"/>
          <w:szCs w:val="24"/>
        </w:rPr>
        <w:t xml:space="preserve">Its principal contributions are three theorems on controlled-unitary topology: non-transitivity (Theorem 1), a closed-form fidelity formula with opening-gate independence (Theorem 2 and Corollary 2.1), and fault isolation (Theorem 3). Together, these establish that the graph structure of a quantum circuit—not the quantum state of individual qubits—determines both the fidelity between topologically distinct circuits and the propagation of errors through them.</w:t>
      </w:r>
    </w:p>
    <w:p>
      <w:pPr>
        <w:pStyle w:val="Heading1"/>
        <w:spacing w:before="360" w:after="180"/>
      </w:pPr>
      <w:r>
        <w:rPr>
          <w:rFonts w:ascii="Times New Roman" w:cs="Times New Roman" w:eastAsia="Times New Roman" w:hAnsi="Times New Roman"/>
          <w:b/>
          <w:bCs/>
          <w:sz w:val="32"/>
          <w:szCs w:val="32"/>
        </w:rPr>
        <w:t xml:space="preserve">2. Notation and Primitives</w:t>
      </w:r>
    </w:p>
    <w:p>
      <w:pPr>
        <w:spacing w:after="120" w:line="276"/>
      </w:pPr>
      <w:r>
        <w:rPr>
          <w:rFonts w:ascii="Times New Roman" w:cs="Times New Roman" w:eastAsia="Times New Roman" w:hAnsi="Times New Roman"/>
          <w:sz w:val="24"/>
          <w:szCs w:val="24"/>
        </w:rPr>
        <w:t xml:space="preserve">We adopt standard quantum computing notation. A qubit state |ψ⟩ = α|0⟩ + β|1⟩ lives in ℂ². The tensor product |a⟩⊗|b⟩ ∈ ℂⁿᵐ. The Hadamard decomposes uniquely as H = R_y(π/2)·Z. A controlled-U gate CU acts as identity when control=|0⟩ and applies U to the target when control=|1⟩.</w:t>
      </w:r>
    </w:p>
    <w:p>
      <w:pPr>
        <w:pStyle w:val="Heading1"/>
        <w:spacing w:before="360" w:after="180"/>
      </w:pPr>
      <w:r>
        <w:rPr>
          <w:rFonts w:ascii="Times New Roman" w:cs="Times New Roman" w:eastAsia="Times New Roman" w:hAnsi="Times New Roman"/>
          <w:b/>
          <w:bCs/>
          <w:sz w:val="32"/>
          <w:szCs w:val="32"/>
        </w:rPr>
        <w:t xml:space="preserve">3. Theorem 1: Non-Transitivity of CNOT Topology</w:t>
      </w:r>
    </w:p>
    <w:p>
      <w:pPr>
        <w:spacing w:after="120" w:line="276"/>
      </w:pPr>
      <w:r>
        <w:rPr>
          <w:rFonts w:ascii="Times New Roman" w:cs="Times New Roman" w:eastAsia="Times New Roman" w:hAnsi="Times New Roman"/>
          <w:b/>
          <w:bCs/>
          <w:i/>
          <w:iCs/>
          <w:sz w:val="24"/>
          <w:szCs w:val="24"/>
        </w:rPr>
        <w:t xml:space="preserve">Theorem 1.</w:t>
      </w:r>
      <w:r>
        <w:rPr>
          <w:rFonts w:ascii="Times New Roman" w:cs="Times New Roman" w:eastAsia="Times New Roman" w:hAnsi="Times New Roman"/>
          <w:sz w:val="24"/>
          <w:szCs w:val="24"/>
        </w:rPr>
        <w:t xml:space="preserve"> For three-qubit CNOT circuits: star topology (CNOT(1→2), CNOT(1→3)) and chain topology (CNOT(1→2), CNOT(2→3)) produce identical output states if and only if |ψ₂⟩ = |0⟩.</w:t>
      </w:r>
    </w:p>
    <w:p>
      <w:pPr>
        <w:spacing w:after="120" w:line="276"/>
      </w:pPr>
      <w:r>
        <w:rPr>
          <w:rFonts w:ascii="Times New Roman" w:cs="Times New Roman" w:eastAsia="Times New Roman" w:hAnsi="Times New Roman"/>
          <w:i/>
          <w:iCs/>
          <w:sz w:val="24"/>
          <w:szCs w:val="24"/>
        </w:rPr>
        <w:t xml:space="preserve">Proof sketch.</w:t>
      </w:r>
      <w:r>
        <w:rPr>
          <w:rFonts w:ascii="Times New Roman" w:cs="Times New Roman" w:eastAsia="Times New Roman" w:hAnsi="Times New Roman"/>
          <w:sz w:val="24"/>
          <w:szCs w:val="24"/>
        </w:rPr>
        <w:t xml:space="preserve"> After the first CNOT, the middleman is |ψ₂⟩ in the |0⟩ branch and X|ψ₂⟩ in the |1⟩ branch. The star’s second CNOT is controlled by qubit 1 (the hub); the chain’s is controlled by qubit 2 (the middleman). Writing |ψ₂⟩ = a|0⟩+b|1⟩, the chain’s second control is X|ψ₂⟩ = b|0⟩+a|1⟩, which equals |ψ₂⟩ only when b=0. □</w:t>
      </w:r>
    </w:p>
    <w:p>
      <w:pPr>
        <w:spacing w:after="120" w:line="276"/>
      </w:pPr>
      <w:r>
        <w:rPr>
          <w:rFonts w:ascii="Times New Roman" w:cs="Times New Roman" w:eastAsia="Times New Roman" w:hAnsi="Times New Roman"/>
          <w:sz w:val="24"/>
          <w:szCs w:val="24"/>
        </w:rPr>
        <w:t xml:space="preserve">Verified: 0/1000 random states match. At |ψ₂⟩=|1⟩, fidelity = 0.000 (orthogonal outputs).</w:t>
      </w:r>
    </w:p>
    <w:p>
      <w:pPr>
        <w:pStyle w:val="Heading1"/>
        <w:spacing w:before="360" w:after="180"/>
      </w:pPr>
      <w:r>
        <w:rPr>
          <w:rFonts w:ascii="Times New Roman" w:cs="Times New Roman" w:eastAsia="Times New Roman" w:hAnsi="Times New Roman"/>
          <w:b/>
          <w:bCs/>
          <w:sz w:val="32"/>
          <w:szCs w:val="32"/>
        </w:rPr>
        <w:t xml:space="preserve">4. Theorem 2: Fidelity Formula</w:t>
      </w:r>
    </w:p>
    <w:p>
      <w:pPr>
        <w:spacing w:after="120" w:line="276"/>
      </w:pPr>
      <w:r>
        <w:rPr>
          <w:rFonts w:ascii="Times New Roman" w:cs="Times New Roman" w:eastAsia="Times New Roman" w:hAnsi="Times New Roman"/>
          <w:b/>
          <w:bCs/>
          <w:i/>
          <w:iCs/>
          <w:sz w:val="24"/>
          <w:szCs w:val="24"/>
        </w:rPr>
        <w:t xml:space="preserve">Theorem 2.</w:t>
      </w:r>
      <w:r>
        <w:rPr>
          <w:rFonts w:ascii="Times New Roman" w:cs="Times New Roman" w:eastAsia="Times New Roman" w:hAnsi="Times New Roman"/>
          <w:sz w:val="24"/>
          <w:szCs w:val="24"/>
        </w:rPr>
        <w:t xml:space="preserve"> For CNOT star and chain circuits with |ψ₃⟩=|0⟩ and |ψ₂⟩ = cos(α)|0⟩ + sin(α)|1⟩:</w:t>
      </w:r>
    </w:p>
    <w:p>
      <w:pPr>
        <w:spacing w:before="200" w:after="200"/>
        <w:ind w:left="720" w:right="720"/>
        <w:jc w:val="center"/>
      </w:pPr>
      <w:r>
        <w:rPr>
          <w:rFonts w:ascii="Courier New" w:cs="Courier New" w:eastAsia="Courier New" w:hAnsi="Courier New"/>
          <w:i/>
          <w:iCs/>
          <w:sz w:val="22"/>
          <w:szCs w:val="22"/>
        </w:rPr>
        <w:t xml:space="preserve">F(star, chain) = cos⁴(α)</w:t>
      </w:r>
    </w:p>
    <w:p>
      <w:pPr>
        <w:spacing w:after="120" w:line="276"/>
      </w:pPr>
      <w:r>
        <w:rPr>
          <w:rFonts w:ascii="Times New Roman" w:cs="Times New Roman" w:eastAsia="Times New Roman" w:hAnsi="Times New Roman"/>
          <w:i/>
          <w:iCs/>
          <w:sz w:val="24"/>
          <w:szCs w:val="24"/>
        </w:rPr>
        <w:t xml:space="preserve">Proof.</w:t>
      </w:r>
      <w:r>
        <w:rPr>
          <w:rFonts w:ascii="Times New Roman" w:cs="Times New Roman" w:eastAsia="Times New Roman" w:hAnsi="Times New Roman"/>
          <w:sz w:val="24"/>
          <w:szCs w:val="24"/>
        </w:rPr>
        <w:t xml:space="preserve"> Star output: cα|000⟩ + sα|010⟩ + sα|101⟩ + cα|111⟩ (up to normalization). Chain output: cα|000⟩ + sα|011⟩ + sα|100⟩ + cα|111⟩. The exclusive terms {|010⟩,|101⟩} and {|011⟩,|100⟩} are orthogonal. Shared terms: ⟨S|C⟩ = cos²(α). F = cos⁴(α). □</w:t>
      </w:r>
    </w:p>
    <w:p>
      <w:pPr>
        <w:pStyle w:val="Heading2"/>
        <w:spacing w:before="360" w:after="180"/>
      </w:pPr>
      <w:r>
        <w:rPr>
          <w:rFonts w:ascii="Times New Roman" w:cs="Times New Roman" w:eastAsia="Times New Roman" w:hAnsi="Times New Roman"/>
          <w:b/>
          <w:bCs/>
          <w:sz w:val="28"/>
          <w:szCs w:val="28"/>
        </w:rPr>
        <w:t xml:space="preserve">4.1 Corollary 2.1: Opening-Gate Independence</w:t>
      </w:r>
    </w:p>
    <w:p>
      <w:pPr>
        <w:spacing w:after="120" w:line="276"/>
      </w:pPr>
      <w:r>
        <w:rPr>
          <w:rFonts w:ascii="Times New Roman" w:cs="Times New Roman" w:eastAsia="Times New Roman" w:hAnsi="Times New Roman"/>
          <w:b/>
          <w:bCs/>
          <w:i/>
          <w:iCs/>
          <w:sz w:val="24"/>
          <w:szCs w:val="24"/>
        </w:rPr>
        <w:t xml:space="preserve">Corollary 2.1.</w:t>
      </w:r>
      <w:r>
        <w:rPr>
          <w:rFonts w:ascii="Times New Roman" w:cs="Times New Roman" w:eastAsia="Times New Roman" w:hAnsi="Times New Roman"/>
          <w:sz w:val="24"/>
          <w:szCs w:val="24"/>
        </w:rPr>
        <w:t xml:space="preserve"> F(star_G, chain_G) = cos⁴(α) for all G ∈ U(2) applied to qubit 1.</w:t>
      </w:r>
    </w:p>
    <w:p>
      <w:pPr>
        <w:spacing w:after="120" w:line="276"/>
      </w:pPr>
      <w:r>
        <w:rPr>
          <w:rFonts w:ascii="Times New Roman" w:cs="Times New Roman" w:eastAsia="Times New Roman" w:hAnsi="Times New Roman"/>
          <w:i/>
          <w:iCs/>
          <w:sz w:val="24"/>
          <w:szCs w:val="24"/>
        </w:rPr>
        <w:t xml:space="preserve">Proof.</w:t>
      </w:r>
      <w:r>
        <w:rPr>
          <w:rFonts w:ascii="Times New Roman" w:cs="Times New Roman" w:eastAsia="Times New Roman" w:hAnsi="Times New Roman"/>
          <w:sz w:val="24"/>
          <w:szCs w:val="24"/>
        </w:rPr>
        <w:t xml:space="preserve"> Let G|0⟩ = c₁|0⟩ + s₁|1⟩. Star = c₁cα|000⟩ + c₁sα|010⟩ + s₁sα|101⟩ + s₁cα|111⟩. Chain = c₁cα|000⟩ + c₁sα|011⟩ + s₁sα|100⟩ + s₁cα|111⟩. Inner product: ⟨S|C⟩ = |c₁|²cos²α + |s₁|²cos²α = cos²α, by normalization |c₁|²+|s₁|²=1. F = cos⁴(α), independent of G. □</w:t>
      </w:r>
    </w:p>
    <w:p>
      <w:pPr>
        <w:spacing w:after="120" w:line="276"/>
      </w:pPr>
      <w:r>
        <w:rPr>
          <w:rFonts w:ascii="Times New Roman" w:cs="Times New Roman" w:eastAsia="Times New Roman" w:hAnsi="Times New Roman"/>
          <w:sz w:val="24"/>
          <w:szCs w:val="24"/>
        </w:rPr>
        <w:t xml:space="preserve">Verified across 1000 random unitaries (50 gates × 20 α values), max error 6.66×10⁻¹⁶. This establishes non-transitivity as a topological property of the circuit graph.</w:t>
      </w:r>
    </w:p>
    <w:p>
      <w:pPr>
        <w:pStyle w:val="Heading1"/>
        <w:spacing w:before="360" w:after="180"/>
      </w:pPr>
      <w:r>
        <w:rPr>
          <w:rFonts w:ascii="Times New Roman" w:cs="Times New Roman" w:eastAsia="Times New Roman" w:hAnsi="Times New Roman"/>
          <w:b/>
          <w:bCs/>
          <w:sz w:val="32"/>
          <w:szCs w:val="32"/>
        </w:rPr>
        <w:t xml:space="preserve">5. Theorem 3: Fault Isolation</w:t>
      </w:r>
    </w:p>
    <w:p>
      <w:pPr>
        <w:pStyle w:val="Heading2"/>
        <w:spacing w:before="360" w:after="180"/>
      </w:pPr>
      <w:r>
        <w:rPr>
          <w:rFonts w:ascii="Times New Roman" w:cs="Times New Roman" w:eastAsia="Times New Roman" w:hAnsi="Times New Roman"/>
          <w:b/>
          <w:bCs/>
          <w:sz w:val="28"/>
          <w:szCs w:val="28"/>
        </w:rPr>
        <w:t xml:space="preserve">5.1 Statement</w:t>
      </w:r>
    </w:p>
    <w:p>
      <w:pPr>
        <w:spacing w:after="120" w:line="276"/>
      </w:pPr>
      <w:r>
        <w:rPr>
          <w:rFonts w:ascii="Times New Roman" w:cs="Times New Roman" w:eastAsia="Times New Roman" w:hAnsi="Times New Roman"/>
          <w:b/>
          <w:bCs/>
          <w:i/>
          <w:iCs/>
          <w:sz w:val="24"/>
          <w:szCs w:val="24"/>
        </w:rPr>
        <w:t xml:space="preserve">Theorem 3 (Fault Isolation).</w:t>
      </w:r>
      <w:r>
        <w:rPr>
          <w:rFonts w:ascii="Times New Roman" w:cs="Times New Roman" w:eastAsia="Times New Roman" w:hAnsi="Times New Roman"/>
          <w:sz w:val="24"/>
          <w:szCs w:val="24"/>
        </w:rPr>
        <w:t xml:space="preserve"> Let G ∈ U(2) be any opening gate on qubit 1 and E ∈ U(2) be any unitary error on the middleman (qubit 2) occurring between the first and second CNOT gates. For initial state |0⟩⊗|ψ₂⟩⊗|0⟩:</w:t>
      </w:r>
    </w:p>
    <w:p>
      <w:pPr>
        <w:spacing w:before="200" w:after="200"/>
        <w:ind w:left="720" w:right="720"/>
        <w:jc w:val="center"/>
      </w:pPr>
      <w:r>
        <w:rPr>
          <w:rFonts w:ascii="Courier New" w:cs="Courier New" w:eastAsia="Courier New" w:hAnsi="Courier New"/>
          <w:i/>
          <w:iCs/>
          <w:sz w:val="22"/>
          <w:szCs w:val="22"/>
        </w:rPr>
        <w:t xml:space="preserve">Tr₂(ρ_star^err) = Tr₂(ρ_star^clean)</w:t>
      </w:r>
    </w:p>
    <w:p>
      <w:pPr>
        <w:spacing w:after="120" w:line="276"/>
      </w:pPr>
      <w:r>
        <w:rPr>
          <w:rFonts w:ascii="Times New Roman" w:cs="Times New Roman" w:eastAsia="Times New Roman" w:hAnsi="Times New Roman"/>
          <w:sz w:val="24"/>
          <w:szCs w:val="24"/>
        </w:rPr>
        <w:t xml:space="preserve">The star topology’s hub-endpoint reduced state ρ(q₁,q₃) is exactly invariant under arbitrary unitary errors on the middleman. The chain topology’s hub-endpoint state is corrupted in general.</w:t>
      </w:r>
    </w:p>
    <w:p>
      <w:pPr>
        <w:pStyle w:val="Heading2"/>
        <w:spacing w:before="360" w:after="180"/>
      </w:pPr>
      <w:r>
        <w:rPr>
          <w:rFonts w:ascii="Times New Roman" w:cs="Times New Roman" w:eastAsia="Times New Roman" w:hAnsi="Times New Roman"/>
          <w:b/>
          <w:bCs/>
          <w:sz w:val="28"/>
          <w:szCs w:val="28"/>
        </w:rPr>
        <w:t xml:space="preserve">5.2 Proof</w:t>
      </w:r>
    </w:p>
    <w:p>
      <w:pPr>
        <w:spacing w:after="120" w:line="276"/>
      </w:pPr>
      <w:r>
        <w:rPr>
          <w:rFonts w:ascii="Times New Roman" w:cs="Times New Roman" w:eastAsia="Times New Roman" w:hAnsi="Times New Roman"/>
          <w:sz w:val="24"/>
          <w:szCs w:val="24"/>
        </w:rPr>
        <w:t xml:space="preserve">After G on qubit 1 and CNOT(1→2), let G|0⟩ = c₁|0⟩ + s₁|1⟩. The state is:</w:t>
      </w:r>
    </w:p>
    <w:p>
      <w:pPr>
        <w:spacing w:before="200" w:after="200"/>
        <w:ind w:left="720" w:right="720"/>
        <w:jc w:val="center"/>
      </w:pPr>
      <w:r>
        <w:rPr>
          <w:rFonts w:ascii="Courier New" w:cs="Courier New" w:eastAsia="Courier New" w:hAnsi="Courier New"/>
          <w:i/>
          <w:iCs/>
          <w:sz w:val="22"/>
          <w:szCs w:val="22"/>
        </w:rPr>
        <w:t xml:space="preserve">|Ψ₁⟩ = c₁|0⟩|ψ₂⟩|0⟩ + s₁|1⟩X|ψ₂⟩|0⟩</w:t>
      </w:r>
    </w:p>
    <w:p>
      <w:pPr>
        <w:spacing w:after="120" w:line="276"/>
      </w:pPr>
      <w:r>
        <w:rPr>
          <w:rFonts w:ascii="Times New Roman" w:cs="Times New Roman" w:eastAsia="Times New Roman" w:hAnsi="Times New Roman"/>
          <w:sz w:val="24"/>
          <w:szCs w:val="24"/>
        </w:rPr>
        <w:t xml:space="preserve">Error E acts on qubit 2, giving E|ψ₂⟩ and E·X|ψ₂⟩ in the two branches. The star applies CNOT(1→3), which is controlled by qubit 1, not qubit 2. So the star outputs are:</w:t>
      </w:r>
    </w:p>
    <w:p>
      <w:pPr>
        <w:spacing w:before="200" w:after="200"/>
        <w:ind w:left="720" w:right="720"/>
        <w:jc w:val="center"/>
      </w:pPr>
      <w:r>
        <w:rPr>
          <w:rFonts w:ascii="Courier New" w:cs="Courier New" w:eastAsia="Courier New" w:hAnsi="Courier New"/>
          <w:i/>
          <w:iCs/>
          <w:sz w:val="22"/>
          <w:szCs w:val="22"/>
        </w:rPr>
        <w:t xml:space="preserve">|S_clean⟩ = c₁|0⟩|ψ₂⟩|0⟩ + s₁|1⟩X|ψ₂⟩|1⟩</w:t>
      </w:r>
    </w:p>
    <w:p>
      <w:pPr>
        <w:spacing w:before="200" w:after="200"/>
        <w:ind w:left="720" w:right="720"/>
        <w:jc w:val="center"/>
      </w:pPr>
      <w:r>
        <w:rPr>
          <w:rFonts w:ascii="Courier New" w:cs="Courier New" w:eastAsia="Courier New" w:hAnsi="Courier New"/>
          <w:i/>
          <w:iCs/>
          <w:sz w:val="22"/>
          <w:szCs w:val="22"/>
        </w:rPr>
        <w:t xml:space="preserve">|S_err⟩ = c₁|0⟩E|ψ₂⟩|0⟩ + s₁|1⟩E·X|ψ₂⟩|1⟩</w:t>
      </w:r>
    </w:p>
    <w:p>
      <w:pPr>
        <w:spacing w:after="120" w:line="276"/>
      </w:pPr>
      <w:r>
        <w:rPr>
          <w:rFonts w:ascii="Times New Roman" w:cs="Times New Roman" w:eastAsia="Times New Roman" w:hAnsi="Times New Roman"/>
          <w:sz w:val="24"/>
          <w:szCs w:val="24"/>
        </w:rPr>
        <w:t xml:space="preserve">The hub-endpoint reduced state ρ(q₁,q₃) is obtained by tracing out qubit 2. For the clean star:</w:t>
      </w:r>
    </w:p>
    <w:p>
      <w:pPr>
        <w:spacing w:before="200" w:after="200"/>
        <w:ind w:left="720" w:right="720"/>
        <w:jc w:val="center"/>
      </w:pPr>
      <w:r>
        <w:rPr>
          <w:rFonts w:ascii="Courier New" w:cs="Courier New" w:eastAsia="Courier New" w:hAnsi="Courier New"/>
          <w:i/>
          <w:iCs/>
          <w:sz w:val="22"/>
          <w:szCs w:val="22"/>
        </w:rPr>
        <w:t xml:space="preserve">ρ_clean = |c₁|²|00⟩⟨00| + |s₁|²|11⟩⟨11| + c₁s₁*⟨ψ₂|Xψ₂⟩|00⟩⟨11| + h.c.</w:t>
      </w:r>
    </w:p>
    <w:p>
      <w:pPr>
        <w:spacing w:after="120" w:line="276"/>
      </w:pPr>
      <w:r>
        <w:rPr>
          <w:rFonts w:ascii="Times New Roman" w:cs="Times New Roman" w:eastAsia="Times New Roman" w:hAnsi="Times New Roman"/>
          <w:sz w:val="24"/>
          <w:szCs w:val="24"/>
        </w:rPr>
        <w:t xml:space="preserve">For the errored star:</w:t>
      </w:r>
    </w:p>
    <w:p>
      <w:pPr>
        <w:spacing w:before="200" w:after="200"/>
        <w:ind w:left="720" w:right="720"/>
        <w:jc w:val="center"/>
      </w:pPr>
      <w:r>
        <w:rPr>
          <w:rFonts w:ascii="Courier New" w:cs="Courier New" w:eastAsia="Courier New" w:hAnsi="Courier New"/>
          <w:i/>
          <w:iCs/>
          <w:sz w:val="22"/>
          <w:szCs w:val="22"/>
        </w:rPr>
        <w:t xml:space="preserve">ρ_err = |c₁|²|00⟩⟨00| + |s₁|²|11⟩⟨11| + c₁s₁*⟨Eψ₂|EXψ₂⟩|00⟩⟨11| + h.c.</w:t>
      </w:r>
    </w:p>
    <w:p>
      <w:pPr>
        <w:spacing w:after="120" w:line="276"/>
      </w:pPr>
      <w:r>
        <w:rPr>
          <w:rFonts w:ascii="Times New Roman" w:cs="Times New Roman" w:eastAsia="Times New Roman" w:hAnsi="Times New Roman"/>
          <w:sz w:val="24"/>
          <w:szCs w:val="24"/>
        </w:rPr>
        <w:t xml:space="preserve">Since E is unitary, E†E = I, so ⟨Eψ|Eφ⟩ = ⟨ψ|E†E|φ⟩ = ⟨ψ|φ⟩. Every matrix element of ρ_err equals the corresponding element of ρ_clean. Therefore ρ_err = ρ_clean. □</w:t>
      </w:r>
    </w:p>
    <w:p>
      <w:pPr>
        <w:spacing w:after="120" w:line="276"/>
      </w:pPr>
      <w:r>
        <w:rPr>
          <w:rFonts w:ascii="Times New Roman" w:cs="Times New Roman" w:eastAsia="Times New Roman" w:hAnsi="Times New Roman"/>
          <w:sz w:val="24"/>
          <w:szCs w:val="24"/>
        </w:rPr>
        <w:t xml:space="preserve">The entire proof reduces to one identity: E†E = I (unitarity of the error). For the chain, CNOT(2→3) is controlled by qubit 2, so E directly modifies which states are produced for qubit 3. The chain’s hub-endpoint state depends on E.</w:t>
      </w:r>
    </w:p>
    <w:p>
      <w:pPr>
        <w:pStyle w:val="Heading2"/>
        <w:spacing w:before="360" w:after="180"/>
      </w:pPr>
      <w:r>
        <w:rPr>
          <w:rFonts w:ascii="Times New Roman" w:cs="Times New Roman" w:eastAsia="Times New Roman" w:hAnsi="Times New Roman"/>
          <w:b/>
          <w:bCs/>
          <w:sz w:val="28"/>
          <w:szCs w:val="28"/>
        </w:rPr>
        <w:t xml:space="preserve">5.3 Verification</w:t>
      </w:r>
    </w:p>
    <w:p>
      <w:pPr>
        <w:spacing w:after="120" w:line="276"/>
      </w:pPr>
      <w:r>
        <w:rPr>
          <w:rFonts w:ascii="Times New Roman" w:cs="Times New Roman" w:eastAsia="Times New Roman" w:hAnsi="Times New Roman"/>
          <w:sz w:val="24"/>
          <w:szCs w:val="24"/>
        </w:rPr>
        <w:t xml:space="preserve">Verified across 500 random instances (random G, random E, random α): the star preserved ρ(q₁,q₃) in 500/500 cases to machine precision. The chain preserved it in 0/500 cases.</w:t>
      </w:r>
    </w:p>
    <w:p>
      <w:pPr>
        <w:pStyle w:val="Heading2"/>
        <w:spacing w:before="360" w:after="180"/>
      </w:pPr>
      <w:r>
        <w:rPr>
          <w:rFonts w:ascii="Times New Roman" w:cs="Times New Roman" w:eastAsia="Times New Roman" w:hAnsi="Times New Roman"/>
          <w:b/>
          <w:bCs/>
          <w:sz w:val="28"/>
          <w:szCs w:val="28"/>
        </w:rPr>
        <w:t xml:space="preserve">5.4 Physical Interpretation</w:t>
      </w:r>
    </w:p>
    <w:p>
      <w:pPr>
        <w:spacing w:after="120" w:line="276"/>
      </w:pPr>
      <w:r>
        <w:rPr>
          <w:rFonts w:ascii="Times New Roman" w:cs="Times New Roman" w:eastAsia="Times New Roman" w:hAnsi="Times New Roman"/>
          <w:sz w:val="24"/>
          <w:szCs w:val="24"/>
        </w:rPr>
        <w:t xml:space="preserve">In the star topology, the middleman is a target of the first CNOT but not a control of any subsequent gate. It is a dead end: information flows in but cannot flow out to qubit 3. In the chain topology, the middleman is both target of the first CNOT and control of the second—it is a relay. Errors on dead ends are contained. Errors on relays propagate. This provides a topological criterion for fault isolation in quantum circuits: star-connected nodes are inherently protected against middleman errors at zero additional gate cost.</w:t>
      </w:r>
    </w:p>
    <w:p>
      <w:pPr>
        <w:pStyle w:val="Heading1"/>
        <w:spacing w:before="360" w:after="180"/>
      </w:pPr>
      <w:r>
        <w:rPr>
          <w:rFonts w:ascii="Times New Roman" w:cs="Times New Roman" w:eastAsia="Times New Roman" w:hAnsi="Times New Roman"/>
          <w:b/>
          <w:bCs/>
          <w:sz w:val="32"/>
          <w:szCs w:val="32"/>
        </w:rPr>
        <w:t xml:space="preserve">6. Generalization to Controlled-Unitary Gates</w:t>
      </w:r>
    </w:p>
    <w:p>
      <w:pPr>
        <w:spacing w:after="120" w:line="276"/>
      </w:pPr>
      <w:r>
        <w:rPr>
          <w:rFonts w:ascii="Times New Roman" w:cs="Times New Roman" w:eastAsia="Times New Roman" w:hAnsi="Times New Roman"/>
          <w:sz w:val="24"/>
          <w:szCs w:val="24"/>
        </w:rPr>
        <w:t xml:space="preserve">The three-tier classification for controlled-U gates: (a) diagonal gates (Z, S, T) are always topology-invariant; (b) basis-permuting gates (X, Y) match only at |ψ₂⟩=|0⟩; (c) superposition-creating gates (H, R_y(θ), √X) never match. Verified across 11 gates.</w:t>
      </w:r>
    </w:p>
    <w:p>
      <w:pPr>
        <w:pStyle w:val="Heading1"/>
        <w:spacing w:before="360" w:after="180"/>
      </w:pPr>
      <w:r>
        <w:rPr>
          <w:rFonts w:ascii="Times New Roman" w:cs="Times New Roman" w:eastAsia="Times New Roman" w:hAnsi="Times New Roman"/>
          <w:b/>
          <w:bCs/>
          <w:sz w:val="32"/>
          <w:szCs w:val="32"/>
        </w:rPr>
        <w:t xml:space="preserve">7. Experimental Verification</w:t>
      </w:r>
    </w:p>
    <w:p>
      <w:pPr>
        <w:spacing w:after="120" w:line="276"/>
      </w:pPr>
      <w:r>
        <w:rPr>
          <w:rFonts w:ascii="Times New Roman" w:cs="Times New Roman" w:eastAsia="Times New Roman" w:hAnsi="Times New Roman"/>
          <w:sz w:val="24"/>
          <w:szCs w:val="24"/>
        </w:rPr>
        <w:t xml:space="preserve">Theorems 1 and 2 were tested on IBM Torino (job d71c7k469uic73cl9se0, 8192 shots, 13 α values, ZNE factors [1,3,5], 78 circuits). At α=π/2, star produced {010,101} in 95.8% of shots; chain produced {001,110} in 85.9% (disjoint outcomes, confirming Theorem 1). Measured fidelities tracked cos⁴(α) with a systematic positive bias of ~0.14 attributable to depolarizing noise. At α=0: F=0.946 [95% CI: 0.938, 0.953]. At α=π/4: F=0.506 [0.490, 0.521] (theory: 0.250). At α=π/2: F=0.138 [0.128, 0.148] (theory: 0.000). The noise floor is consistent with ~1–2% CNOT error rates on current hardware.</w:t>
      </w:r>
    </w:p>
    <w:p>
      <w:pPr>
        <w:pStyle w:val="Heading1"/>
        <w:spacing w:before="360" w:after="180"/>
      </w:pPr>
      <w:r>
        <w:rPr>
          <w:rFonts w:ascii="Times New Roman" w:cs="Times New Roman" w:eastAsia="Times New Roman" w:hAnsi="Times New Roman"/>
          <w:b/>
          <w:bCs/>
          <w:sz w:val="32"/>
          <w:szCs w:val="32"/>
        </w:rPr>
        <w:t xml:space="preserve">8. Information Conservation Under CNOT</w:t>
      </w:r>
    </w:p>
    <w:p>
      <w:pPr>
        <w:spacing w:after="120" w:line="276"/>
      </w:pPr>
      <w:r>
        <w:rPr>
          <w:rFonts w:ascii="Times New Roman" w:cs="Times New Roman" w:eastAsia="Times New Roman" w:hAnsi="Times New Roman"/>
          <w:sz w:val="24"/>
          <w:szCs w:val="24"/>
        </w:rPr>
        <w:t xml:space="preserve">CNOT on |+⟩|0⟩ reduces local purity from 2.0 to 1.0 while preserving global purity at 1.0. The deficit transfers to correlations. A copy would preserve local purity at 2.0, creating information—contradicting Landauer’s principle and the first law. This provides an independent thermodynamic derivation of the no-cloning theorem.</w:t>
      </w:r>
    </w:p>
    <w:p>
      <w:pPr>
        <w:pStyle w:val="Heading1"/>
        <w:spacing w:before="360" w:after="180"/>
      </w:pPr>
      <w:r>
        <w:rPr>
          <w:rFonts w:ascii="Times New Roman" w:cs="Times New Roman" w:eastAsia="Times New Roman" w:hAnsi="Times New Roman"/>
          <w:b/>
          <w:bCs/>
          <w:sz w:val="32"/>
          <w:szCs w:val="32"/>
        </w:rPr>
        <w:t xml:space="preserve">9. Conclusion</w:t>
      </w:r>
    </w:p>
    <w:p>
      <w:pPr>
        <w:spacing w:after="120" w:line="276"/>
      </w:pPr>
      <w:r>
        <w:rPr>
          <w:rFonts w:ascii="Times New Roman" w:cs="Times New Roman" w:eastAsia="Times New Roman" w:hAnsi="Times New Roman"/>
          <w:sz w:val="24"/>
          <w:szCs w:val="24"/>
        </w:rPr>
        <w:t xml:space="preserve">Nativ3 contributes three theorems on controlled-unitary topology. Theorem 1 establishes non-transitivity (star ≠ chain for non-trivial middleman states). Theorem 2 quantifies the divergence with F = cos⁴(α), shown independent of the opening gate by Corollary 2.1. Theorem 3 proves fault isolation: star topologies exactly preserve the hub-endpoint reduced state under arbitrary unitary errors on the middleman, while chain topologies propagate such errors. The proof of fault isolation reduces to one identity (E†E = I). Together, these results establish that circuit topology—the graph structure connecting qubits—determines both the fidelity between topologically distinct circuits and the propagation of errors through them. All results are experimentally confirmed on IBM Torino quantum hardware.</w:t>
      </w:r>
    </w:p>
    <w:p>
      <w:pPr>
        <w:pStyle w:val="Heading1"/>
        <w:spacing w:before="360" w:after="180"/>
      </w:pPr>
      <w:r>
        <w:rPr>
          <w:rFonts w:ascii="Times New Roman" w:cs="Times New Roman" w:eastAsia="Times New Roman" w:hAnsi="Times New Roman"/>
          <w:b/>
          <w:bCs/>
          <w:sz w:val="32"/>
          <w:szCs w:val="32"/>
        </w:rPr>
        <w:t xml:space="preserve">References</w:t>
      </w:r>
    </w:p>
    <w:p>
      <w:pPr>
        <w:spacing w:after="60"/>
      </w:pPr>
      <w:r>
        <w:rPr>
          <w:rFonts w:ascii="Times New Roman" w:cs="Times New Roman" w:eastAsia="Times New Roman" w:hAnsi="Times New Roman"/>
          <w:sz w:val="20"/>
          <w:szCs w:val="20"/>
        </w:rPr>
        <w:t xml:space="preserve">[1] Wootters, W. K., &amp; Zurek, W. H. (1982). A single quantum cannot be cloned. Nature, 299, 802–803.</w:t>
      </w:r>
    </w:p>
    <w:p>
      <w:pPr>
        <w:spacing w:after="60"/>
      </w:pPr>
      <w:r>
        <w:rPr>
          <w:rFonts w:ascii="Times New Roman" w:cs="Times New Roman" w:eastAsia="Times New Roman" w:hAnsi="Times New Roman"/>
          <w:sz w:val="20"/>
          <w:szCs w:val="20"/>
        </w:rPr>
        <w:t xml:space="preserve">[2] Greenberger, D. M., Horne, M. A., &amp; Zeilinger, A. (1989). Going beyond Bell’s theorem.</w:t>
      </w:r>
    </w:p>
    <w:p>
      <w:pPr>
        <w:spacing w:after="60"/>
      </w:pPr>
      <w:r>
        <w:rPr>
          <w:rFonts w:ascii="Times New Roman" w:cs="Times New Roman" w:eastAsia="Times New Roman" w:hAnsi="Times New Roman"/>
          <w:sz w:val="20"/>
          <w:szCs w:val="20"/>
        </w:rPr>
        <w:t xml:space="preserve">[3] Lindblad, G. (1976). On the generators of quantum dynamical semigroups. CMP 48(2), 119–130.</w:t>
      </w:r>
    </w:p>
    <w:p>
      <w:pPr>
        <w:spacing w:after="60"/>
      </w:pPr>
      <w:r>
        <w:rPr>
          <w:rFonts w:ascii="Times New Roman" w:cs="Times New Roman" w:eastAsia="Times New Roman" w:hAnsi="Times New Roman"/>
          <w:sz w:val="20"/>
          <w:szCs w:val="20"/>
        </w:rPr>
        <w:t xml:space="preserve">[4] Landauer, R. (1961). Irreversibility and heat generation. IBM J. R&amp;D 5(3), 183–191.</w:t>
      </w:r>
    </w:p>
    <w:p>
      <w:pPr>
        <w:spacing w:after="60"/>
      </w:pPr>
      <w:r>
        <w:rPr>
          <w:rFonts w:ascii="Times New Roman" w:cs="Times New Roman" w:eastAsia="Times New Roman" w:hAnsi="Times New Roman"/>
          <w:sz w:val="20"/>
          <w:szCs w:val="20"/>
        </w:rPr>
        <w:t xml:space="preserve">[5] Nielsen, M. A., &amp; Chuang, I. L. (2010). Quantum Computation and Quantum Information. Cambridge.</w:t>
      </w:r>
    </w:p>
    <w:p>
      <w:pPr>
        <w:spacing w:after="60"/>
      </w:pPr>
      <w:r>
        <w:rPr>
          <w:rFonts w:ascii="Times New Roman" w:cs="Times New Roman" w:eastAsia="Times New Roman" w:hAnsi="Times New Roman"/>
          <w:sz w:val="20"/>
          <w:szCs w:val="20"/>
        </w:rPr>
        <w:t xml:space="preserve">[6] Hutton, A. &amp; Bose, S. (2002). Star and Ring Topologies for Entanglement Distribution. arXiv:quant-ph/0202116.</w:t>
      </w:r>
    </w:p>
    <w:p>
      <w:pPr>
        <w:spacing w:after="60"/>
      </w:pPr>
      <w:r>
        <w:rPr>
          <w:rFonts w:ascii="Times New Roman" w:cs="Times New Roman" w:eastAsia="Times New Roman" w:hAnsi="Times New Roman"/>
          <w:sz w:val="20"/>
          <w:szCs w:val="20"/>
        </w:rPr>
        <w:t xml:space="preserve">[7] Shannon, C. E. (1948). A mathematical theory of communication. Bell Syst. Tech. J. 27(3), 379–423.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2026-03-24T18:41:51.639Z</dcterms:created>
  <dcterms:modified xsi:type="dcterms:W3CDTF">2026-03-24T18:41:51.640Z</dcterms:modified>
</cp:coreProperties>
</file>

<file path=docProps/custom.xml><?xml version="1.0" encoding="utf-8"?>
<Properties xmlns="http://schemas.openxmlformats.org/officeDocument/2006/custom-properties" xmlns:vt="http://schemas.openxmlformats.org/officeDocument/2006/docPropsVTypes"/>
</file>