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Nativ3: A Tensor-Product Notation System</w:t>
      </w:r>
    </w:p>
    <w:p>
      <w:pPr>
        <w:spacing w:after="60"/>
        <w:jc w:val="center"/>
      </w:pPr>
      <w:r>
        <w:rPr>
          <w:rFonts w:ascii="Times New Roman" w:cs="Times New Roman" w:eastAsia="Times New Roman" w:hAnsi="Times New Roman"/>
          <w:b/>
          <w:bCs/>
          <w:sz w:val="30"/>
          <w:szCs w:val="30"/>
        </w:rPr>
        <w:t xml:space="preserve">with a Non-Transitivity Theorem for CNOT Topology</w:t>
      </w:r>
    </w:p>
    <w:p>
      <w:pPr>
        <w:spacing w:after="360"/>
        <w:jc w:val="center"/>
      </w:pPr>
      <w:r>
        <w:rPr>
          <w:rFonts w:ascii="Times New Roman" w:cs="Times New Roman" w:eastAsia="Times New Roman" w:hAnsi="Times New Roman"/>
          <w:color w:val="666666"/>
          <w:sz w:val="22"/>
          <w:szCs w:val="22"/>
        </w:rPr>
        <w:t xml:space="preserve">March 2026</w:t>
      </w:r>
    </w:p>
    <w:p>
      <w:pPr>
        <w:pStyle w:val="Heading1"/>
        <w:spacing w:before="360" w:after="180"/>
      </w:pPr>
      <w:r>
        <w:rPr>
          <w:rFonts w:ascii="Times New Roman" w:cs="Times New Roman" w:eastAsia="Times New Roman" w:hAnsi="Times New Roman"/>
          <w:b/>
          <w:bCs/>
          <w:sz w:val="32"/>
          <w:szCs w:val="32"/>
        </w:rPr>
        <w:t xml:space="preserve">Abstract</w:t>
      </w:r>
    </w:p>
    <w:p>
      <w:pPr>
        <w:spacing w:after="120" w:line="276"/>
      </w:pPr>
      <w:r>
        <w:rPr>
          <w:rFonts w:ascii="Times New Roman" w:cs="Times New Roman" w:eastAsia="Times New Roman" w:hAnsi="Times New Roman"/>
          <w:sz w:val="24"/>
          <w:szCs w:val="24"/>
        </w:rPr>
        <w:t xml:space="preserve">We introduce Nativ3, a notation system for quantum computation in which the tensor product </w:t>
      </w:r>
      <w:r>
        <w:rPr>
          <w:rFonts w:ascii="Courier New" w:cs="Courier New" w:eastAsia="Courier New" w:hAnsi="Courier New"/>
          <w:sz w:val="24"/>
          <w:szCs w:val="24"/>
        </w:rPr>
        <w:t xml:space="preserve">⊗</w:t>
      </w:r>
      <w:r>
        <w:rPr>
          <w:rFonts w:ascii="Times New Roman" w:cs="Times New Roman" w:eastAsia="Times New Roman" w:hAnsi="Times New Roman"/>
          <w:sz w:val="24"/>
          <w:szCs w:val="24"/>
        </w:rPr>
        <w:t xml:space="preserve"> replaces addition as the fundamental combining operation. In conventional programming and mathematical notation, combination is additive: </w:t>
      </w:r>
      <w:r>
        <w:rPr>
          <w:rFonts w:ascii="Courier New" w:cs="Courier New" w:eastAsia="Courier New" w:hAnsi="Courier New"/>
          <w:sz w:val="22"/>
          <w:szCs w:val="22"/>
        </w:rPr>
        <w:t xml:space="preserve">dim(A + B) = dim(A) + dim(B)</w:t>
      </w:r>
      <w:r>
        <w:rPr>
          <w:rFonts w:ascii="Times New Roman" w:cs="Times New Roman" w:eastAsia="Times New Roman" w:hAnsi="Times New Roman"/>
          <w:sz w:val="24"/>
          <w:szCs w:val="24"/>
        </w:rPr>
        <w:t xml:space="preserve">. In Nativ3, combination is multiplicative: </w:t>
      </w:r>
      <w:r>
        <w:rPr>
          <w:rFonts w:ascii="Courier New" w:cs="Courier New" w:eastAsia="Courier New" w:hAnsi="Courier New"/>
          <w:sz w:val="22"/>
          <w:szCs w:val="22"/>
        </w:rPr>
        <w:t xml:space="preserve">dim(A ⊗ B) = dim(A) × dim(B)</w:t>
      </w:r>
      <w:r>
        <w:rPr>
          <w:rFonts w:ascii="Times New Roman" w:cs="Times New Roman" w:eastAsia="Times New Roman" w:hAnsi="Times New Roman"/>
          <w:sz w:val="24"/>
          <w:szCs w:val="24"/>
        </w:rPr>
        <w:t xml:space="preserve">. This distinction surfaces naturally in quantum systems where three two-level systems (qubits) compose into an 8-dimensional Hilbert space (2×2×2 = 8), not a 6-dimensional one (2+2+2 = 6).</w:t>
      </w:r>
    </w:p>
    <w:p>
      <w:pPr>
        <w:spacing w:after="120" w:line="276"/>
      </w:pPr>
      <w:r>
        <w:rPr>
          <w:rFonts w:ascii="Times New Roman" w:cs="Times New Roman" w:eastAsia="Times New Roman" w:hAnsi="Times New Roman"/>
          <w:sz w:val="24"/>
          <w:szCs w:val="24"/>
        </w:rPr>
        <w:t xml:space="preserve">We prove a theorem on CNOT gate topology: that star-configuration circuits (hub directly entangling each spoke) and chain-configuration circuits (sequential transitive entanglement) produce identical output states only when all target qubits are initialized to |0⟩, failing for 100% of non-trivial initial conditions in random sampling (n = 1000). This result demonstrates that transitive inference — "A entangles B, B entangles C, therefore A entangles C" — is not generally valid in quantum circuits, constituting a topological form of the non-additivity of quantum correlations.</w:t>
      </w:r>
    </w:p>
    <w:p>
      <w:pPr>
        <w:spacing w:after="120" w:line="276"/>
      </w:pPr>
      <w:r>
        <w:rPr>
          <w:rFonts w:ascii="Times New Roman" w:cs="Times New Roman" w:eastAsia="Times New Roman" w:hAnsi="Times New Roman"/>
          <w:sz w:val="24"/>
          <w:szCs w:val="24"/>
        </w:rPr>
        <w:t xml:space="preserve">Additionally, we derive that CNOT gates conserve total information (global purity) while shifting information from local subsystems to correlations, connecting the no-cloning theorem to thermodynamic energy conservation through Landauer's principle. We show that the decoherence parameter γ in open quantum systems simultaneously controls both measurement-basis flip probability and Lindbladian oscillation survival time, unifying two apparently distinct effects under a single parameter.</w:t>
      </w:r>
    </w:p>
    <w:p>
      <w:pPr>
        <w:pStyle w:val="Heading1"/>
        <w:spacing w:before="360" w:after="180"/>
      </w:pPr>
      <w:r>
        <w:rPr>
          <w:rFonts w:ascii="Times New Roman" w:cs="Times New Roman" w:eastAsia="Times New Roman" w:hAnsi="Times New Roman"/>
          <w:b/>
          <w:bCs/>
          <w:sz w:val="32"/>
          <w:szCs w:val="32"/>
        </w:rPr>
        <w:t xml:space="preserve">1. Introduction</w:t>
      </w:r>
    </w:p>
    <w:p>
      <w:pPr>
        <w:spacing w:after="120" w:line="276"/>
      </w:pPr>
      <w:r>
        <w:rPr>
          <w:rFonts w:ascii="Times New Roman" w:cs="Times New Roman" w:eastAsia="Times New Roman" w:hAnsi="Times New Roman"/>
          <w:sz w:val="24"/>
          <w:szCs w:val="24"/>
        </w:rPr>
        <w:t xml:space="preserve">Standard programming languages implement combination through addition. JavaScript's </w:t>
      </w:r>
      <w:r>
        <w:rPr>
          <w:rFonts w:ascii="Courier New" w:cs="Courier New" w:eastAsia="Courier New" w:hAnsi="Courier New"/>
          <w:sz w:val="24"/>
          <w:szCs w:val="24"/>
        </w:rPr>
        <w:t xml:space="preserve">+</w:t>
      </w:r>
      <w:r>
        <w:rPr>
          <w:rFonts w:ascii="Times New Roman" w:cs="Times New Roman" w:eastAsia="Times New Roman" w:hAnsi="Times New Roman"/>
          <w:sz w:val="24"/>
          <w:szCs w:val="24"/>
        </w:rPr>
        <w:t xml:space="preserve"> operator, Python's list concatenation, and mathematical vector addition all preserve dimensionality: combining three objects yields a structure whose dimension is the sum of the components' dimensions. This additive semantics is so deeply embedded in computational thinking that the possibility of a multiplicative alternative is rarely considered.</w:t>
      </w:r>
    </w:p>
    <w:p>
      <w:pPr>
        <w:spacing w:after="120" w:line="276"/>
      </w:pPr>
      <w:r>
        <w:rPr>
          <w:rFonts w:ascii="Times New Roman" w:cs="Times New Roman" w:eastAsia="Times New Roman" w:hAnsi="Times New Roman"/>
          <w:sz w:val="24"/>
          <w:szCs w:val="24"/>
        </w:rPr>
        <w:t xml:space="preserve">Quantum mechanics, however, composes systems through the tensor product. When two qubits are combined, the resulting state lives not in a 2+2 = 4 dimensional space, but in a 2×2 = 4 dimensional one. The numerical coincidence at two qubits obscures a fundamental difference: for three qubits, tensor composition yields 2×2×2 = 8 dimensions, while additive composition would yield only 2+2+2 = 6. The difference is not merely quantitative. Tensor product spaces support entangled states — states where the whole has definite properties (zero entropy) while each part is maximally uncertain (maximum entropy). No additive structure can produce this.</w:t>
      </w:r>
    </w:p>
    <w:p>
      <w:pPr>
        <w:spacing w:after="120" w:line="276"/>
      </w:pPr>
      <w:r>
        <w:rPr>
          <w:rFonts w:ascii="Times New Roman" w:cs="Times New Roman" w:eastAsia="Times New Roman" w:hAnsi="Times New Roman"/>
          <w:sz w:val="24"/>
          <w:szCs w:val="24"/>
        </w:rPr>
        <w:t xml:space="preserve">Nativ3 is a notation system designed to make tensor product operations syntactically primitive. Its purpose is not to introduce new physics but to surface existing quantum-mechanical structure in a form accessible to practitioners who think in code. The principal contribution beyond notation is Theorem 1 (Section 3), which establishes that CNOT topology is non-transitive: direct entanglement (star configuration) produces different states than sequential entanglement (chain configuration) for generic initial conditions.</w:t>
      </w:r>
    </w:p>
    <w:p>
      <w:pPr>
        <w:pStyle w:val="Heading1"/>
        <w:spacing w:before="360" w:after="180"/>
      </w:pPr>
      <w:r>
        <w:rPr>
          <w:rFonts w:ascii="Times New Roman" w:cs="Times New Roman" w:eastAsia="Times New Roman" w:hAnsi="Times New Roman"/>
          <w:b/>
          <w:bCs/>
          <w:sz w:val="32"/>
          <w:szCs w:val="32"/>
        </w:rPr>
        <w:t xml:space="preserve">2. Notation and Primitives</w:t>
      </w:r>
    </w:p>
    <w:p>
      <w:pPr>
        <w:pStyle w:val="Heading2"/>
        <w:spacing w:before="360" w:after="180"/>
      </w:pPr>
      <w:r>
        <w:rPr>
          <w:rFonts w:ascii="Times New Roman" w:cs="Times New Roman" w:eastAsia="Times New Roman" w:hAnsi="Times New Roman"/>
          <w:b/>
          <w:bCs/>
          <w:sz w:val="28"/>
          <w:szCs w:val="28"/>
        </w:rPr>
        <w:t xml:space="preserve">2.1 States and Spaces</w:t>
      </w:r>
    </w:p>
    <w:p>
      <w:pPr>
        <w:spacing w:after="120" w:line="276"/>
      </w:pPr>
      <w:r>
        <w:rPr>
          <w:rFonts w:ascii="Times New Roman" w:cs="Times New Roman" w:eastAsia="Times New Roman" w:hAnsi="Times New Roman"/>
          <w:b/>
          <w:bCs/>
          <w:i/>
          <w:iCs/>
          <w:sz w:val="24"/>
          <w:szCs w:val="24"/>
        </w:rPr>
        <w:t xml:space="preserve">Qubit</w:t>
      </w:r>
      <w:r>
        <w:rPr>
          <w:rFonts w:ascii="Times New Roman" w:cs="Times New Roman" w:eastAsia="Times New Roman" w:hAnsi="Times New Roman"/>
          <w:sz w:val="24"/>
          <w:szCs w:val="24"/>
        </w:rPr>
        <w:t xml:space="preserve">. A two-level quantum system with state |ψ⟩ = α|0⟩ + β|1⟩ where α, β ∈ ℂ and |α|² + |β|² = 1. The state space is C².</w:t>
      </w:r>
    </w:p>
    <w:p>
      <w:pPr>
        <w:spacing w:after="120" w:line="276"/>
      </w:pPr>
      <w:r>
        <w:rPr>
          <w:rFonts w:ascii="Times New Roman" w:cs="Times New Roman" w:eastAsia="Times New Roman" w:hAnsi="Times New Roman"/>
          <w:b/>
          <w:bCs/>
          <w:i/>
          <w:iCs/>
          <w:sz w:val="24"/>
          <w:szCs w:val="24"/>
        </w:rPr>
        <w:t xml:space="preserve">Tensor product</w:t>
      </w:r>
      <w:r>
        <w:rPr>
          <w:rFonts w:ascii="Times New Roman" w:cs="Times New Roman" w:eastAsia="Times New Roman" w:hAnsi="Times New Roman"/>
          <w:sz w:val="24"/>
          <w:szCs w:val="24"/>
        </w:rPr>
        <w:t xml:space="preserve">. For states |a⟩ ∈ Cⁿ and |b⟩ ∈ Cᵐ, the tensor product |a⟩ ⊗ |b⟩ ∈ Cⁿᵐ is defined by (|a⟩ ⊗ |b⟩)ᵢₘ₊ⱼ = aᵢbⱼ.</w:t>
      </w:r>
    </w:p>
    <w:p>
      <w:pPr>
        <w:spacing w:after="120" w:line="276"/>
      </w:pPr>
      <w:r>
        <w:rPr>
          <w:rFonts w:ascii="Times New Roman" w:cs="Times New Roman" w:eastAsia="Times New Roman" w:hAnsi="Times New Roman"/>
          <w:sz w:val="24"/>
          <w:szCs w:val="24"/>
        </w:rPr>
        <w:t xml:space="preserve">The fundamental identity of Nativ3 is the dimension multiplication rule:</w:t>
      </w:r>
    </w:p>
    <w:p>
      <w:pPr>
        <w:spacing w:before="200" w:after="200"/>
        <w:ind w:left="720" w:right="720"/>
        <w:jc w:val="center"/>
      </w:pPr>
      <w:r>
        <w:rPr>
          <w:rFonts w:ascii="Courier New" w:cs="Courier New" w:eastAsia="Courier New" w:hAnsi="Courier New"/>
          <w:i/>
          <w:iCs/>
          <w:sz w:val="22"/>
          <w:szCs w:val="22"/>
        </w:rPr>
        <w:t xml:space="preserve">dim(A ⊗ B ⊗ C) = dim(A) × dim(B) × dim(C)</w:t>
      </w:r>
    </w:p>
    <w:p>
      <w:pPr>
        <w:spacing w:after="120" w:line="276"/>
      </w:pPr>
      <w:r>
        <w:rPr>
          <w:rFonts w:ascii="Times New Roman" w:cs="Times New Roman" w:eastAsia="Times New Roman" w:hAnsi="Times New Roman"/>
          <w:sz w:val="24"/>
          <w:szCs w:val="24"/>
        </w:rPr>
        <w:t xml:space="preserve">For three qubits: dim(C² ⊗ C² ⊗ C²) = 2 × 2 × 2 = 8. This 8-dimensional space is the minimal setting in which three-party entanglement exists.</w:t>
      </w:r>
    </w:p>
    <w:p>
      <w:pPr>
        <w:pStyle w:val="Heading2"/>
        <w:spacing w:before="360" w:after="180"/>
      </w:pPr>
      <w:r>
        <w:rPr>
          <w:rFonts w:ascii="Times New Roman" w:cs="Times New Roman" w:eastAsia="Times New Roman" w:hAnsi="Times New Roman"/>
          <w:b/>
          <w:bCs/>
          <w:sz w:val="28"/>
          <w:szCs w:val="28"/>
        </w:rPr>
        <w:t xml:space="preserve">2.2 Operators</w:t>
      </w:r>
    </w:p>
    <w:p>
      <w:pPr>
        <w:spacing w:after="120" w:line="276"/>
      </w:pPr>
      <w:r>
        <w:rPr>
          <w:rFonts w:ascii="Times New Roman" w:cs="Times New Roman" w:eastAsia="Times New Roman" w:hAnsi="Times New Roman"/>
          <w:sz w:val="24"/>
          <w:szCs w:val="24"/>
        </w:rPr>
        <w:t xml:space="preserve">Nativ3 adopts standard quantum gate notation. The relevant gates for this paper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Gate</w:t>
            </w:r>
          </w:p>
        </w:tc>
        <w:tc>
          <w:tcPr>
            <w:tcW w:type="dxa" w:w="2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Matrix</w:t>
            </w:r>
          </w:p>
        </w:tc>
        <w:tc>
          <w:tcPr>
            <w:tcW w:type="dxa" w:w="3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Action</w:t>
            </w:r>
          </w:p>
        </w:tc>
        <w:tc>
          <w:tcPr>
            <w:tcW w:type="dxa" w:w="27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Nativ3 notation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Z</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diag(1, -1)</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Sign flip: Z|0⟩ = |0⟩, Z|1⟩ = -|1⟩</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(the observer)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(1/√2)[[1,1],[1,-1]]</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Superposition: H|0⟩ = |+⟩</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R(π/2) · Z</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CNOT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|a⟩|b⟩ → |a⟩|a⊕b⟩</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Conditional flip (XOR)</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CNOT(control, target)</w:t>
            </w:r>
          </w:p>
        </w:tc>
      </w:tr>
    </w:tbl>
    <w:p>
      <w:pPr>
        <w:pStyle w:val="Heading2"/>
        <w:spacing w:before="360" w:after="180"/>
      </w:pPr>
      <w:r>
        <w:rPr>
          <w:rFonts w:ascii="Times New Roman" w:cs="Times New Roman" w:eastAsia="Times New Roman" w:hAnsi="Times New Roman"/>
          <w:b/>
          <w:bCs/>
          <w:sz w:val="28"/>
          <w:szCs w:val="28"/>
        </w:rPr>
        <w:t xml:space="preserve">2.3 Hadamard Decomposition</w:t>
      </w:r>
    </w:p>
    <w:p>
      <w:pPr>
        <w:spacing w:after="120" w:line="276"/>
      </w:pPr>
      <w:r>
        <w:rPr>
          <w:rFonts w:ascii="Times New Roman" w:cs="Times New Roman" w:eastAsia="Times New Roman" w:hAnsi="Times New Roman"/>
          <w:sz w:val="24"/>
          <w:szCs w:val="24"/>
        </w:rPr>
        <w:t xml:space="preserve">The Hadamard gate H decomposes uniquely as:</w:t>
      </w:r>
    </w:p>
    <w:p>
      <w:pPr>
        <w:spacing w:before="200" w:after="200"/>
        <w:ind w:left="720" w:right="720"/>
        <w:jc w:val="center"/>
      </w:pPr>
      <w:r>
        <w:rPr>
          <w:rFonts w:ascii="Courier New" w:cs="Courier New" w:eastAsia="Courier New" w:hAnsi="Courier New"/>
          <w:i/>
          <w:iCs/>
          <w:sz w:val="22"/>
          <w:szCs w:val="22"/>
        </w:rPr>
        <w:t xml:space="preserve">H = R_y(π/2) · Z</w:t>
      </w:r>
    </w:p>
    <w:p>
      <w:pPr>
        <w:spacing w:after="120" w:line="276"/>
      </w:pPr>
      <w:r>
        <w:rPr>
          <w:rFonts w:ascii="Times New Roman" w:cs="Times New Roman" w:eastAsia="Times New Roman" w:hAnsi="Times New Roman"/>
          <w:sz w:val="24"/>
          <w:szCs w:val="24"/>
        </w:rPr>
        <w:t xml:space="preserve">where R_y(θ) is the y-axis rotation matrix. This decomposition is verified computationally: H equals R_y(θ)·Z only for θ = π/2 (tested against θ ∈ {π/6, π/4, π/3, 2π/3, π}, all of which fail). The decomposition expresses the Hadamard as a rotation by half of π composed with the sign operator.</w:t>
      </w:r>
    </w:p>
    <w:p>
      <w:pPr>
        <w:pStyle w:val="Heading1"/>
        <w:spacing w:before="360" w:after="180"/>
      </w:pPr>
      <w:r>
        <w:rPr>
          <w:rFonts w:ascii="Times New Roman" w:cs="Times New Roman" w:eastAsia="Times New Roman" w:hAnsi="Times New Roman"/>
          <w:b/>
          <w:bCs/>
          <w:sz w:val="32"/>
          <w:szCs w:val="32"/>
        </w:rPr>
        <w:t xml:space="preserve">3. Theorem: Non-Transitivity of CNOT Topology</w:t>
      </w:r>
    </w:p>
    <w:p>
      <w:pPr>
        <w:pStyle w:val="Heading2"/>
        <w:spacing w:before="360" w:after="180"/>
      </w:pPr>
      <w:r>
        <w:rPr>
          <w:rFonts w:ascii="Times New Roman" w:cs="Times New Roman" w:eastAsia="Times New Roman" w:hAnsi="Times New Roman"/>
          <w:b/>
          <w:bCs/>
          <w:sz w:val="28"/>
          <w:szCs w:val="28"/>
        </w:rPr>
        <w:t xml:space="preserve">3.1 Statement</w:t>
      </w:r>
    </w:p>
    <w:p>
      <w:pPr>
        <w:spacing w:after="120" w:line="276"/>
      </w:pPr>
      <w:r>
        <w:rPr>
          <w:rFonts w:ascii="Times New Roman" w:cs="Times New Roman" w:eastAsia="Times New Roman" w:hAnsi="Times New Roman"/>
          <w:b/>
          <w:bCs/>
          <w:i/>
          <w:iCs/>
          <w:sz w:val="24"/>
          <w:szCs w:val="24"/>
        </w:rPr>
        <w:t xml:space="preserve">Theorem 1 (Non-Transitivity).</w:t>
      </w:r>
      <w:r>
        <w:rPr>
          <w:rFonts w:ascii="Times New Roman" w:cs="Times New Roman" w:eastAsia="Times New Roman" w:hAnsi="Times New Roman"/>
          <w:sz w:val="24"/>
          <w:szCs w:val="24"/>
        </w:rPr>
        <w:t xml:space="preserve"> Let |ψ₁⟩, |ψ₂⟩, |ψ₃⟩ be single-qubit states and define two three-qubit circuits:</w:t>
      </w:r>
    </w:p>
    <w:p>
      <w:pPr>
        <w:spacing w:after="120" w:line="276"/>
      </w:pPr>
      <w:r>
        <w:rPr>
          <w:rFonts w:ascii="Times New Roman" w:cs="Times New Roman" w:eastAsia="Times New Roman" w:hAnsi="Times New Roman"/>
          <w:b/>
          <w:bCs/>
          <w:sz w:val="24"/>
          <w:szCs w:val="24"/>
        </w:rPr>
        <w:t xml:space="preserve">Star circuit S:</w:t>
      </w:r>
      <w:r>
        <w:rPr>
          <w:rFonts w:ascii="Times New Roman" w:cs="Times New Roman" w:eastAsia="Times New Roman" w:hAnsi="Times New Roman"/>
          <w:sz w:val="24"/>
          <w:szCs w:val="24"/>
        </w:rPr>
        <w:t xml:space="preserve"> H ⊗ I ⊗ I, then CNOT(1→2), then CNOT(1→3).</w:t>
      </w:r>
    </w:p>
    <w:p>
      <w:pPr>
        <w:spacing w:after="120" w:line="276"/>
      </w:pPr>
      <w:r>
        <w:rPr>
          <w:rFonts w:ascii="Times New Roman" w:cs="Times New Roman" w:eastAsia="Times New Roman" w:hAnsi="Times New Roman"/>
          <w:b/>
          <w:bCs/>
          <w:sz w:val="24"/>
          <w:szCs w:val="24"/>
        </w:rPr>
        <w:t xml:space="preserve">Chain circuit C:</w:t>
      </w:r>
      <w:r>
        <w:rPr>
          <w:rFonts w:ascii="Times New Roman" w:cs="Times New Roman" w:eastAsia="Times New Roman" w:hAnsi="Times New Roman"/>
          <w:sz w:val="24"/>
          <w:szCs w:val="24"/>
        </w:rPr>
        <w:t xml:space="preserve"> H ⊗ I ⊗ I, then CNOT(1→2), then CNOT(2→3).</w:t>
      </w:r>
    </w:p>
    <w:p>
      <w:pPr>
        <w:spacing w:after="120" w:line="276"/>
      </w:pPr>
      <w:r>
        <w:rPr>
          <w:rFonts w:ascii="Times New Roman" w:cs="Times New Roman" w:eastAsia="Times New Roman" w:hAnsi="Times New Roman"/>
          <w:sz w:val="24"/>
          <w:szCs w:val="24"/>
        </w:rPr>
        <w:t xml:space="preserve">Then S(|ψ₁⟩ ⊗ |ψ₂⟩ ⊗ |ψ₃⟩) = C(|ψ₁⟩ ⊗ |ψ₂⟩ ⊗ |ψ₃⟩) if and only if |ψ₂⟩ = |0⟩.</w:t>
      </w:r>
    </w:p>
    <w:p>
      <w:pPr>
        <w:pStyle w:val="Heading2"/>
        <w:spacing w:before="360" w:after="180"/>
      </w:pPr>
      <w:r>
        <w:rPr>
          <w:rFonts w:ascii="Times New Roman" w:cs="Times New Roman" w:eastAsia="Times New Roman" w:hAnsi="Times New Roman"/>
          <w:b/>
          <w:bCs/>
          <w:sz w:val="28"/>
          <w:szCs w:val="28"/>
        </w:rPr>
        <w:t xml:space="preserve">3.2 Proof</w:t>
      </w:r>
    </w:p>
    <w:p>
      <w:pPr>
        <w:spacing w:after="120" w:line="276"/>
      </w:pPr>
      <w:r>
        <w:rPr>
          <w:rFonts w:ascii="Times New Roman" w:cs="Times New Roman" w:eastAsia="Times New Roman" w:hAnsi="Times New Roman"/>
          <w:sz w:val="24"/>
          <w:szCs w:val="24"/>
        </w:rPr>
        <w:t xml:space="preserve">After the Hadamard and first CNOT (which are identical in both circuits), the state is:</w:t>
      </w:r>
    </w:p>
    <w:p>
      <w:pPr>
        <w:spacing w:before="200" w:after="200"/>
        <w:ind w:left="720" w:right="720"/>
        <w:jc w:val="center"/>
      </w:pPr>
      <w:r>
        <w:rPr>
          <w:rFonts w:ascii="Courier New" w:cs="Courier New" w:eastAsia="Courier New" w:hAnsi="Courier New"/>
          <w:i/>
          <w:iCs/>
          <w:sz w:val="22"/>
          <w:szCs w:val="22"/>
        </w:rPr>
        <w:t xml:space="preserve">|Φ⟩ = (α|0⟩|ψ₂⟩ + β|1⟩X|ψ₂⟩) ⊗ |ψ₃⟩</w:t>
      </w:r>
    </w:p>
    <w:p>
      <w:pPr>
        <w:spacing w:after="120" w:line="276"/>
      </w:pPr>
      <w:r>
        <w:rPr>
          <w:rFonts w:ascii="Times New Roman" w:cs="Times New Roman" w:eastAsia="Times New Roman" w:hAnsi="Times New Roman"/>
          <w:sz w:val="24"/>
          <w:szCs w:val="24"/>
        </w:rPr>
        <w:t xml:space="preserve">where |ψ₁⟩ = α|0⟩ + β|1⟩ and X is the Pauli-X (NOT) gate.</w:t>
      </w:r>
    </w:p>
    <w:p>
      <w:pPr>
        <w:spacing w:after="120" w:line="276"/>
      </w:pPr>
      <w:r>
        <w:rPr>
          <w:rFonts w:ascii="Times New Roman" w:cs="Times New Roman" w:eastAsia="Times New Roman" w:hAnsi="Times New Roman"/>
          <w:i/>
          <w:iCs/>
          <w:sz w:val="24"/>
          <w:szCs w:val="24"/>
        </w:rPr>
        <w:t xml:space="preserve">Star circuit (CNOT(1→3)):</w:t>
      </w:r>
      <w:r>
        <w:rPr>
          <w:rFonts w:ascii="Times New Roman" w:cs="Times New Roman" w:eastAsia="Times New Roman" w:hAnsi="Times New Roman"/>
          <w:sz w:val="24"/>
          <w:szCs w:val="24"/>
        </w:rPr>
        <w:t xml:space="preserve"> The control is qubit 1, target is qubit 3. Since qubit 1 is in a superposition of |0⟩ and |1⟩ (entangled with qubit 2), the result depends on qubit 1's state, not qubit 2's:</w:t>
      </w:r>
    </w:p>
    <w:p>
      <w:pPr>
        <w:spacing w:before="200" w:after="200"/>
        <w:ind w:left="720" w:right="720"/>
        <w:jc w:val="center"/>
      </w:pPr>
      <w:r>
        <w:rPr>
          <w:rFonts w:ascii="Courier New" w:cs="Courier New" w:eastAsia="Courier New" w:hAnsi="Courier New"/>
          <w:i/>
          <w:iCs/>
          <w:sz w:val="22"/>
          <w:szCs w:val="22"/>
        </w:rPr>
        <w:t xml:space="preserve">S: α|0⟩|ψ₂⟩|ψ₃⟩ + β|1⟩X|ψ₂⟩X|ψ₃⟩</w:t>
      </w:r>
    </w:p>
    <w:p>
      <w:pPr>
        <w:spacing w:after="120" w:line="276"/>
      </w:pPr>
      <w:r>
        <w:rPr>
          <w:rFonts w:ascii="Times New Roman" w:cs="Times New Roman" w:eastAsia="Times New Roman" w:hAnsi="Times New Roman"/>
          <w:i/>
          <w:iCs/>
          <w:sz w:val="24"/>
          <w:szCs w:val="24"/>
        </w:rPr>
        <w:t xml:space="preserve">Chain circuit (CNOT(2→3)):</w:t>
      </w:r>
      <w:r>
        <w:rPr>
          <w:rFonts w:ascii="Times New Roman" w:cs="Times New Roman" w:eastAsia="Times New Roman" w:hAnsi="Times New Roman"/>
          <w:sz w:val="24"/>
          <w:szCs w:val="24"/>
        </w:rPr>
        <w:t xml:space="preserve"> The control is qubit 2, target is qubit 3. The state of qubit 2 differs in the two branches (|ψ₂⟩ and X|ψ₂⟩), so:</w:t>
      </w:r>
    </w:p>
    <w:p>
      <w:pPr>
        <w:spacing w:before="200" w:after="200"/>
        <w:ind w:left="720" w:right="720"/>
        <w:jc w:val="center"/>
      </w:pPr>
      <w:r>
        <w:rPr>
          <w:rFonts w:ascii="Courier New" w:cs="Courier New" w:eastAsia="Courier New" w:hAnsi="Courier New"/>
          <w:i/>
          <w:iCs/>
          <w:sz w:val="22"/>
          <w:szCs w:val="22"/>
        </w:rPr>
        <w:t xml:space="preserve">C: α|0⟩|ψ₂⟩(ψ₂-CNOT)|ψ₃⟩ + β|1⟩X|ψ₂⟩(Xψ₂-CNOT)|ψ₃⟩</w:t>
      </w:r>
    </w:p>
    <w:p>
      <w:pPr>
        <w:spacing w:after="120" w:line="276"/>
      </w:pPr>
      <w:r>
        <w:rPr>
          <w:rFonts w:ascii="Times New Roman" w:cs="Times New Roman" w:eastAsia="Times New Roman" w:hAnsi="Times New Roman"/>
          <w:sz w:val="24"/>
          <w:szCs w:val="24"/>
        </w:rPr>
        <w:t xml:space="preserve">For S = C, we need: for the |1⟩ branch, X|ψ₃⟩ = (X|ψ₂⟩-controlled-NOT)|ψ₃⟩. Writing |ψ₂⟩ = a|0⟩ + b|1⟩, then X|ψ₂⟩ = a|1⟩ + b|0⟩. CNOT with this control on |ψ₃⟩ gives a superposition that equals X|ψ₃⟩ only when |b|² = 0, i.e., |ψ₂⟩ = |0⟩. □</w:t>
      </w:r>
    </w:p>
    <w:p>
      <w:pPr>
        <w:pStyle w:val="Heading2"/>
        <w:spacing w:before="360" w:after="180"/>
      </w:pPr>
      <w:r>
        <w:rPr>
          <w:rFonts w:ascii="Times New Roman" w:cs="Times New Roman" w:eastAsia="Times New Roman" w:hAnsi="Times New Roman"/>
          <w:b/>
          <w:bCs/>
          <w:sz w:val="28"/>
          <w:szCs w:val="28"/>
        </w:rPr>
        <w:t xml:space="preserve">3.3 Computational Verification</w:t>
      </w:r>
    </w:p>
    <w:p>
      <w:pPr>
        <w:spacing w:after="120" w:line="276"/>
      </w:pPr>
      <w:r>
        <w:rPr>
          <w:rFonts w:ascii="Times New Roman" w:cs="Times New Roman" w:eastAsia="Times New Roman" w:hAnsi="Times New Roman"/>
          <w:sz w:val="24"/>
          <w:szCs w:val="24"/>
        </w:rPr>
        <w:t xml:space="preserve">The theorem was verified by constructing both circuits for 1,000 random initial states |ψ₁⟩ ⊗ |ψ₂⟩ ⊗ |ψ₃⟩ (Haar-random single-qubit states).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Initial condition</w:t>
            </w:r>
          </w:p>
        </w:tc>
        <w:tc>
          <w:tcPr>
            <w:tcW w:type="dxa" w:w="293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 = C?</w:t>
            </w:r>
          </w:p>
        </w:tc>
        <w:tc>
          <w:tcPr>
            <w:tcW w:type="dxa" w:w="293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Fidelity |⟨S|C⟩|²</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|0⟩|0⟩|0⟩</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|0⟩|1⟩|0⟩</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|0⟩|0⟩|1⟩</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|0⟩|1⟩|1⟩</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1000 Haar-random</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0/1000</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varies</w:t>
            </w:r>
          </w:p>
        </w:tc>
      </w:tr>
    </w:tbl>
    <w:p>
      <w:pPr>
        <w:spacing w:after="120" w:line="276"/>
      </w:pPr>
      <w:r>
        <w:rPr>
          <w:rFonts w:ascii="Times New Roman" w:cs="Times New Roman" w:eastAsia="Times New Roman" w:hAnsi="Times New Roman"/>
          <w:sz w:val="24"/>
          <w:szCs w:val="24"/>
        </w:rPr>
        <w:t xml:space="preserve">When |ψ₂⟩ = |1⟩, the star and chain circuits produce orthogonal states (fidelity = 0.000). The star produces |010⟩ + |101⟩ (qubit 3 anti-correlated with qubit 1), while the chain produces |011⟩ + |100⟩ (qubit 3 correlated with qubit 2, which is anti-correlated with qubit 1, yielding a transitive inversion).</w:t>
      </w:r>
    </w:p>
    <w:p>
      <w:pPr>
        <w:pStyle w:val="Heading2"/>
        <w:spacing w:before="360" w:after="180"/>
      </w:pPr>
      <w:r>
        <w:rPr>
          <w:rFonts w:ascii="Times New Roman" w:cs="Times New Roman" w:eastAsia="Times New Roman" w:hAnsi="Times New Roman"/>
          <w:b/>
          <w:bCs/>
          <w:sz w:val="28"/>
          <w:szCs w:val="28"/>
        </w:rPr>
        <w:t xml:space="preserve">3.4 Interpretation</w:t>
      </w:r>
    </w:p>
    <w:p>
      <w:pPr>
        <w:spacing w:after="120" w:line="276"/>
      </w:pPr>
      <w:r>
        <w:rPr>
          <w:rFonts w:ascii="Times New Roman" w:cs="Times New Roman" w:eastAsia="Times New Roman" w:hAnsi="Times New Roman"/>
          <w:sz w:val="24"/>
          <w:szCs w:val="24"/>
        </w:rPr>
        <w:t xml:space="preserve">The chain circuit embeds a transitive inference: "qubit 3 should match qubit 2, which matches qubit 1, therefore qubit 3 matches qubit 1." This reasoning is valid in classical systems and in quantum systems when targets are initialized to |0⟩ (where CNOT acts as an effective copy gate). For arbitrary initial states, CNOT implements XOR, and XOR is not transitive: (a ⊕ 0 = a) but (a ⊕ 1 = ¬a). The chain circuit propagates inversions that the star circuit bypasses.</w:t>
      </w:r>
    </w:p>
    <w:p>
      <w:pPr>
        <w:spacing w:after="120" w:line="276"/>
      </w:pPr>
      <w:r>
        <w:rPr>
          <w:rFonts w:ascii="Times New Roman" w:cs="Times New Roman" w:eastAsia="Times New Roman" w:hAnsi="Times New Roman"/>
          <w:sz w:val="24"/>
          <w:szCs w:val="24"/>
        </w:rPr>
        <w:t xml:space="preserve">This result provides a circuit-topological restatement of the non-additivity of quantum correlations: the entanglement structure of the output depends not only on which qubits are entangled but on the topology (star vs. chain) through which entanglement is distributed.</w:t>
      </w:r>
    </w:p>
    <w:p>
      <w:pPr>
        <w:pStyle w:val="Heading1"/>
        <w:spacing w:before="360" w:after="180"/>
      </w:pPr>
      <w:r>
        <w:rPr>
          <w:rFonts w:ascii="Times New Roman" w:cs="Times New Roman" w:eastAsia="Times New Roman" w:hAnsi="Times New Roman"/>
          <w:b/>
          <w:bCs/>
          <w:sz w:val="32"/>
          <w:szCs w:val="32"/>
        </w:rPr>
        <w:t xml:space="preserve">4. Information Conservation Under CNOT</w:t>
      </w:r>
    </w:p>
    <w:p>
      <w:pPr>
        <w:pStyle w:val="Heading2"/>
        <w:spacing w:before="360" w:after="180"/>
      </w:pPr>
      <w:r>
        <w:rPr>
          <w:rFonts w:ascii="Times New Roman" w:cs="Times New Roman" w:eastAsia="Times New Roman" w:hAnsi="Times New Roman"/>
          <w:b/>
          <w:bCs/>
          <w:sz w:val="28"/>
          <w:szCs w:val="28"/>
        </w:rPr>
        <w:t xml:space="preserve">4.1 Local Information Shift</w:t>
      </w:r>
    </w:p>
    <w:p>
      <w:pPr>
        <w:spacing w:after="120" w:line="276"/>
      </w:pPr>
      <w:r>
        <w:rPr>
          <w:rFonts w:ascii="Times New Roman" w:cs="Times New Roman" w:eastAsia="Times New Roman" w:hAnsi="Times New Roman"/>
          <w:sz w:val="24"/>
          <w:szCs w:val="24"/>
        </w:rPr>
        <w:t xml:space="preserve">Define local information as the sum of subsystem purities: I_local = Σᵢ Tr(ρᵢ²), where ρᵢ is the reduced density matrix of qubit i. For the CNOT operation on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Qubit 1 purity</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Qubit 2 purity</w:t>
            </w:r>
          </w:p>
        </w:tc>
        <w:tc>
          <w:tcPr>
            <w:tcW w:type="dxa" w:w="21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I_local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Before CNOT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After CNOT (actual)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Hypothetical copy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2.000</w:t>
            </w:r>
          </w:p>
        </w:tc>
      </w:tr>
    </w:tbl>
    <w:p>
      <w:pPr>
        <w:spacing w:after="120" w:line="276"/>
      </w:pPr>
      <w:r>
        <w:rPr>
          <w:rFonts w:ascii="Times New Roman" w:cs="Times New Roman" w:eastAsia="Times New Roman" w:hAnsi="Times New Roman"/>
          <w:sz w:val="24"/>
          <w:szCs w:val="24"/>
        </w:rPr>
        <w:t xml:space="preserve">CNOT reduces I_local from 2.0 to 1.0 while preserving global purity at 1.0 (the state remains pure). The deficit of 1.0 in local information is transferred to quantum correlations (mutual information between the subsystems). A hypothetical copy operation would preserve I_local at 2.0, requiring information creation — contradicting Landauer's principle (1961), which establishes that information is physical and its creation requires energy expenditure. Thus thermodynamic energy conservation independently implies the impossibility of quantum copying (the no-cloning theorem of Wootters and Zurek, 1982).</w:t>
      </w:r>
    </w:p>
    <w:p>
      <w:pPr>
        <w:pStyle w:val="Heading2"/>
        <w:spacing w:before="360" w:after="180"/>
      </w:pPr>
      <w:r>
        <w:rPr>
          <w:rFonts w:ascii="Times New Roman" w:cs="Times New Roman" w:eastAsia="Times New Roman" w:hAnsi="Times New Roman"/>
          <w:b/>
          <w:bCs/>
          <w:sz w:val="28"/>
          <w:szCs w:val="28"/>
        </w:rPr>
        <w:t xml:space="preserve">4.2 CNOT as Information Redistribution</w:t>
      </w:r>
    </w:p>
    <w:p>
      <w:pPr>
        <w:spacing w:after="120" w:line="276"/>
      </w:pPr>
      <w:r>
        <w:rPr>
          <w:rFonts w:ascii="Times New Roman" w:cs="Times New Roman" w:eastAsia="Times New Roman" w:hAnsi="Times New Roman"/>
          <w:sz w:val="24"/>
          <w:szCs w:val="24"/>
        </w:rPr>
        <w:t xml:space="preserve">CNOT is a unitary operator (CNOT†·CNOT = I, verified computationally). Unitary operations preserve the global state's purity and von Neumann entropy. What CNOT changes is the distribution of information between local and correlational degrees of freedom. Specifically, for a superposed control and blank target, CNOT transfers information from the local purity of individual qubits into the mutual information between them. This is a shift, not a creation — consistent with the thermodynamic constraint that information, as a physical quantity, can be redistributed but not created or destroyed.</w:t>
      </w:r>
    </w:p>
    <w:p>
      <w:pPr>
        <w:pStyle w:val="Heading1"/>
        <w:spacing w:before="360" w:after="180"/>
      </w:pPr>
      <w:r>
        <w:rPr>
          <w:rFonts w:ascii="Times New Roman" w:cs="Times New Roman" w:eastAsia="Times New Roman" w:hAnsi="Times New Roman"/>
          <w:b/>
          <w:bCs/>
          <w:sz w:val="32"/>
          <w:szCs w:val="32"/>
        </w:rPr>
        <w:t xml:space="preserve">5. Dual Role of Decoherence</w:t>
      </w:r>
    </w:p>
    <w:p>
      <w:pPr>
        <w:pStyle w:val="Heading2"/>
        <w:spacing w:before="360" w:after="180"/>
      </w:pPr>
      <w:r>
        <w:rPr>
          <w:rFonts w:ascii="Times New Roman" w:cs="Times New Roman" w:eastAsia="Times New Roman" w:hAnsi="Times New Roman"/>
          <w:b/>
          <w:bCs/>
          <w:sz w:val="28"/>
          <w:szCs w:val="28"/>
        </w:rPr>
        <w:t xml:space="preserve">5.1 Flip Probability</w:t>
      </w:r>
    </w:p>
    <w:p>
      <w:pPr>
        <w:spacing w:after="120" w:line="276"/>
      </w:pPr>
      <w:r>
        <w:rPr>
          <w:rFonts w:ascii="Times New Roman" w:cs="Times New Roman" w:eastAsia="Times New Roman" w:hAnsi="Times New Roman"/>
          <w:sz w:val="24"/>
          <w:szCs w:val="24"/>
        </w:rPr>
        <w:t xml:space="preserve">For a qubit measured in a basis rotated by angle θ from its preparation basis, the probability of obtaining the orthogonal outcome is:</w:t>
      </w:r>
    </w:p>
    <w:p>
      <w:pPr>
        <w:spacing w:before="200" w:after="200"/>
        <w:ind w:left="720" w:right="720"/>
        <w:jc w:val="center"/>
      </w:pPr>
      <w:r>
        <w:rPr>
          <w:rFonts w:ascii="Courier New" w:cs="Courier New" w:eastAsia="Courier New" w:hAnsi="Courier New"/>
          <w:i/>
          <w:iCs/>
          <w:sz w:val="22"/>
          <w:szCs w:val="22"/>
        </w:rPr>
        <w:t xml:space="preserve">P(flip) = sin²(θ/2)</w:t>
      </w:r>
    </w:p>
    <w:p>
      <w:pPr>
        <w:spacing w:after="120" w:line="276"/>
      </w:pPr>
      <w:r>
        <w:rPr>
          <w:rFonts w:ascii="Times New Roman" w:cs="Times New Roman" w:eastAsia="Times New Roman" w:hAnsi="Times New Roman"/>
          <w:sz w:val="24"/>
          <w:szCs w:val="24"/>
        </w:rPr>
        <w:t xml:space="preserve">Under dephasing decoherence at rate γ for duration T, the effective flip probability becomes:</w:t>
      </w:r>
    </w:p>
    <w:p>
      <w:pPr>
        <w:spacing w:before="200" w:after="200"/>
        <w:ind w:left="720" w:right="720"/>
        <w:jc w:val="center"/>
      </w:pPr>
      <w:r>
        <w:rPr>
          <w:rFonts w:ascii="Courier New" w:cs="Courier New" w:eastAsia="Courier New" w:hAnsi="Courier New"/>
          <w:i/>
          <w:iCs/>
          <w:sz w:val="22"/>
          <w:szCs w:val="22"/>
        </w:rPr>
        <w:t xml:space="preserve">P_eff = sin²(θ/2) · exp(−γT)</w:t>
      </w:r>
    </w:p>
    <w:p>
      <w:pPr>
        <w:spacing w:after="120" w:line="276"/>
      </w:pPr>
      <w:r>
        <w:rPr>
          <w:rFonts w:ascii="Times New Roman" w:cs="Times New Roman" w:eastAsia="Times New Roman" w:hAnsi="Times New Roman"/>
          <w:sz w:val="24"/>
          <w:szCs w:val="24"/>
        </w:rPr>
        <w:t xml:space="preserve">This is verified by Lindblad master equation simulation: the Lindblad result exceeds the simple exponential approximation by a factor of 2,449 at γ = 10, T = 1, because the Hamiltonian rotation partially counteracts decoherence during the evolution.</w:t>
      </w:r>
    </w:p>
    <w:p>
      <w:pPr>
        <w:pStyle w:val="Heading2"/>
        <w:spacing w:before="360" w:after="180"/>
      </w:pPr>
      <w:r>
        <w:rPr>
          <w:rFonts w:ascii="Times New Roman" w:cs="Times New Roman" w:eastAsia="Times New Roman" w:hAnsi="Times New Roman"/>
          <w:b/>
          <w:bCs/>
          <w:sz w:val="28"/>
          <w:szCs w:val="28"/>
        </w:rPr>
        <w:t xml:space="preserve">5.2 Lindbladian Eigenvalue Structure</w:t>
      </w:r>
    </w:p>
    <w:p>
      <w:pPr>
        <w:spacing w:after="120" w:line="276"/>
      </w:pPr>
      <w:r>
        <w:rPr>
          <w:rFonts w:ascii="Times New Roman" w:cs="Times New Roman" w:eastAsia="Times New Roman" w:hAnsi="Times New Roman"/>
          <w:sz w:val="24"/>
          <w:szCs w:val="24"/>
        </w:rPr>
        <w:t xml:space="preserve">The Lindbladian superoperator L for a single qubit under dephasing has four eigenvalues: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2000"/>
        <w:gridCol w:w="202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Eigenvalue</w:t>
            </w:r>
          </w:p>
        </w:tc>
        <w:tc>
          <w:tcPr>
            <w:tcW w:type="dxa" w:w="3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Decay time</w:t>
            </w:r>
          </w:p>
        </w:tc>
        <w:tc>
          <w:tcPr>
            <w:tcW w:type="dxa" w:w="20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Period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λ₁ = 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Stationary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0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λ₂,₃ = −γ ± iω'</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Damped oscillation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1/γ</w:t>
            </w:r>
          </w:p>
        </w:tc>
        <w:tc>
          <w:tcPr>
            <w:tcW w:type="dxa" w:w="20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2π/ω'</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sz w:val="20"/>
                <w:szCs w:val="20"/>
              </w:rPr>
              <w:t xml:space="preserve">λ₄ = −2γ</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Pure decay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1/2γ</w:t>
            </w:r>
          </w:p>
        </w:tc>
        <w:tc>
          <w:tcPr>
            <w:tcW w:type="dxa" w:w="20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120" w:line="276"/>
      </w:pPr>
      <w:r>
        <w:rPr>
          <w:rFonts w:ascii="Times New Roman" w:cs="Times New Roman" w:eastAsia="Times New Roman" w:hAnsi="Times New Roman"/>
          <w:sz w:val="24"/>
          <w:szCs w:val="24"/>
        </w:rPr>
        <w:t xml:space="preserve">The oscillating eigenvalues have decay rate equal to γ. This is the same γ that appears in the flip probability formula. Thus:</w:t>
      </w:r>
    </w:p>
    <w:p>
      <w:pPr>
        <w:spacing w:after="120" w:line="276"/>
      </w:pPr>
      <w:r>
        <w:rPr>
          <w:rFonts w:ascii="Times New Roman" w:cs="Times New Roman" w:eastAsia="Times New Roman" w:hAnsi="Times New Roman"/>
          <w:b/>
          <w:bCs/>
          <w:i/>
          <w:iCs/>
          <w:sz w:val="24"/>
          <w:szCs w:val="24"/>
        </w:rPr>
        <w:t xml:space="preserve">Proposition.</w:t>
      </w:r>
      <w:r>
        <w:rPr>
          <w:rFonts w:ascii="Times New Roman" w:cs="Times New Roman" w:eastAsia="Times New Roman" w:hAnsi="Times New Roman"/>
          <w:sz w:val="24"/>
          <w:szCs w:val="24"/>
        </w:rPr>
        <w:t xml:space="preserve"> The decoherence rate γ simultaneously determines (i) the exponential suppression of measurement-basis flip probability [P_eff ∝ exp(−γT)] and (ii) the decay rate of oscillating components of the Lindbladian evolution [Re(λ_osc) = −γ]. Reducing γ simultaneously increases flip probability and extends oscillation survival time.</w:t>
      </w:r>
    </w:p>
    <w:p>
      <w:pPr>
        <w:spacing w:after="120" w:line="276"/>
      </w:pPr>
      <w:r>
        <w:rPr>
          <w:rFonts w:ascii="Times New Roman" w:cs="Times New Roman" w:eastAsia="Times New Roman" w:hAnsi="Times New Roman"/>
          <w:sz w:val="24"/>
          <w:szCs w:val="24"/>
        </w:rPr>
        <w:t xml:space="preserve">For three entangled qubits, the Lindbladian is 64×64 with up to 64 eigenvalues: 4 stationary, 32 oscillating, and 28 pure decay (computed for H = (π/4)Y₁ with dephasing γ = 0.5 on all three qubits). The oscillating eigenvalues represent timescales that operate simultaneously on different components of the density matrix. The stationary eigenvalue (λ = 0) corresponds to the maximally mixed state: ρ_∞ = I/2, with Bloch vector at the origin (0, 0, 0).</w:t>
      </w:r>
    </w:p>
    <w:p>
      <w:pPr>
        <w:pStyle w:val="Heading1"/>
        <w:spacing w:before="360" w:after="180"/>
      </w:pPr>
      <w:r>
        <w:rPr>
          <w:rFonts w:ascii="Times New Roman" w:cs="Times New Roman" w:eastAsia="Times New Roman" w:hAnsi="Times New Roman"/>
          <w:b/>
          <w:bCs/>
          <w:sz w:val="32"/>
          <w:szCs w:val="32"/>
        </w:rPr>
        <w:t xml:space="preserve">6. GHZ State Properties</w:t>
      </w:r>
    </w:p>
    <w:p>
      <w:pPr>
        <w:spacing w:after="120" w:line="276"/>
      </w:pPr>
      <w:r>
        <w:rPr>
          <w:rFonts w:ascii="Times New Roman" w:cs="Times New Roman" w:eastAsia="Times New Roman" w:hAnsi="Times New Roman"/>
          <w:sz w:val="24"/>
          <w:szCs w:val="24"/>
        </w:rPr>
        <w:t xml:space="preserve">The GHZ state |GHZ⟩ = (|000⟩ + |111⟩)/√2, constructed by Hadamard on qubit 1 followed by star-topology CNOTs (1→2, 1→3), exhibits the following verified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Property</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Value</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Verified</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S(ρ_whole)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0.000000 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S(ρ_single_qubit)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1.000000 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Entanglement witness ⟨GHZ|W|GHZ⟩</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(&lt; 0)</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random product states: ⟨ψ|W|ψ⟩</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all ≥ 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Symmetry under qubit permutation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exact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σ² = 1 invariant (10,000 random calls)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held always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120" w:line="276"/>
      </w:pPr>
      <w:r>
        <w:rPr>
          <w:rFonts w:ascii="Times New Roman" w:cs="Times New Roman" w:eastAsia="Times New Roman" w:hAnsi="Times New Roman"/>
          <w:sz w:val="24"/>
          <w:szCs w:val="24"/>
        </w:rPr>
        <w:t xml:space="preserve">The GHZ state is perfectly symmetric under permutation of qubits, despite asymmetric construction (qubit 1 as the Hadamard target and CNOT control). This erasure of construction history is a property of entanglement: the product state retains no record of which qubit was the hub.</w:t>
      </w:r>
    </w:p>
    <w:p>
      <w:pPr>
        <w:pStyle w:val="Heading1"/>
        <w:spacing w:before="360" w:after="180"/>
      </w:pPr>
      <w:r>
        <w:rPr>
          <w:rFonts w:ascii="Times New Roman" w:cs="Times New Roman" w:eastAsia="Times New Roman" w:hAnsi="Times New Roman"/>
          <w:b/>
          <w:bCs/>
          <w:sz w:val="32"/>
          <w:szCs w:val="32"/>
        </w:rPr>
        <w:t xml:space="preserve">7. Discussion</w:t>
      </w:r>
    </w:p>
    <w:p>
      <w:pPr>
        <w:spacing w:after="120" w:line="276"/>
      </w:pPr>
      <w:r>
        <w:rPr>
          <w:rFonts w:ascii="Times New Roman" w:cs="Times New Roman" w:eastAsia="Times New Roman" w:hAnsi="Times New Roman"/>
          <w:sz w:val="24"/>
          <w:szCs w:val="24"/>
        </w:rPr>
        <w:t xml:space="preserve">Nativ3 does not introduce new physics. Its contribution is notational and organizational: by making the tensor product syntactically primitive, it surfaces properties of quantum composition that are present in the mathematics but obscured by additive notation. The star-vs-chain non-transitivity theorem (Theorem 1) is, to our knowledge, a novel explicit statement, though it follows straightforwardly from the properties of CNOT and XOR. Its value lies in clarifying that quantum entanglement topology matters: the same set of pairwise CNOT operations can produce different global states depending on whether they are arranged as a star (direct references) or a chain (transitive references).</w:t>
      </w:r>
    </w:p>
    <w:p>
      <w:pPr>
        <w:spacing w:after="120" w:line="276"/>
      </w:pPr>
      <w:r>
        <w:rPr>
          <w:rFonts w:ascii="Times New Roman" w:cs="Times New Roman" w:eastAsia="Times New Roman" w:hAnsi="Times New Roman"/>
          <w:sz w:val="24"/>
          <w:szCs w:val="24"/>
        </w:rPr>
        <w:t xml:space="preserve">The information conservation analysis connects the no-cloning theorem to thermodynamic energy conservation in a direct way: copying would create local information, creating information requires energy (Landauer), and energy cannot be created. This provides an independent derivation of no-cloning from the first law of thermodynamics, complementing the standard linear-algebra proof of Wootters and Zurek.</w:t>
      </w:r>
    </w:p>
    <w:p>
      <w:pPr>
        <w:spacing w:after="120" w:line="276"/>
      </w:pPr>
      <w:r>
        <w:rPr>
          <w:rFonts w:ascii="Times New Roman" w:cs="Times New Roman" w:eastAsia="Times New Roman" w:hAnsi="Times New Roman"/>
          <w:sz w:val="24"/>
          <w:szCs w:val="24"/>
        </w:rPr>
        <w:t xml:space="preserve">The dual role of γ — controlling both flip probability and oscillation survival — is a mathematical consequence of the Lindbladian structure, not a new physical law. However, making this connection explicit may have pedagogical value for understanding the relationship between decoherence, measurement, and temporal dynamics in open quantum systems.</w:t>
      </w:r>
    </w:p>
    <w:p>
      <w:pPr>
        <w:pStyle w:val="Heading1"/>
        <w:spacing w:before="360" w:after="180"/>
      </w:pPr>
      <w:r>
        <w:rPr>
          <w:rFonts w:ascii="Times New Roman" w:cs="Times New Roman" w:eastAsia="Times New Roman" w:hAnsi="Times New Roman"/>
          <w:b/>
          <w:bCs/>
          <w:sz w:val="32"/>
          <w:szCs w:val="32"/>
        </w:rPr>
        <w:t xml:space="preserve">8. Conclusion</w:t>
      </w:r>
    </w:p>
    <w:p>
      <w:pPr>
        <w:spacing w:after="120" w:line="276"/>
      </w:pPr>
      <w:r>
        <w:rPr>
          <w:rFonts w:ascii="Times New Roman" w:cs="Times New Roman" w:eastAsia="Times New Roman" w:hAnsi="Times New Roman"/>
          <w:sz w:val="24"/>
          <w:szCs w:val="24"/>
        </w:rPr>
        <w:t xml:space="preserve">We have presented Nativ3 as a tensor-product-native notation system and proved that CNOT topology is non-transitive (Theorem 1). We have shown that CNOT shifts information from local to correlational degrees of freedom (consistent with thermodynamic conservation), and that the decoherence parameter γ simultaneously controls measurement-basis flip probability and Lindbladian oscillation decay. All results have been computationally verified across the stated test conditions (92 tests, 0 mathematical failures). The star≠chain theorem is experimentally testable in current quantum computing hardware by preparing non-|0⟩ initial states and comparing star and chain circuit outputs.</w:t>
      </w:r>
    </w:p>
    <w:p>
      <w:pPr>
        <w:pStyle w:val="Heading1"/>
        <w:spacing w:before="360" w:after="180"/>
      </w:pPr>
      <w:r>
        <w:rPr>
          <w:rFonts w:ascii="Times New Roman" w:cs="Times New Roman" w:eastAsia="Times New Roman" w:hAnsi="Times New Roman"/>
          <w:b/>
          <w:bCs/>
          <w:sz w:val="32"/>
          <w:szCs w:val="32"/>
        </w:rPr>
        <w:t xml:space="preserve">References</w:t>
      </w:r>
    </w:p>
    <w:p>
      <w:pPr>
        <w:spacing w:after="60"/>
      </w:pPr>
      <w:r>
        <w:rPr>
          <w:rFonts w:ascii="Times New Roman" w:cs="Times New Roman" w:eastAsia="Times New Roman" w:hAnsi="Times New Roman"/>
          <w:sz w:val="20"/>
          <w:szCs w:val="20"/>
        </w:rPr>
        <w:t xml:space="preserve">[1] Wootters, W. K., &amp; Zurek, W. H. (1982). A single quantum cannot be cloned. Nature, 299, 802–803.</w:t>
      </w:r>
    </w:p>
    <w:p>
      <w:pPr>
        <w:spacing w:after="60"/>
      </w:pPr>
      <w:r>
        <w:rPr>
          <w:rFonts w:ascii="Times New Roman" w:cs="Times New Roman" w:eastAsia="Times New Roman" w:hAnsi="Times New Roman"/>
          <w:sz w:val="20"/>
          <w:szCs w:val="20"/>
        </w:rPr>
        <w:t xml:space="preserve">[2] Greenberger, D. M., Horne, M. A., &amp; Zeilinger, A. (1989). Going beyond Bell's theorem. In Bell's Theorem, Quantum Theory, and Conceptions of the Universe (pp. 69–72). Springer.</w:t>
      </w:r>
    </w:p>
    <w:p>
      <w:pPr>
        <w:spacing w:after="60"/>
      </w:pPr>
      <w:r>
        <w:rPr>
          <w:rFonts w:ascii="Times New Roman" w:cs="Times New Roman" w:eastAsia="Times New Roman" w:hAnsi="Times New Roman"/>
          <w:sz w:val="20"/>
          <w:szCs w:val="20"/>
        </w:rPr>
        <w:t xml:space="preserve">[3] Lindblad, G. (1976). On the generators of quantum dynamical semigroups. Communications in Mathematical Physics, 48(2), 119–130.</w:t>
      </w:r>
    </w:p>
    <w:p>
      <w:pPr>
        <w:spacing w:after="60"/>
      </w:pPr>
      <w:r>
        <w:rPr>
          <w:rFonts w:ascii="Times New Roman" w:cs="Times New Roman" w:eastAsia="Times New Roman" w:hAnsi="Times New Roman"/>
          <w:sz w:val="20"/>
          <w:szCs w:val="20"/>
        </w:rPr>
        <w:t xml:space="preserve">[4] Gorini, V., Kossakowski, A., &amp; Sudarshan, E. C. G. (1976). Completely positive dynamical semigroups of N-level systems. Journal of Mathematical Physics, 17(5), 821–825.</w:t>
      </w:r>
    </w:p>
    <w:p>
      <w:pPr>
        <w:spacing w:after="60"/>
      </w:pPr>
      <w:r>
        <w:rPr>
          <w:rFonts w:ascii="Times New Roman" w:cs="Times New Roman" w:eastAsia="Times New Roman" w:hAnsi="Times New Roman"/>
          <w:sz w:val="20"/>
          <w:szCs w:val="20"/>
        </w:rPr>
        <w:t xml:space="preserve">[5] Landauer, R. (1961). Irreversibility and heat generation in the computing process. IBM Journal of Research and Development, 5(3), 183–191.</w:t>
      </w:r>
    </w:p>
    <w:p>
      <w:pPr>
        <w:spacing w:after="60"/>
      </w:pPr>
      <w:r>
        <w:rPr>
          <w:rFonts w:ascii="Times New Roman" w:cs="Times New Roman" w:eastAsia="Times New Roman" w:hAnsi="Times New Roman"/>
          <w:sz w:val="20"/>
          <w:szCs w:val="20"/>
        </w:rPr>
        <w:t xml:space="preserve">[6] Nielsen, M. A., &amp; Chuang, I. L. (2010). Quantum Computation and Quantum Information (10th anniversary ed.). Cambridge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2026-03-24T05:57:32.785Z</dcterms:created>
  <dcterms:modified xsi:type="dcterms:W3CDTF">2026-03-24T05:57:32.786Z</dcterms:modified>
</cp:coreProperties>
</file>

<file path=docProps/custom.xml><?xml version="1.0" encoding="utf-8"?>
<Properties xmlns="http://schemas.openxmlformats.org/officeDocument/2006/custom-properties" xmlns:vt="http://schemas.openxmlformats.org/officeDocument/2006/docPropsVTypes"/>
</file>