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66" w:rsidRDefault="00196166">
      <w:pPr>
        <w:rPr>
          <w:b/>
        </w:rPr>
      </w:pPr>
      <w:r>
        <w:rPr>
          <w:b/>
        </w:rPr>
        <w:t>Identification of RNA editing events in RNA-Seq data</w:t>
      </w:r>
    </w:p>
    <w:p w:rsidR="0014563D" w:rsidRPr="0014563D" w:rsidRDefault="001B12DF" w:rsidP="00387D30">
      <w:pPr>
        <w:jc w:val="both"/>
      </w:pPr>
      <w:r>
        <w:t xml:space="preserve">We aligned the paired-end RNA-Seq reads to </w:t>
      </w:r>
      <w:r w:rsidR="00C83546">
        <w:t>human (hg19)</w:t>
      </w:r>
      <w:r w:rsidR="00846D2A">
        <w:t xml:space="preserve"> or </w:t>
      </w:r>
      <w:r w:rsidR="00C83546">
        <w:t>mouse (mm10</w:t>
      </w:r>
      <w:r w:rsidR="00846D2A">
        <w:t xml:space="preserve">) genome </w:t>
      </w:r>
      <w:r>
        <w:t>using STAR aligner</w:t>
      </w:r>
      <w:r w:rsidR="00867EB6">
        <w:t xml:space="preserve"> </w:t>
      </w:r>
      <w:r w:rsidR="00867EB6">
        <w:fldChar w:fldCharType="begin" w:fldLock="1"/>
      </w:r>
      <w:r w:rsidR="00CC416D">
        <w:instrText>ADDIN CSL_CITATION {"citationItems":[{"id":"ITEM-1","itemData":{"DOI":"10.1093/bioinformatics/bts635","ISSN":"1367-4811","PMID":"23104886","abstract":"MOTIVATION: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biases.\n\nRESULTS: To align our large (&gt;80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strategy.\n\nAVAILABILITY AND IMPLEMENTATION: STAR is implemented as a standalone C++ code. STAR is free open source software distributed under GPLv3 license and can be downloaded from http://code.google.com/p/rna-star/.","author":[{"dropping-particle":"","family":"Dobin","given":"Alexander","non-dropping-particle":"","parse-names":false,"suffix":""},{"dropping-particle":"","family":"Davis","given":"Carrie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 (Oxford, England)","id":"ITEM-1","issue":"1","issued":{"date-parts":[["2013","1","1"]]},"page":"15-21","title":"STAR: ultrafast universal RNA-seq aligner.","type":"article-journal","volume":"29"},"uris":["http://www.mendeley.com/documents/?uuid=72ab11b5-c6ca-44fd-ab4d-6bf6d4365676"]}],"mendeley":{"formattedCitation":"(Dobin et al., 2013)","plainTextFormattedCitation":"(Dobin et al., 2013)","previouslyFormattedCitation":"(Dobin et al., 2013)"},"properties":{"noteIndex":0},"schema":"https://github.com/citation-style-language/schema/raw/master/csl-citation.json"}</w:instrText>
      </w:r>
      <w:r w:rsidR="00867EB6">
        <w:fldChar w:fldCharType="separate"/>
      </w:r>
      <w:r w:rsidR="00867EB6" w:rsidRPr="00867EB6">
        <w:rPr>
          <w:noProof/>
        </w:rPr>
        <w:t>(Dobin et al., 2013)</w:t>
      </w:r>
      <w:r w:rsidR="00867EB6">
        <w:fldChar w:fldCharType="end"/>
      </w:r>
      <w:r>
        <w:t xml:space="preserve">. </w:t>
      </w:r>
      <w:r w:rsidR="0014563D" w:rsidRPr="0014563D">
        <w:t>We</w:t>
      </w:r>
      <w:r w:rsidR="0014563D">
        <w:t xml:space="preserve"> </w:t>
      </w:r>
      <w:r w:rsidR="00EA710E">
        <w:t xml:space="preserve">then </w:t>
      </w:r>
      <w:r w:rsidR="0014563D">
        <w:t>followed the GATK</w:t>
      </w:r>
      <w:r w:rsidR="00CC416D">
        <w:t xml:space="preserve"> </w:t>
      </w:r>
      <w:r w:rsidR="00CC416D">
        <w:fldChar w:fldCharType="begin" w:fldLock="1"/>
      </w:r>
      <w:r w:rsidR="00CC416D">
        <w:instrText>ADDIN CSL_CITATION {"citationItems":[{"id":"ITEM-1","itemData":{"DOI":"10.1002/0471250953.bi1110s43","author":[{"dropping-particle":"","family":"Auwera","given":"Geraldine A.","non-dropping-particle":"Van der","parse-names":false,"suffix":""},{"dropping-particle":"","family":"Carneiro","given":"Mauricio O.","non-dropping-particle":"","parse-names":false,"suffix":""},{"dropping-particle":"","family":"Hartl","given":"Christopher","non-dropping-particle":"","parse-names":false,"suffix":""},{"dropping-particle":"","family":"Poplin","given":"Ryan","non-dropping-particle":"","parse-names":false,"suffix":""},{"dropping-particle":"","family":"Angel","given":"Guillermo","non-dropping-particle":"del","parse-names":false,"suffix":""},{"dropping-particle":"","family":"Levy-Moonshine","given":"Ami","non-dropping-particle":"","parse-names":false,"suffix":""},{"dropping-particle":"","family":"Jordan","given":"Tadeusz","non-dropping-particle":"","parse-names":false,"suffix":""},{"dropping-particle":"","family":"Shakir","given":"Khalid","non-dropping-particle":"","parse-names":false,"suffix":""},{"dropping-particle":"","family":"Roazen","given":"David","non-dropping-particle":"","parse-names":false,"suffix":""},{"dropping-particle":"","family":"Thibault","given":"Joel","non-dropping-particle":"","parse-names":false,"suffix":""},{"dropping-particle":"","family":"Banks","given":"Eric","non-dropping-particle":"","parse-names":false,"suffix":""},{"dropping-particle":"V.","family":"Garimella","given":"Kiran","non-dropping-particle":"","parse-names":false,"suffix":""},{"dropping-particle":"","family":"Altshuler","given":"David","non-dropping-particle":"","parse-names":false,"suffix":""},{"dropping-particle":"","family":"Gabriel","given":"Stacey","non-dropping-particle":"","parse-names":false,"suffix":""},{"dropping-particle":"","family":"DePristo","given":"Mark A.","non-dropping-particle":"","parse-names":false,"suffix":""}],"container-title":"Current Protocols in Bioinformatics","id":"ITEM-1","issued":{"date-parts":[["2013","10","15"]]},"page":"11.10.1-11.10.33","publisher":"John Wiley &amp; Sons, Inc.","publisher-place":"Hoboken, NJ, USA","title":"From FastQ Data to High-Confidence Variant Calls: The Genome Analysis Toolkit Best Practices Pipeline","type":"chapter"},"uris":["http://www.mendeley.com/documents/?uuid=e96548d3-7b64-4a36-85f5-1eb1e7565f22"]}],"mendeley":{"formattedCitation":"(Van der Auwera et al., 2013)","plainTextFormattedCitation":"(Van der Auwera et al., 2013)"},"properties":{"noteIndex":0},"schema":"https://github.com/citation-style-language/schema/raw/master/csl-citation.json"}</w:instrText>
      </w:r>
      <w:r w:rsidR="00CC416D">
        <w:fldChar w:fldCharType="separate"/>
      </w:r>
      <w:r w:rsidR="00CC416D" w:rsidRPr="00CC416D">
        <w:rPr>
          <w:noProof/>
        </w:rPr>
        <w:t>(Van der Auwera et al., 2013)</w:t>
      </w:r>
      <w:r w:rsidR="00CC416D">
        <w:fldChar w:fldCharType="end"/>
      </w:r>
      <w:r w:rsidR="0014563D">
        <w:t xml:space="preserve"> workflow for calling variants in RNA-Seq (</w:t>
      </w:r>
      <w:hyperlink r:id="rId5" w:history="1">
        <w:r w:rsidR="0014563D" w:rsidRPr="00FD170F">
          <w:rPr>
            <w:rStyle w:val="Hyperlink"/>
          </w:rPr>
          <w:t>https://software.broadinstitute.org/gatk/documentation/article?id=3891</w:t>
        </w:r>
      </w:hyperlink>
      <w:r w:rsidR="0014563D">
        <w:t>)</w:t>
      </w:r>
      <w:r w:rsidR="00B478F6">
        <w:t xml:space="preserve"> to identify</w:t>
      </w:r>
      <w:r w:rsidR="00B53A76">
        <w:t xml:space="preserve"> all</w:t>
      </w:r>
      <w:r w:rsidR="00B478F6">
        <w:t xml:space="preserve"> the mutations </w:t>
      </w:r>
      <w:r w:rsidR="00B53A76">
        <w:t>in each RNA-Seq library</w:t>
      </w:r>
      <w:r w:rsidR="0014563D">
        <w:t>.</w:t>
      </w:r>
      <w:r w:rsidR="00E465C0">
        <w:t xml:space="preserve"> </w:t>
      </w:r>
      <w:r w:rsidR="00BA671D">
        <w:t>We then restricted to the mutations within annotated mRNA transcripts</w:t>
      </w:r>
      <w:r w:rsidR="00AB2501">
        <w:t>, as well as restricting to A-to-G</w:t>
      </w:r>
      <w:r w:rsidR="00E272FD">
        <w:t xml:space="preserve"> </w:t>
      </w:r>
      <w:r w:rsidR="00A70AEB">
        <w:t xml:space="preserve">mutations </w:t>
      </w:r>
      <w:r w:rsidR="00FB2A9E">
        <w:t>in transcripts encoded</w:t>
      </w:r>
      <w:r w:rsidR="0090461B">
        <w:t xml:space="preserve"> by</w:t>
      </w:r>
      <w:r w:rsidR="00E272FD">
        <w:t xml:space="preserve"> </w:t>
      </w:r>
      <w:r w:rsidR="00531FB3">
        <w:t xml:space="preserve">the </w:t>
      </w:r>
      <w:r w:rsidR="00E272FD">
        <w:t>forward strand</w:t>
      </w:r>
      <w:r w:rsidR="00AB2501">
        <w:t xml:space="preserve"> and T-to-C mutations </w:t>
      </w:r>
      <w:r w:rsidR="00FB2A9E">
        <w:t>i</w:t>
      </w:r>
      <w:r w:rsidR="00AB2501">
        <w:t xml:space="preserve">n </w:t>
      </w:r>
      <w:r w:rsidR="00FB2A9E">
        <w:t xml:space="preserve">transcripts encoded </w:t>
      </w:r>
      <w:r w:rsidR="0090461B">
        <w:t xml:space="preserve">by </w:t>
      </w:r>
      <w:r w:rsidR="00531FB3">
        <w:t xml:space="preserve">the </w:t>
      </w:r>
      <w:r w:rsidR="00AB2501">
        <w:t>reverse strand</w:t>
      </w:r>
      <w:r w:rsidR="00BA671D">
        <w:t>.</w:t>
      </w:r>
      <w:r w:rsidR="0014563D">
        <w:t xml:space="preserve"> </w:t>
      </w:r>
      <w:r w:rsidR="00BA671D">
        <w:t>We also filtered mutations found in the dbSNP database since they are most likely DNA-level mutations.</w:t>
      </w:r>
      <w:r w:rsidR="00944A04">
        <w:t xml:space="preserve"> After that, we combined the </w:t>
      </w:r>
      <w:r w:rsidR="005D6F61">
        <w:t xml:space="preserve">filtered </w:t>
      </w:r>
      <w:r w:rsidR="00944A04">
        <w:t xml:space="preserve">sets of </w:t>
      </w:r>
      <w:r w:rsidR="005D6F61">
        <w:t>RNA editing events</w:t>
      </w:r>
      <w:r w:rsidR="00944A04">
        <w:t xml:space="preserve"> from all RNA-Seq libraries</w:t>
      </w:r>
      <w:r w:rsidR="00D454AE">
        <w:t xml:space="preserve"> of the same experiment</w:t>
      </w:r>
      <w:r w:rsidR="00944A04">
        <w:t xml:space="preserve">, and </w:t>
      </w:r>
      <w:r w:rsidR="008A7535">
        <w:t xml:space="preserve">counted the number of reads containing </w:t>
      </w:r>
      <w:r w:rsidR="00993C19">
        <w:t>reference (A/T) and alternative (G/C)</w:t>
      </w:r>
      <w:r w:rsidR="008A7535">
        <w:t xml:space="preserve"> alleles </w:t>
      </w:r>
      <w:r w:rsidR="006A63DF">
        <w:t xml:space="preserve">from each library </w:t>
      </w:r>
      <w:bookmarkStart w:id="0" w:name="_GoBack"/>
      <w:bookmarkEnd w:id="0"/>
      <w:r w:rsidR="008A7535">
        <w:t>at each site.</w:t>
      </w:r>
    </w:p>
    <w:p w:rsidR="00C50B46" w:rsidRPr="00C50B46" w:rsidRDefault="00C50B46">
      <w:pPr>
        <w:rPr>
          <w:b/>
        </w:rPr>
      </w:pPr>
      <w:r w:rsidRPr="00C50B46">
        <w:rPr>
          <w:b/>
        </w:rPr>
        <w:t>Statistical test for difference in editing frequencies between conditions</w:t>
      </w:r>
    </w:p>
    <w:p w:rsidR="00F104E2" w:rsidRDefault="005D7193" w:rsidP="00072AFD">
      <w:pPr>
        <w:jc w:val="both"/>
      </w:pPr>
      <w:r>
        <w:t>We used beta-binomial distribution to model the RNA editing frequencies</w:t>
      </w:r>
      <w:r w:rsidR="00A90BC7">
        <w:t xml:space="preserve">, which has also previously been applied to </w:t>
      </w:r>
      <w:r w:rsidR="00031B85">
        <w:t>modeling</w:t>
      </w:r>
      <w:r w:rsidR="002525C5">
        <w:t xml:space="preserve"> allele frequencies</w:t>
      </w:r>
      <w:r w:rsidR="00031B85">
        <w:t xml:space="preserve"> </w:t>
      </w:r>
      <w:r w:rsidR="002525C5">
        <w:t>in RNA-Seq reads</w:t>
      </w:r>
      <w:r w:rsidR="00295C99">
        <w:t xml:space="preserve"> </w:t>
      </w:r>
      <w:r w:rsidR="00295C99">
        <w:fldChar w:fldCharType="begin" w:fldLock="1"/>
      </w:r>
      <w:r w:rsidR="00867EB6">
        <w:instrText>ADDIN CSL_CITATION {"citationItems":[{"id":"ITEM-1","itemData":{"DOI":"10.1038/s41467-017-01658-2","ISBN":"4146701701658","ISSN":"2041-1723","PMID":"29146998","abstract":"Determining the mechanisms by which a species adapts to its environment is a key endeavor in the study of evolution. In particular, relatively little is known about how transcriptional processes are fine-tuned to adjust to different environmental conditions. Here we study Drosophila melanogaster from 'Evolution Canyon' in Israel, which consists of two opposing slopes with divergent microclimates. We identify several hundred differentially expressed genes and dozens of differentially edited sites between flies from each slope, correlate these changes with genetic differences, and use CRISPR mutagenesis to validate that an intronic SNP in prominin regulates its editing levels. We also demonstrate that while temperature affects editing levels at more sites than genetic differences, genetically regulated sites tend to be less affected by temperature. This work shows the extent to which gene expression and RNA editing differ between flies from different microclimates, and provides insights into the regulation responsible for these differences.","author":[{"dropping-particle":"","family":"Yablonovitch","given":"Arielle L","non-dropping-particle":"","parse-names":false,"suffix":""},{"dropping-particle":"","family":"Fu","given":"Jeremy","non-dropping-particle":"","parse-names":false,"suffix":""},{"dropping-particle":"","family":"Li","given":"Kexin","non-dropping-particle":"","parse-names":false,"suffix":""},{"dropping-particle":"","family":"Mahato","given":"Simpla","non-dropping-particle":"","parse-names":false,"suffix":""},{"dropping-particle":"","family":"Kang","given":"Lin","non-dropping-particle":"","parse-names":false,"suffix":""},{"dropping-particle":"","family":"Rashkovetsky","given":"Eugenia","non-dropping-particle":"","parse-names":false,"suffix":""},{"dropping-particle":"","family":"Korol","given":"Abraham B","non-dropping-particle":"","parse-names":false,"suffix":""},{"dropping-particle":"","family":"Tang","given":"Hua","non-dropping-particle":"","parse-names":false,"suffix":""},{"dropping-particle":"","family":"Michalak","given":"Pawel","non-dropping-particle":"","parse-names":false,"suffix":""},{"dropping-particle":"","family":"Zelhof","given":"Andrew C","non-dropping-particle":"","parse-names":false,"suffix":""},{"dropping-particle":"","family":"Nevo","given":"Eviatar","non-dropping-particle":"","parse-names":false,"suffix":""},{"dropping-particle":"","family":"Li","given":"Jin Billy","non-dropping-particle":"","parse-names":false,"suffix":""}],"container-title":"Nature communications","id":"ITEM-1","issue":"1","issued":{"date-parts":[["2017","11","17"]]},"page":"1570","publisher":"Springer US","title":"Regulation of gene expression and RNA editing in Drosophila adapting to divergent microclimates.","type":"article-journal","volume":"8"},"uris":["http://www.mendeley.com/documents/?uuid=494c7aa1-19e7-4146-a66d-5b75bf1f5081"]},{"id":"ITEM-2","itemData":{"DOI":"10.1038/ng.3609","ISBN":"1546-1718 (Electronic) 1061-4036 (Linking)","ISSN":"1546-1718","PMID":"27376237","abstract":"Although mice are the most widely used mammalian model organism, genetic studies have suffered from limited mapping resolution due to extensive linkage disequilibrium (LD) that is characteristic of crosses among inbred strains. Carworth Farms White (CFW) mice are a commercially available outbred mouse population that exhibit rapid LD decay in comparison to other available mouse populations. We performed a genome-wide association study (GWAS) of behavioral, physiological and gene expression phenotypes using 1,200 male CFW mice. We used genotyping by sequencing (GBS) to obtain genotypes at 92,734 SNPs. We also measured gene expression using RNA sequencing in three brain regions. Our study identified numerous behavioral, physiological and expression quantitative trait loci (QTLs). We integrated the behavioral QTL and eQTL results to implicate specific genes, including Azi2 in sensitivity to methamphetamine and Zmynd11 in anxiety-like behavior. The combination of CFW mice, GBS and RNA sequencing constitutes a powerful approach to GWAS in mice.","author":[{"dropping-particle":"","family":"Parker","given":"Clarissa C.","non-dropping-particle":"","parse-names":false,"suffix":""},{"dropping-particle":"","family":"Gopalakrishnan","given":"Shyam","non-dropping-particle":"","parse-names":false,"suffix":""},{"dropping-particle":"","family":"Carbonetto","given":"Peter","non-dropping-particle":"","parse-names":false,"suffix":""},{"dropping-particle":"","family":"Gonzales","given":"Natalia M.","non-dropping-particle":"","parse-names":false,"suffix":""},{"dropping-particle":"","family":"Leung","given":"Emily","non-dropping-particle":"","parse-names":false,"suffix":""},{"dropping-particle":"","family":"Park","given":"Yeonhee J.","non-dropping-particle":"","parse-names":false,"suffix":""},{"dropping-particle":"","family":"Aryee","given":"Emmanuel","non-dropping-particle":"","parse-names":false,"suffix":""},{"dropping-particle":"","family":"Davis","given":"Joe","non-dropping-particle":"","parse-names":false,"suffix":""},{"dropping-particle":"","family":"Blizard","given":"David A.","non-dropping-particle":"","parse-names":false,"suffix":""},{"dropping-particle":"","family":"Ackert-Bicknell","given":"Cheryl L.","non-dropping-particle":"","parse-names":false,"suffix":""},{"dropping-particle":"","family":"Lionikas","given":"Arimantas","non-dropping-particle":"","parse-names":false,"suffix":""},{"dropping-particle":"","family":"Pritchard","given":"Jonathan K.","non-dropping-particle":"","parse-names":false,"suffix":""},{"dropping-particle":"","family":"Palmer","given":"Abraham A.","non-dropping-particle":"","parse-names":false,"suffix":""}],"container-title":"Nature genetics","id":"ITEM-2","issue":"8","issued":{"date-parts":[["2016"]]},"page":"919-26","title":"Genome-wide association study of behavioral, physiological and gene expression traits in outbred CFW mice.","type":"article-journal","volume":"48"},"uris":["http://www.mendeley.com/documents/?uuid=8ab79bab-5d35-4657-8101-ca7f848aba51"]}],"mendeley":{"formattedCitation":"(Parker et al., 2016; Yablonovitch et al., 2017)","plainTextFormattedCitation":"(Parker et al., 2016; Yablonovitch et al., 2017)","previouslyFormattedCitation":"(Parker et al., 2016; Yablonovitch et al., 2017)"},"properties":{"noteIndex":0},"schema":"https://github.com/citation-style-language/schema/raw/master/csl-citation.json"}</w:instrText>
      </w:r>
      <w:r w:rsidR="00295C99">
        <w:fldChar w:fldCharType="separate"/>
      </w:r>
      <w:r w:rsidR="00295C99" w:rsidRPr="00295C99">
        <w:rPr>
          <w:noProof/>
        </w:rPr>
        <w:t>(Parker et al., 2016; Yablonovitch et al., 2017)</w:t>
      </w:r>
      <w:r w:rsidR="00295C99">
        <w:fldChar w:fldCharType="end"/>
      </w:r>
      <w:r>
        <w:t xml:space="preserve">. </w:t>
      </w:r>
      <w:r w:rsidR="00C3540D">
        <w:t>T</w:t>
      </w:r>
      <w:r w:rsidR="00C3540D" w:rsidRPr="00C3540D">
        <w:t xml:space="preserve">he beta-binomial distribution is </w:t>
      </w:r>
      <w:r w:rsidR="00A1494F">
        <w:t>the</w:t>
      </w:r>
      <w:r w:rsidR="000F2E9E">
        <w:t xml:space="preserve"> binomial distribution where</w:t>
      </w:r>
      <w:r w:rsidR="00C3540D" w:rsidRPr="00C3540D">
        <w:t xml:space="preserve"> the probability of success at each trial is not fixed</w:t>
      </w:r>
      <w:r w:rsidR="007175BE">
        <w:t>,</w:t>
      </w:r>
      <w:r w:rsidR="00C3540D" w:rsidRPr="00C3540D">
        <w:t xml:space="preserve"> but </w:t>
      </w:r>
      <w:r w:rsidR="007175BE">
        <w:t>instead</w:t>
      </w:r>
      <w:r w:rsidR="00C3540D" w:rsidRPr="00C3540D">
        <w:t xml:space="preserve"> </w:t>
      </w:r>
      <w:r w:rsidR="00B70013">
        <w:t>drawn from</w:t>
      </w:r>
      <w:r w:rsidR="00C3540D" w:rsidRPr="00C3540D">
        <w:t xml:space="preserve"> the beta distribution. </w:t>
      </w:r>
      <w:r w:rsidR="00F477B0">
        <w:t xml:space="preserve">The </w:t>
      </w:r>
      <w:r w:rsidR="00B72486">
        <w:t xml:space="preserve">probability functions of </w:t>
      </w:r>
      <w:r w:rsidR="00B85273">
        <w:t xml:space="preserve">binomial distribution and </w:t>
      </w:r>
      <w:r w:rsidR="00471007">
        <w:t>beta</w:t>
      </w:r>
      <w:r w:rsidR="00336469">
        <w:t xml:space="preserve"> distribution </w:t>
      </w:r>
      <w:r w:rsidR="00B72486">
        <w:t>are</w:t>
      </w:r>
      <w:r w:rsidR="00F477B0">
        <w:t>:</w:t>
      </w:r>
    </w:p>
    <w:p w:rsidR="004E3A6E" w:rsidRDefault="004E3A6E" w:rsidP="00072AFD">
      <w:pPr>
        <w:jc w:val="both"/>
      </w:pPr>
      <m:oMathPara>
        <m:oMath>
          <m:r>
            <w:rPr>
              <w:rFonts w:ascii="Cambria Math" w:hAnsi="Cambria Math"/>
            </w:rPr>
            <m:t>P</m:t>
          </m:r>
          <m:d>
            <m:dPr>
              <m:ctrlPr>
                <w:rPr>
                  <w:rFonts w:ascii="Cambria Math" w:hAnsi="Cambria Math"/>
                  <w:i/>
                </w:rPr>
              </m:ctrlPr>
            </m:dPr>
            <m:e>
              <m:r>
                <w:rPr>
                  <w:rFonts w:ascii="Cambria Math" w:hAnsi="Cambria Math"/>
                </w:rPr>
                <m:t>k|n,p</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p w:rsidR="00197160" w:rsidRPr="005245DE" w:rsidRDefault="00197160" w:rsidP="00072AFD">
      <w:pPr>
        <w:jc w:val="both"/>
      </w:pPr>
      <m:oMathPara>
        <m:oMath>
          <m:r>
            <w:rPr>
              <w:rFonts w:ascii="Cambria Math" w:hAnsi="Cambria Math"/>
            </w:rPr>
            <m:t>π</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r>
                    <w:rPr>
                      <w:rFonts w:ascii="Cambria Math" w:hAnsi="Cambria Math"/>
                    </w:rPr>
                    <m:t>(1-p)</m:t>
                  </m:r>
                </m:e>
                <m:sup>
                  <m:r>
                    <w:rPr>
                      <w:rFonts w:ascii="Cambria Math" w:hAnsi="Cambria Math"/>
                    </w:rPr>
                    <m:t>β-1</m:t>
                  </m:r>
                </m:sup>
              </m:sSup>
            </m:num>
            <m:den>
              <m:r>
                <w:rPr>
                  <w:rFonts w:ascii="Cambria Math" w:hAnsi="Cambria Math"/>
                </w:rPr>
                <m:t>B(α,β)</m:t>
              </m:r>
            </m:den>
          </m:f>
        </m:oMath>
      </m:oMathPara>
    </w:p>
    <w:p w:rsidR="00FE40DC" w:rsidRDefault="00760BB1" w:rsidP="00072AFD">
      <w:pPr>
        <w:jc w:val="both"/>
      </w:pPr>
      <w:r>
        <w:t>So the probability density function of</w:t>
      </w:r>
      <w:r w:rsidR="00FE40DC">
        <w:t xml:space="preserve"> the compound distribution</w:t>
      </w:r>
      <w:r>
        <w:t>, beta-binomial distribution,</w:t>
      </w:r>
      <w:r w:rsidR="00FE40DC">
        <w:t xml:space="preserve"> can be represented as</w:t>
      </w:r>
      <w:r w:rsidR="00C01C06">
        <w:t>:</w:t>
      </w:r>
    </w:p>
    <w:p w:rsidR="00DC42B3" w:rsidRPr="00DC42B3" w:rsidRDefault="00C01C06" w:rsidP="00072AFD">
      <w:pPr>
        <w:jc w:val="both"/>
      </w:pPr>
      <m:oMathPara>
        <m:oMath>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n,α,β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n,p</m:t>
                  </m:r>
                </m:e>
              </m:d>
            </m:e>
          </m:nary>
          <m:r>
            <w:rPr>
              <w:rFonts w:ascii="Cambria Math" w:hAnsi="Cambria Math"/>
            </w:rPr>
            <m:t>π</m:t>
          </m:r>
          <m:d>
            <m:dPr>
              <m:ctrlPr>
                <w:rPr>
                  <w:rFonts w:ascii="Cambria Math" w:hAnsi="Cambria Math"/>
                  <w:i/>
                </w:rPr>
              </m:ctrlPr>
            </m:dPr>
            <m:e>
              <m:r>
                <w:rPr>
                  <w:rFonts w:ascii="Cambria Math" w:hAnsi="Cambria Math"/>
                </w:rPr>
                <m:t>p</m:t>
              </m:r>
            </m:e>
            <m:e>
              <m:r>
                <w:rPr>
                  <w:rFonts w:ascii="Cambria Math" w:hAnsi="Cambria Math"/>
                </w:rPr>
                <m:t>α,β</m:t>
              </m:r>
            </m:e>
          </m:d>
          <m:box>
            <m:boxPr>
              <m:diff m:val="1"/>
              <m:ctrlPr>
                <w:rPr>
                  <w:rFonts w:ascii="Cambria Math" w:hAnsi="Cambria Math"/>
                  <w:i/>
                </w:rPr>
              </m:ctrlPr>
            </m:boxPr>
            <m:e>
              <m:r>
                <w:rPr>
                  <w:rFonts w:ascii="Cambria Math" w:hAnsi="Cambria Math"/>
                </w:rPr>
                <m:t>dp</m:t>
              </m:r>
            </m:e>
          </m:box>
        </m:oMath>
      </m:oMathPara>
    </w:p>
    <w:p w:rsidR="00DC42B3" w:rsidRPr="00DC42B3" w:rsidRDefault="00DC42B3" w:rsidP="00072AFD">
      <w:pPr>
        <w:jc w:val="both"/>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β-1</m:t>
                      </m:r>
                    </m:sup>
                  </m:sSup>
                </m:num>
                <m:den>
                  <m:r>
                    <w:rPr>
                      <w:rFonts w:ascii="Cambria Math" w:hAnsi="Cambria Math"/>
                    </w:rPr>
                    <m:t>B</m:t>
                  </m:r>
                  <m:d>
                    <m:dPr>
                      <m:ctrlPr>
                        <w:rPr>
                          <w:rFonts w:ascii="Cambria Math" w:hAnsi="Cambria Math"/>
                          <w:i/>
                        </w:rPr>
                      </m:ctrlPr>
                    </m:dPr>
                    <m:e>
                      <m:r>
                        <w:rPr>
                          <w:rFonts w:ascii="Cambria Math" w:hAnsi="Cambria Math"/>
                        </w:rPr>
                        <m:t>α,β</m:t>
                      </m:r>
                    </m:e>
                  </m:d>
                </m:den>
              </m:f>
              <m:r>
                <w:rPr>
                  <w:rFonts w:ascii="Cambria Math" w:hAnsi="Cambria Math"/>
                </w:rPr>
                <m:t>dp</m:t>
              </m:r>
            </m:e>
          </m:nary>
        </m:oMath>
      </m:oMathPara>
    </w:p>
    <w:p w:rsidR="00C01C06" w:rsidRPr="00DC42B3" w:rsidRDefault="00DC42B3" w:rsidP="00072AFD">
      <w:pPr>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num>
            <m:den>
              <m:r>
                <w:rPr>
                  <w:rFonts w:ascii="Cambria Math" w:hAnsi="Cambria Math"/>
                </w:rPr>
                <m:t>B</m:t>
              </m:r>
              <m:d>
                <m:dPr>
                  <m:ctrlPr>
                    <w:rPr>
                      <w:rFonts w:ascii="Cambria Math" w:hAnsi="Cambria Math"/>
                      <w:i/>
                    </w:rPr>
                  </m:ctrlPr>
                </m:dPr>
                <m:e>
                  <m:r>
                    <w:rPr>
                      <w:rFonts w:ascii="Cambria Math" w:hAnsi="Cambria Math"/>
                    </w:rPr>
                    <m:t>α,β</m:t>
                  </m:r>
                </m:e>
              </m:d>
            </m:den>
          </m:f>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p</m:t>
                  </m:r>
                </m:e>
                <m:sup>
                  <m:r>
                    <w:rPr>
                      <w:rFonts w:ascii="Cambria Math" w:hAnsi="Cambria Math"/>
                    </w:rPr>
                    <m:t>k+α-1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n+β-k-1</m:t>
                  </m:r>
                </m:sup>
              </m:sSup>
              <m:r>
                <w:rPr>
                  <w:rFonts w:ascii="Cambria Math" w:hAnsi="Cambria Math"/>
                </w:rPr>
                <m:t>dp</m:t>
              </m:r>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f>
            <m:fPr>
              <m:ctrlPr>
                <w:rPr>
                  <w:rFonts w:ascii="Cambria Math" w:hAnsi="Cambria Math"/>
                  <w:i/>
                </w:rPr>
              </m:ctrlPr>
            </m:fPr>
            <m:num>
              <m:r>
                <w:rPr>
                  <w:rFonts w:ascii="Cambria Math" w:hAnsi="Cambria Math"/>
                </w:rPr>
                <m:t>B(k+α,n+β-k)</m:t>
              </m:r>
            </m:num>
            <m:den>
              <m:r>
                <w:rPr>
                  <w:rFonts w:ascii="Cambria Math" w:hAnsi="Cambria Math"/>
                </w:rPr>
                <m:t>B(α,β)</m:t>
              </m:r>
            </m:den>
          </m:f>
        </m:oMath>
      </m:oMathPara>
    </w:p>
    <w:p w:rsidR="00CD4D35" w:rsidRDefault="00CD4D35" w:rsidP="00072AFD">
      <w:pPr>
        <w:jc w:val="both"/>
      </w:pPr>
      <w:r>
        <w:t xml:space="preserve">For convenience, it is common to </w:t>
      </w:r>
      <w:r w:rsidR="00F4019C">
        <w:t>reparametrize</w:t>
      </w:r>
      <w:r w:rsidR="00260318">
        <w:t xml:space="preserve"> it as</w:t>
      </w:r>
      <w:r>
        <w:t>:</w:t>
      </w:r>
    </w:p>
    <w:p w:rsidR="00CD4D35" w:rsidRPr="00E16F08" w:rsidRDefault="0050017A" w:rsidP="00072AFD">
      <w:pPr>
        <w:jc w:val="both"/>
      </w:pPr>
      <m:oMathPara>
        <m:oMath>
          <m:r>
            <w:rPr>
              <w:rFonts w:ascii="Cambria Math" w:hAnsi="Cambria Math"/>
            </w:rPr>
            <m:t>μ=</m:t>
          </m:r>
          <m:f>
            <m:fPr>
              <m:ctrlPr>
                <w:rPr>
                  <w:rFonts w:ascii="Cambria Math" w:hAnsi="Cambria Math"/>
                  <w:i/>
                </w:rPr>
              </m:ctrlPr>
            </m:fPr>
            <m:num>
              <m:r>
                <w:rPr>
                  <w:rFonts w:ascii="Cambria Math" w:hAnsi="Cambria Math"/>
                </w:rPr>
                <m:t>α</m:t>
              </m:r>
            </m:num>
            <m:den>
              <m:r>
                <w:rPr>
                  <w:rFonts w:ascii="Cambria Math" w:hAnsi="Cambria Math"/>
                </w:rPr>
                <m:t>α+β</m:t>
              </m:r>
            </m:den>
          </m:f>
        </m:oMath>
      </m:oMathPara>
    </w:p>
    <w:p w:rsidR="00E16F08" w:rsidRDefault="00E16F08" w:rsidP="00072AFD">
      <w:pPr>
        <w:jc w:val="both"/>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α+β+1</m:t>
              </m:r>
            </m:den>
          </m:f>
        </m:oMath>
      </m:oMathPara>
    </w:p>
    <w:p w:rsidR="000C48E8" w:rsidRDefault="00BB47F2" w:rsidP="00072AFD">
      <w:pPr>
        <w:jc w:val="both"/>
      </w:pPr>
      <w:r>
        <w:t xml:space="preserve">so </w:t>
      </w:r>
      <w:r w:rsidR="005B0B76">
        <w:t>that</w:t>
      </w:r>
      <w:r w:rsidR="00817CDD">
        <w:t xml:space="preserve"> </w:t>
      </w:r>
      <w:r w:rsidR="000C48E8">
        <w:t>the expectation and variance of the beta-binomial distribution are:</w:t>
      </w:r>
    </w:p>
    <w:p w:rsidR="002F1CBC" w:rsidRPr="00D0217E" w:rsidRDefault="002F1CBC" w:rsidP="00072AFD">
      <w:pPr>
        <w:jc w:val="both"/>
      </w:pPr>
      <m:oMathPara>
        <m:oMath>
          <m:r>
            <w:rPr>
              <w:rFonts w:ascii="Cambria Math" w:hAnsi="Cambria Math"/>
            </w:rPr>
            <m:t>E</m:t>
          </m:r>
          <m:d>
            <m:dPr>
              <m:ctrlPr>
                <w:rPr>
                  <w:rFonts w:ascii="Cambria Math" w:hAnsi="Cambria Math"/>
                  <w:i/>
                </w:rPr>
              </m:ctrlPr>
            </m:dPr>
            <m:e>
              <m:r>
                <w:rPr>
                  <w:rFonts w:ascii="Cambria Math" w:hAnsi="Cambria Math"/>
                </w:rPr>
                <m:t>k</m:t>
              </m:r>
            </m:e>
            <m:e>
              <m:r>
                <w:rPr>
                  <w:rFonts w:ascii="Cambria Math" w:hAnsi="Cambria Math"/>
                </w:rPr>
                <m:t>n,μ,ρ</m:t>
              </m:r>
            </m:e>
          </m:d>
          <m:r>
            <w:rPr>
              <w:rFonts w:ascii="Cambria Math" w:hAnsi="Cambria Math"/>
            </w:rPr>
            <m:t>=nμ</m:t>
          </m:r>
        </m:oMath>
      </m:oMathPara>
    </w:p>
    <w:p w:rsidR="00D0217E" w:rsidRDefault="00D0217E" w:rsidP="00072AFD">
      <w:pPr>
        <w:jc w:val="both"/>
      </w:pPr>
      <m:oMathPara>
        <m:oMath>
          <m:r>
            <w:rPr>
              <w:rFonts w:ascii="Cambria Math" w:hAnsi="Cambria Math"/>
            </w:rPr>
            <m:t>Var(k|n,μ,ρ)=nμ</m:t>
          </m:r>
          <m:d>
            <m:dPr>
              <m:ctrlPr>
                <w:rPr>
                  <w:rFonts w:ascii="Cambria Math" w:hAnsi="Cambria Math"/>
                  <w:i/>
                </w:rPr>
              </m:ctrlPr>
            </m:dPr>
            <m:e>
              <m:r>
                <w:rPr>
                  <w:rFonts w:ascii="Cambria Math" w:hAnsi="Cambria Math"/>
                </w:rPr>
                <m:t>1-μ</m:t>
              </m:r>
            </m:e>
          </m:d>
          <m:d>
            <m:dPr>
              <m:begChr m:val="["/>
              <m:endChr m:val="]"/>
              <m:ctrlPr>
                <w:rPr>
                  <w:rFonts w:ascii="Cambria Math" w:hAnsi="Cambria Math"/>
                  <w:i/>
                </w:rPr>
              </m:ctrlPr>
            </m:dPr>
            <m:e>
              <m:r>
                <w:rPr>
                  <w:rFonts w:ascii="Cambria Math" w:hAnsi="Cambria Math"/>
                </w:rPr>
                <m:t>1+(n-1)ρ</m:t>
              </m:r>
            </m:e>
          </m:d>
        </m:oMath>
      </m:oMathPara>
    </w:p>
    <w:p w:rsidR="00817926" w:rsidRDefault="00C558B5" w:rsidP="00072AFD">
      <w:pPr>
        <w:jc w:val="both"/>
      </w:pPr>
      <w:r>
        <w:rPr>
          <w:rFonts w:cstheme="minorHAnsi"/>
        </w:rPr>
        <w:lastRenderedPageBreak/>
        <w:t>In this form,</w:t>
      </w:r>
      <w:r w:rsidR="00BE4CB5">
        <w:rPr>
          <w:rFonts w:cstheme="minorHAnsi"/>
        </w:rPr>
        <w:t xml:space="preserve"> </w:t>
      </w:r>
      <w:r w:rsidR="00FB75FF" w:rsidRPr="00FB75FF">
        <w:rPr>
          <w:rFonts w:cstheme="minorHAnsi"/>
          <w:i/>
        </w:rPr>
        <w:t>µ</w:t>
      </w:r>
      <w:r w:rsidR="00FB75FF">
        <w:rPr>
          <w:rFonts w:cstheme="minorHAnsi"/>
        </w:rPr>
        <w:t xml:space="preserve"> c</w:t>
      </w:r>
      <w:r w:rsidR="001277A5">
        <w:rPr>
          <w:rFonts w:cstheme="minorHAnsi"/>
        </w:rPr>
        <w:t xml:space="preserve">orresponds to the estimate of </w:t>
      </w:r>
      <w:r w:rsidR="001277A5" w:rsidRPr="001277A5">
        <w:rPr>
          <w:rFonts w:cstheme="minorHAnsi"/>
          <w:i/>
        </w:rPr>
        <w:t>p</w:t>
      </w:r>
      <w:r w:rsidR="002807FD">
        <w:rPr>
          <w:rFonts w:cstheme="minorHAnsi"/>
        </w:rPr>
        <w:t xml:space="preserve">, </w:t>
      </w:r>
      <w:r w:rsidR="001277A5">
        <w:rPr>
          <w:rFonts w:cstheme="minorHAnsi"/>
        </w:rPr>
        <w:t xml:space="preserve">and </w:t>
      </w:r>
      <w:r w:rsidR="00654C7C" w:rsidRPr="00FB75FF">
        <w:rPr>
          <w:rFonts w:cstheme="minorHAnsi"/>
          <w:i/>
        </w:rPr>
        <w:t>ρ</w:t>
      </w:r>
      <w:r w:rsidR="00654C7C">
        <w:t xml:space="preserve"> corresponds to the extent of over-dispersion. </w:t>
      </w:r>
      <w:r w:rsidR="004220CE">
        <w:t xml:space="preserve">Both </w:t>
      </w:r>
      <w:r w:rsidR="004220CE">
        <w:rPr>
          <w:rFonts w:cstheme="minorHAnsi"/>
        </w:rPr>
        <w:t>µ</w:t>
      </w:r>
      <w:r w:rsidR="004220CE">
        <w:t xml:space="preserve"> and </w:t>
      </w:r>
      <w:r w:rsidR="004220CE">
        <w:rPr>
          <w:rFonts w:cstheme="minorHAnsi"/>
        </w:rPr>
        <w:t>ρ</w:t>
      </w:r>
      <w:r w:rsidR="004220CE">
        <w:t xml:space="preserve"> </w:t>
      </w:r>
      <w:r w:rsidR="0085232B">
        <w:t xml:space="preserve">values </w:t>
      </w:r>
      <w:r w:rsidR="004220CE">
        <w:t>are between 0 and 1.</w:t>
      </w:r>
    </w:p>
    <w:p w:rsidR="006E44A6" w:rsidRDefault="00F63FF4" w:rsidP="00072AFD">
      <w:pPr>
        <w:jc w:val="both"/>
      </w:pPr>
      <w:r>
        <w:t>When we use beta-binomial distribution to model the RNA editing events in RNA-Seq,</w:t>
      </w:r>
      <w:r w:rsidR="00FE49D4">
        <w:t xml:space="preserve"> </w:t>
      </w:r>
      <w:r w:rsidR="00090FF5" w:rsidRPr="00C806BD">
        <w:rPr>
          <w:i/>
        </w:rPr>
        <w:t>n</w:t>
      </w:r>
      <w:r w:rsidR="00090FF5">
        <w:t xml:space="preserve"> corresponds to </w:t>
      </w:r>
      <w:r w:rsidR="00FE49D4">
        <w:t xml:space="preserve">the total number of reads </w:t>
      </w:r>
      <w:r w:rsidR="00DF17F6">
        <w:t>overlapping</w:t>
      </w:r>
      <w:r w:rsidR="00CA73D6">
        <w:t xml:space="preserve"> </w:t>
      </w:r>
      <w:r w:rsidR="009C7945">
        <w:t xml:space="preserve">with </w:t>
      </w:r>
      <w:r w:rsidR="00883134">
        <w:t>an</w:t>
      </w:r>
      <w:r w:rsidR="00CA73D6">
        <w:t xml:space="preserve"> RNA editing site</w:t>
      </w:r>
      <w:r w:rsidR="009C7945">
        <w:t xml:space="preserve"> </w:t>
      </w:r>
      <w:r w:rsidR="00FE49D4">
        <w:t>and</w:t>
      </w:r>
      <w:r>
        <w:t xml:space="preserve"> </w:t>
      </w:r>
      <w:r w:rsidRPr="007C795F">
        <w:rPr>
          <w:i/>
        </w:rPr>
        <w:t>k</w:t>
      </w:r>
      <w:r>
        <w:t xml:space="preserve"> corresponds to the number of reads with A-to-G mutations. </w:t>
      </w:r>
      <w:r w:rsidR="00FF0B11">
        <w:t>In this scenario, b</w:t>
      </w:r>
      <w:r w:rsidR="008533A5">
        <w:t>eta-binomi</w:t>
      </w:r>
      <w:r w:rsidR="00ED433E">
        <w:t xml:space="preserve">al distribution </w:t>
      </w:r>
      <w:r w:rsidR="004F3807">
        <w:t>is a better model for read counts</w:t>
      </w:r>
      <w:r w:rsidR="0002274F">
        <w:t xml:space="preserve"> </w:t>
      </w:r>
      <w:r w:rsidR="00EE12EB">
        <w:t xml:space="preserve">than binomial distribution </w:t>
      </w:r>
      <w:r w:rsidR="0002274F">
        <w:t>since it takes</w:t>
      </w:r>
      <w:r w:rsidR="008533A5">
        <w:t xml:space="preserve"> the variability </w:t>
      </w:r>
      <w:r w:rsidR="00E21499">
        <w:t xml:space="preserve">in mutation frequencies </w:t>
      </w:r>
      <w:r w:rsidR="008533A5">
        <w:t>between biological samples</w:t>
      </w:r>
      <w:r w:rsidR="0002274F">
        <w:t xml:space="preserve"> into account</w:t>
      </w:r>
      <w:r w:rsidR="008533A5">
        <w:t xml:space="preserve">. </w:t>
      </w:r>
      <w:r w:rsidR="00F0767F">
        <w:t xml:space="preserve">Under </w:t>
      </w:r>
      <w:r w:rsidR="00A46664">
        <w:t>the null hypothesis, all samples have equal RNA editing level</w:t>
      </w:r>
      <w:r w:rsidR="007A304A">
        <w:t xml:space="preserve"> and the editing frequencies </w:t>
      </w:r>
      <w:r w:rsidR="00BE5E68">
        <w:t xml:space="preserve">are </w:t>
      </w:r>
      <w:r w:rsidR="00BE2D4F">
        <w:t xml:space="preserve">drawn </w:t>
      </w:r>
      <w:r w:rsidR="00BE5E68">
        <w:t xml:space="preserve">from the same </w:t>
      </w:r>
      <w:r w:rsidR="006102B8">
        <w:t xml:space="preserve">beta </w:t>
      </w:r>
      <w:r w:rsidR="00CB6E51">
        <w:t>distribution</w:t>
      </w:r>
      <w:r w:rsidR="00464E95">
        <w:t xml:space="preserve"> </w:t>
      </w:r>
      <m:oMath>
        <m:r>
          <w:rPr>
            <w:rFonts w:ascii="Cambria Math" w:hAnsi="Cambria Math"/>
          </w:rPr>
          <m:t>π(</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,ρ)</m:t>
        </m:r>
      </m:oMath>
      <w:r w:rsidR="00A46664">
        <w:t>. Under the alternative hypothesis, the samples expressing dADAR</w:t>
      </w:r>
      <w:r w:rsidR="00F54C33">
        <w:t>-hMSI2 fusion protein</w:t>
      </w:r>
      <w:r w:rsidR="009F29CF">
        <w:t xml:space="preserve"> have different RNA editing frequency than the control samples</w:t>
      </w:r>
      <w:r w:rsidR="00FF3766">
        <w:t xml:space="preserve">, </w:t>
      </w:r>
      <w:r w:rsidR="00C5095C">
        <w:t>and the frequencies come from</w:t>
      </w:r>
      <w:r w:rsidR="00FF3766">
        <w:t xml:space="preserve"> two</w:t>
      </w:r>
      <w:r w:rsidR="00C5095C">
        <w:t xml:space="preserve"> different</w:t>
      </w:r>
      <w:r w:rsidR="00FF3766">
        <w:t xml:space="preserve"> beta distributions</w:t>
      </w:r>
      <w:r w:rsidR="00464E95">
        <w:t xml:space="preserve"> </w:t>
      </w:r>
      <w:r w:rsidR="00FF3766">
        <w:t xml:space="preserve"> </w:t>
      </w:r>
      <m:oMath>
        <m:r>
          <w:rPr>
            <w:rFonts w:ascii="Cambria Math" w:hAnsi="Cambria Math"/>
          </w:rPr>
          <m:t>π(</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oMath>
      <w:r w:rsidR="00FF3766">
        <w:t xml:space="preserve"> </w:t>
      </w:r>
      <w:r w:rsidR="00C66553">
        <w:t>and</w:t>
      </w:r>
      <w:r w:rsidR="00464E95">
        <w:t xml:space="preserve"> </w:t>
      </w:r>
      <m:oMath>
        <m:r>
          <w:rPr>
            <w:rFonts w:ascii="Cambria Math" w:hAnsi="Cambria Math"/>
          </w:rPr>
          <m:t>π(</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oMath>
      <w:r w:rsidR="00F54C33">
        <w:t>.</w:t>
      </w:r>
      <w:r w:rsidR="00555DCF">
        <w:t xml:space="preserve"> </w:t>
      </w:r>
      <w:r w:rsidR="00CC3A40">
        <w:t>For the read counts at each RNA editing site, w</w:t>
      </w:r>
      <w:r w:rsidR="00555DCF">
        <w:t>e maximized the likelihood for</w:t>
      </w:r>
      <w:r w:rsidR="00A46664">
        <w:t xml:space="preserve"> </w:t>
      </w:r>
      <w:r w:rsidR="00F0767F">
        <w:t>both n</w:t>
      </w:r>
      <w:r w:rsidR="00555DCF">
        <w:t xml:space="preserve">ull and alternative hypotheses, </w:t>
      </w:r>
      <w:r w:rsidR="00CF2855">
        <w:t>and</w:t>
      </w:r>
      <w:r w:rsidR="006E44A6">
        <w:t xml:space="preserve"> then c</w:t>
      </w:r>
      <w:r w:rsidR="00940073">
        <w:t>omputed</w:t>
      </w:r>
      <w:r w:rsidR="00F86C4E">
        <w:t xml:space="preserve"> the p-value</w:t>
      </w:r>
      <w:r w:rsidR="006E44A6">
        <w:t xml:space="preserve"> using likelihood ratio test</w:t>
      </w:r>
      <w:r w:rsidR="00E12738">
        <w:t>.</w:t>
      </w:r>
      <w:r w:rsidR="002C6CAD">
        <w:t xml:space="preserve"> </w:t>
      </w:r>
      <w:r w:rsidR="00E12738">
        <w:t>The</w:t>
      </w:r>
      <w:r w:rsidR="002C6CAD">
        <w:t xml:space="preserve"> p-values </w:t>
      </w:r>
      <w:r w:rsidR="00E12738">
        <w:t xml:space="preserve">from all sites were adjusted </w:t>
      </w:r>
      <w:r w:rsidR="002C6CAD">
        <w:t xml:space="preserve">using Benjamin-Hochberg correction. </w:t>
      </w:r>
      <w:r w:rsidR="008B69EE">
        <w:t xml:space="preserve">The statistical computation was </w:t>
      </w:r>
      <w:r w:rsidR="00817926">
        <w:t>performed</w:t>
      </w:r>
      <w:r w:rsidR="008B69EE">
        <w:t xml:space="preserve"> using R packages </w:t>
      </w:r>
      <w:r w:rsidR="008B69EE" w:rsidRPr="008B69EE">
        <w:rPr>
          <w:i/>
        </w:rPr>
        <w:t>VGAM</w:t>
      </w:r>
      <w:r w:rsidR="008B69EE">
        <w:t xml:space="preserve"> and </w:t>
      </w:r>
      <w:r w:rsidR="008B69EE" w:rsidRPr="008B69EE">
        <w:rPr>
          <w:i/>
        </w:rPr>
        <w:t>bbmle</w:t>
      </w:r>
      <w:r w:rsidR="008B69EE">
        <w:t xml:space="preserve">. </w:t>
      </w:r>
    </w:p>
    <w:p w:rsidR="00296C54" w:rsidRDefault="00296C54" w:rsidP="00072AFD">
      <w:pPr>
        <w:jc w:val="both"/>
        <w:rPr>
          <w:b/>
        </w:rPr>
      </w:pPr>
      <w:r w:rsidRPr="00296C54">
        <w:rPr>
          <w:b/>
        </w:rPr>
        <w:t>References</w:t>
      </w:r>
    </w:p>
    <w:p w:rsidR="00CC416D" w:rsidRPr="00CC416D" w:rsidRDefault="00295C99" w:rsidP="00CC416D">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CC416D" w:rsidRPr="00CC416D">
        <w:rPr>
          <w:rFonts w:ascii="Calibri" w:hAnsi="Calibri" w:cs="Calibri"/>
          <w:noProof/>
          <w:szCs w:val="24"/>
        </w:rPr>
        <w:t>Van der Auwera, G.A., Carneiro, M.O., Hartl, C., Poplin, R., del Angel, G., Levy-Moonshine, A., Jordan, T., Shakir, K., Roazen, D., Thibault, J., et al. (2013). From FastQ Data to High-Confidence Variant Calls: The Genome Analysis Toolkit Best Practices Pipeline. In Current Protocols in Bioinformatics, (Hoboken, NJ, USA: John Wiley &amp; Sons, Inc.), p. 11.10.1-11.10.33.</w:t>
      </w:r>
    </w:p>
    <w:p w:rsidR="00CC416D" w:rsidRPr="00CC416D" w:rsidRDefault="00CC416D" w:rsidP="00CC416D">
      <w:pPr>
        <w:widowControl w:val="0"/>
        <w:autoSpaceDE w:val="0"/>
        <w:autoSpaceDN w:val="0"/>
        <w:adjustRightInd w:val="0"/>
        <w:spacing w:line="240" w:lineRule="auto"/>
        <w:rPr>
          <w:rFonts w:ascii="Calibri" w:hAnsi="Calibri" w:cs="Calibri"/>
          <w:noProof/>
          <w:szCs w:val="24"/>
        </w:rPr>
      </w:pPr>
      <w:r w:rsidRPr="00CC416D">
        <w:rPr>
          <w:rFonts w:ascii="Calibri" w:hAnsi="Calibri" w:cs="Calibri"/>
          <w:noProof/>
          <w:szCs w:val="24"/>
        </w:rPr>
        <w:t xml:space="preserve">Dobin, A., Davis, C. a, Schlesinger, F., Drenkow, J., Zaleski, C., Jha, S., Batut, P., Chaisson, M., and Gingeras, T.R. (2013). STAR: ultrafast universal RNA-seq aligner. Bioinformatics </w:t>
      </w:r>
      <w:r w:rsidRPr="00CC416D">
        <w:rPr>
          <w:rFonts w:ascii="Calibri" w:hAnsi="Calibri" w:cs="Calibri"/>
          <w:i/>
          <w:iCs/>
          <w:noProof/>
          <w:szCs w:val="24"/>
        </w:rPr>
        <w:t>29</w:t>
      </w:r>
      <w:r w:rsidRPr="00CC416D">
        <w:rPr>
          <w:rFonts w:ascii="Calibri" w:hAnsi="Calibri" w:cs="Calibri"/>
          <w:noProof/>
          <w:szCs w:val="24"/>
        </w:rPr>
        <w:t>, 15–21.</w:t>
      </w:r>
    </w:p>
    <w:p w:rsidR="00CC416D" w:rsidRPr="00CC416D" w:rsidRDefault="00CC416D" w:rsidP="00CC416D">
      <w:pPr>
        <w:widowControl w:val="0"/>
        <w:autoSpaceDE w:val="0"/>
        <w:autoSpaceDN w:val="0"/>
        <w:adjustRightInd w:val="0"/>
        <w:spacing w:line="240" w:lineRule="auto"/>
        <w:rPr>
          <w:rFonts w:ascii="Calibri" w:hAnsi="Calibri" w:cs="Calibri"/>
          <w:noProof/>
          <w:szCs w:val="24"/>
        </w:rPr>
      </w:pPr>
      <w:r w:rsidRPr="00CC416D">
        <w:rPr>
          <w:rFonts w:ascii="Calibri" w:hAnsi="Calibri" w:cs="Calibri"/>
          <w:noProof/>
          <w:szCs w:val="24"/>
        </w:rPr>
        <w:t xml:space="preserve">Parker, C.C., Gopalakrishnan, S., Carbonetto, P., Gonzales, N.M., Leung, E., Park, Y.J., Aryee, E., Davis, J., Blizard, D.A., Ackert-Bicknell, C.L., et al. (2016). Genome-wide association study of behavioral, physiological and gene expression traits in outbred CFW mice. Nat. Genet. </w:t>
      </w:r>
      <w:r w:rsidRPr="00CC416D">
        <w:rPr>
          <w:rFonts w:ascii="Calibri" w:hAnsi="Calibri" w:cs="Calibri"/>
          <w:i/>
          <w:iCs/>
          <w:noProof/>
          <w:szCs w:val="24"/>
        </w:rPr>
        <w:t>48</w:t>
      </w:r>
      <w:r w:rsidRPr="00CC416D">
        <w:rPr>
          <w:rFonts w:ascii="Calibri" w:hAnsi="Calibri" w:cs="Calibri"/>
          <w:noProof/>
          <w:szCs w:val="24"/>
        </w:rPr>
        <w:t>, 919–926.</w:t>
      </w:r>
    </w:p>
    <w:p w:rsidR="00CC416D" w:rsidRPr="00CC416D" w:rsidRDefault="00CC416D" w:rsidP="00CC416D">
      <w:pPr>
        <w:widowControl w:val="0"/>
        <w:autoSpaceDE w:val="0"/>
        <w:autoSpaceDN w:val="0"/>
        <w:adjustRightInd w:val="0"/>
        <w:spacing w:line="240" w:lineRule="auto"/>
        <w:rPr>
          <w:rFonts w:ascii="Calibri" w:hAnsi="Calibri" w:cs="Calibri"/>
          <w:noProof/>
        </w:rPr>
      </w:pPr>
      <w:r w:rsidRPr="00CC416D">
        <w:rPr>
          <w:rFonts w:ascii="Calibri" w:hAnsi="Calibri" w:cs="Calibri"/>
          <w:noProof/>
          <w:szCs w:val="24"/>
        </w:rPr>
        <w:t xml:space="preserve">Yablonovitch, A.L., Fu, J., Li, K., Mahato, S., Kang, L., Rashkovetsky, E., Korol, A.B., Tang, H., Michalak, P., Zelhof, A.C., et al. (2017). Regulation of gene expression and RNA editing in Drosophila adapting to divergent microclimates. Nat. Commun. </w:t>
      </w:r>
      <w:r w:rsidRPr="00CC416D">
        <w:rPr>
          <w:rFonts w:ascii="Calibri" w:hAnsi="Calibri" w:cs="Calibri"/>
          <w:i/>
          <w:iCs/>
          <w:noProof/>
          <w:szCs w:val="24"/>
        </w:rPr>
        <w:t>8</w:t>
      </w:r>
      <w:r w:rsidRPr="00CC416D">
        <w:rPr>
          <w:rFonts w:ascii="Calibri" w:hAnsi="Calibri" w:cs="Calibri"/>
          <w:noProof/>
          <w:szCs w:val="24"/>
        </w:rPr>
        <w:t>, 1570.</w:t>
      </w:r>
    </w:p>
    <w:p w:rsidR="00295C99" w:rsidRPr="00296C54" w:rsidRDefault="00295C99" w:rsidP="00072AFD">
      <w:pPr>
        <w:jc w:val="both"/>
      </w:pPr>
      <w:r>
        <w:fldChar w:fldCharType="end"/>
      </w:r>
    </w:p>
    <w:sectPr w:rsidR="00295C99" w:rsidRPr="0029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93"/>
    <w:rsid w:val="00015964"/>
    <w:rsid w:val="000209B5"/>
    <w:rsid w:val="0002274F"/>
    <w:rsid w:val="00025D38"/>
    <w:rsid w:val="00026EF1"/>
    <w:rsid w:val="00031B85"/>
    <w:rsid w:val="0005682D"/>
    <w:rsid w:val="00063929"/>
    <w:rsid w:val="00072AFD"/>
    <w:rsid w:val="00090FF5"/>
    <w:rsid w:val="000C48E8"/>
    <w:rsid w:val="000F2E9E"/>
    <w:rsid w:val="00120B2A"/>
    <w:rsid w:val="001277A5"/>
    <w:rsid w:val="00127ADD"/>
    <w:rsid w:val="0014563D"/>
    <w:rsid w:val="0017055B"/>
    <w:rsid w:val="00196166"/>
    <w:rsid w:val="00197160"/>
    <w:rsid w:val="001B12DF"/>
    <w:rsid w:val="001D0ACC"/>
    <w:rsid w:val="002525C5"/>
    <w:rsid w:val="00260318"/>
    <w:rsid w:val="002807FD"/>
    <w:rsid w:val="00295C99"/>
    <w:rsid w:val="00296C54"/>
    <w:rsid w:val="002C6CAD"/>
    <w:rsid w:val="002F1CBC"/>
    <w:rsid w:val="00336469"/>
    <w:rsid w:val="003428FE"/>
    <w:rsid w:val="00387D30"/>
    <w:rsid w:val="003F7D57"/>
    <w:rsid w:val="004220CE"/>
    <w:rsid w:val="00464E95"/>
    <w:rsid w:val="00471007"/>
    <w:rsid w:val="004E3A6E"/>
    <w:rsid w:val="004F3807"/>
    <w:rsid w:val="0050017A"/>
    <w:rsid w:val="005245DE"/>
    <w:rsid w:val="00531FB3"/>
    <w:rsid w:val="00555DCF"/>
    <w:rsid w:val="00592771"/>
    <w:rsid w:val="005B0B76"/>
    <w:rsid w:val="005D6F61"/>
    <w:rsid w:val="005D7193"/>
    <w:rsid w:val="005E1ABD"/>
    <w:rsid w:val="006102B8"/>
    <w:rsid w:val="00654C7C"/>
    <w:rsid w:val="00692F74"/>
    <w:rsid w:val="006A32E7"/>
    <w:rsid w:val="006A63DF"/>
    <w:rsid w:val="006B3A80"/>
    <w:rsid w:val="006C3AD5"/>
    <w:rsid w:val="006C6DAC"/>
    <w:rsid w:val="006E44A6"/>
    <w:rsid w:val="007175BE"/>
    <w:rsid w:val="00760BB1"/>
    <w:rsid w:val="007704A1"/>
    <w:rsid w:val="007A304A"/>
    <w:rsid w:val="007C1774"/>
    <w:rsid w:val="007C3FE6"/>
    <w:rsid w:val="007C795F"/>
    <w:rsid w:val="00817926"/>
    <w:rsid w:val="00817CDD"/>
    <w:rsid w:val="00846D2A"/>
    <w:rsid w:val="0085232B"/>
    <w:rsid w:val="008533A5"/>
    <w:rsid w:val="00867EB6"/>
    <w:rsid w:val="00873164"/>
    <w:rsid w:val="00883134"/>
    <w:rsid w:val="008A7535"/>
    <w:rsid w:val="008B69EE"/>
    <w:rsid w:val="00900EE3"/>
    <w:rsid w:val="0090461B"/>
    <w:rsid w:val="0092712C"/>
    <w:rsid w:val="00940073"/>
    <w:rsid w:val="00944A04"/>
    <w:rsid w:val="00993C19"/>
    <w:rsid w:val="009C7945"/>
    <w:rsid w:val="009E4FD3"/>
    <w:rsid w:val="009F29CF"/>
    <w:rsid w:val="00A04120"/>
    <w:rsid w:val="00A1494F"/>
    <w:rsid w:val="00A46664"/>
    <w:rsid w:val="00A70AEB"/>
    <w:rsid w:val="00A90BC7"/>
    <w:rsid w:val="00AB2501"/>
    <w:rsid w:val="00B155F4"/>
    <w:rsid w:val="00B478F6"/>
    <w:rsid w:val="00B53A76"/>
    <w:rsid w:val="00B542CE"/>
    <w:rsid w:val="00B552F5"/>
    <w:rsid w:val="00B70013"/>
    <w:rsid w:val="00B72486"/>
    <w:rsid w:val="00B85273"/>
    <w:rsid w:val="00BA671D"/>
    <w:rsid w:val="00BB47F2"/>
    <w:rsid w:val="00BE2D4F"/>
    <w:rsid w:val="00BE4CB5"/>
    <w:rsid w:val="00BE5E68"/>
    <w:rsid w:val="00BE71F1"/>
    <w:rsid w:val="00C01C06"/>
    <w:rsid w:val="00C05E7E"/>
    <w:rsid w:val="00C3540D"/>
    <w:rsid w:val="00C5095C"/>
    <w:rsid w:val="00C50B46"/>
    <w:rsid w:val="00C558B5"/>
    <w:rsid w:val="00C66553"/>
    <w:rsid w:val="00C806BD"/>
    <w:rsid w:val="00C83546"/>
    <w:rsid w:val="00CA73D6"/>
    <w:rsid w:val="00CB29A2"/>
    <w:rsid w:val="00CB5390"/>
    <w:rsid w:val="00CB6E51"/>
    <w:rsid w:val="00CC3A40"/>
    <w:rsid w:val="00CC416D"/>
    <w:rsid w:val="00CD4D35"/>
    <w:rsid w:val="00CD5E87"/>
    <w:rsid w:val="00CE1212"/>
    <w:rsid w:val="00CE666E"/>
    <w:rsid w:val="00CF2855"/>
    <w:rsid w:val="00D0217E"/>
    <w:rsid w:val="00D454AE"/>
    <w:rsid w:val="00D64B4C"/>
    <w:rsid w:val="00DA0CC0"/>
    <w:rsid w:val="00DB0C66"/>
    <w:rsid w:val="00DC42B3"/>
    <w:rsid w:val="00DF17F6"/>
    <w:rsid w:val="00E12738"/>
    <w:rsid w:val="00E16F08"/>
    <w:rsid w:val="00E21499"/>
    <w:rsid w:val="00E272FD"/>
    <w:rsid w:val="00E465C0"/>
    <w:rsid w:val="00E6010A"/>
    <w:rsid w:val="00E8715E"/>
    <w:rsid w:val="00EA710E"/>
    <w:rsid w:val="00ED433E"/>
    <w:rsid w:val="00EE12EB"/>
    <w:rsid w:val="00F0767F"/>
    <w:rsid w:val="00F31B18"/>
    <w:rsid w:val="00F4019C"/>
    <w:rsid w:val="00F477B0"/>
    <w:rsid w:val="00F53FEA"/>
    <w:rsid w:val="00F54C33"/>
    <w:rsid w:val="00F63FF4"/>
    <w:rsid w:val="00F86C4E"/>
    <w:rsid w:val="00FB2A9E"/>
    <w:rsid w:val="00FB75FF"/>
    <w:rsid w:val="00FE40DC"/>
    <w:rsid w:val="00FE49D4"/>
    <w:rsid w:val="00FF0B11"/>
    <w:rsid w:val="00FF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0DE9D-293C-4C93-BE68-460DC6F8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1F1"/>
    <w:rPr>
      <w:color w:val="808080"/>
    </w:rPr>
  </w:style>
  <w:style w:type="character" w:styleId="Hyperlink">
    <w:name w:val="Hyperlink"/>
    <w:basedOn w:val="DefaultParagraphFont"/>
    <w:uiPriority w:val="99"/>
    <w:unhideWhenUsed/>
    <w:rsid w:val="00145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oftware.broadinstitute.org/gatk/documentation/article?id=38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CCE1-F107-4340-8722-1D6B2BB4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9496</TotalTime>
  <Pages>2</Pages>
  <Words>2603</Words>
  <Characters>14842</Characters>
  <Application>Microsoft Office Word</Application>
  <DocSecurity>0</DocSecurity>
  <Lines>123</Lines>
  <Paragraphs>34</Paragraphs>
  <ScaleCrop>false</ScaleCrop>
  <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Lu</dc:creator>
  <cp:keywords/>
  <dc:description/>
  <cp:lastModifiedBy>Yuheng Lu</cp:lastModifiedBy>
  <cp:revision>154</cp:revision>
  <dcterms:created xsi:type="dcterms:W3CDTF">2018-06-22T15:54:00Z</dcterms:created>
  <dcterms:modified xsi:type="dcterms:W3CDTF">2018-07-04T23:07:00Z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http://www.zotero.org/styles/cell</vt:lpwstr>
  </property>
  <property fmtid="{D5CDD505-2E9C-101B-9397-08002B2CF9AE}" pid="23" name="Mendeley Document_1">
    <vt:lpwstr>True</vt:lpwstr>
  </property>
  <property fmtid="{D5CDD505-2E9C-101B-9397-08002B2CF9AE}" pid="24" name="Mendeley Unique User Id_1">
    <vt:lpwstr>6aada7a5-18b1-3dd0-a2c2-3c9eb676f527</vt:lpwstr>
  </property>
</Properties>
</file>