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1F4D" w14:textId="61E799C4" w:rsidR="00E5697E" w:rsidRPr="000B2FD2" w:rsidRDefault="00E5697E">
      <w:pPr>
        <w:rPr>
          <w:b/>
          <w:bCs/>
          <w:sz w:val="24"/>
          <w:szCs w:val="24"/>
        </w:rPr>
      </w:pPr>
      <w:r w:rsidRPr="000B2FD2">
        <w:rPr>
          <w:b/>
          <w:bCs/>
          <w:sz w:val="24"/>
          <w:szCs w:val="24"/>
        </w:rPr>
        <w:t>Overview of proposed course contents for the Data Chemistry OLCC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723"/>
        <w:gridCol w:w="3142"/>
        <w:gridCol w:w="4635"/>
        <w:gridCol w:w="4635"/>
        <w:gridCol w:w="1260"/>
      </w:tblGrid>
      <w:tr w:rsidR="006736E9" w:rsidRPr="00F0067F" w14:paraId="638A0F41" w14:textId="587AE114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B96B6E" w14:textId="6FD57547" w:rsidR="006736E9" w:rsidRPr="00F0067F" w:rsidRDefault="00E5697E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Unit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5B3627" w14:textId="297808A6" w:rsidR="006736E9" w:rsidRPr="00F0067F" w:rsidRDefault="001F060E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Topic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392BD1" w14:textId="33BD7751" w:rsidR="006736E9" w:rsidRPr="00F0067F" w:rsidRDefault="008E71F0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Non-programming activit</w:t>
            </w:r>
            <w:r w:rsidR="001F060E" w:rsidRPr="00F0067F">
              <w:rPr>
                <w:sz w:val="20"/>
                <w:szCs w:val="20"/>
              </w:rPr>
              <w:t>y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52CCDC" w14:textId="3CFA80EB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 xml:space="preserve">Programming </w:t>
            </w:r>
            <w:r w:rsidR="008E71F0" w:rsidRPr="00F0067F">
              <w:rPr>
                <w:sz w:val="20"/>
                <w:szCs w:val="20"/>
              </w:rPr>
              <w:t>activit</w:t>
            </w:r>
            <w:r w:rsidR="001F060E" w:rsidRPr="00F0067F">
              <w:rPr>
                <w:sz w:val="20"/>
                <w:szCs w:val="20"/>
              </w:rPr>
              <w:t>y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19B0ED" w14:textId="434B95AB" w:rsidR="006736E9" w:rsidRPr="00F0067F" w:rsidRDefault="005E3A8F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color w:val="FF0000"/>
                <w:sz w:val="20"/>
                <w:szCs w:val="20"/>
              </w:rPr>
              <w:t>Textbook</w:t>
            </w:r>
            <w:r w:rsidR="00804537" w:rsidRPr="00F0067F">
              <w:rPr>
                <w:color w:val="FF0000"/>
                <w:sz w:val="20"/>
                <w:szCs w:val="20"/>
              </w:rPr>
              <w:t xml:space="preserve"> materials</w:t>
            </w:r>
            <w:r w:rsidR="0089721E" w:rsidRPr="00F0067F">
              <w:rPr>
                <w:color w:val="FF0000"/>
                <w:sz w:val="20"/>
                <w:szCs w:val="20"/>
              </w:rPr>
              <w:t xml:space="preserve"> </w:t>
            </w:r>
            <w:r w:rsidR="008C3E8A" w:rsidRPr="00F0067F">
              <w:rPr>
                <w:i/>
                <w:color w:val="FF0000"/>
                <w:sz w:val="20"/>
                <w:szCs w:val="20"/>
                <w:vertAlign w:val="superscript"/>
              </w:rPr>
              <w:t>a</w:t>
            </w:r>
          </w:p>
        </w:tc>
      </w:tr>
      <w:tr w:rsidR="006736E9" w:rsidRPr="00F0067F" w14:paraId="56C119B6" w14:textId="5DEB6AB7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7809B4" w14:textId="20406DD2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19171C" w14:textId="61580D41" w:rsidR="006736E9" w:rsidRPr="00F0067F" w:rsidRDefault="00B90951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Introduction to Data Chemistry and Course Overview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98430B" w14:textId="4F90EB5E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PubChem interactive tutorial</w:t>
            </w:r>
            <w:r w:rsidR="003129B1" w:rsidRPr="00F0067F">
              <w:rPr>
                <w:rFonts w:hint="eastAsia"/>
                <w:sz w:val="20"/>
                <w:szCs w:val="20"/>
              </w:rPr>
              <w:t xml:space="preserve"> (</w:t>
            </w:r>
            <w:hyperlink r:id="rId7" w:history="1">
              <w:r w:rsidR="003129B1" w:rsidRPr="00F0067F">
                <w:rPr>
                  <w:rStyle w:val="Hyperlink"/>
                  <w:sz w:val="20"/>
                  <w:szCs w:val="20"/>
                </w:rPr>
                <w:t>https://www.nlm.nih.gov/oet/ed/pubchem/tutorial/index.html</w:t>
              </w:r>
            </w:hyperlink>
            <w:r w:rsidR="003129B1" w:rsidRPr="00F0067F">
              <w:rPr>
                <w:rStyle w:val="Hyperlink"/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50EDD6" w14:textId="52CD2867" w:rsidR="006736E9" w:rsidRPr="00F0067F" w:rsidRDefault="00102F5C">
            <w:pPr>
              <w:rPr>
                <w:sz w:val="20"/>
                <w:szCs w:val="20"/>
              </w:rPr>
            </w:pPr>
            <w:r w:rsidRPr="00F0067F">
              <w:rPr>
                <w:rFonts w:hint="eastAsia"/>
                <w:sz w:val="20"/>
                <w:szCs w:val="20"/>
              </w:rPr>
              <w:t>Jupyter notebooks (d</w:t>
            </w:r>
            <w:r w:rsidR="006736E9" w:rsidRPr="00F0067F">
              <w:rPr>
                <w:sz w:val="20"/>
                <w:szCs w:val="20"/>
              </w:rPr>
              <w:t>ata types, variables, conditions, loops</w:t>
            </w:r>
            <w:r w:rsidRPr="00F0067F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69E5D8" w14:textId="247FFD78" w:rsidR="006736E9" w:rsidRPr="00F0067F" w:rsidRDefault="00804537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20565291" w14:textId="5AC7A517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043555" w14:textId="368D4EF3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2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7ECC08" w14:textId="6167C166" w:rsidR="006736E9" w:rsidRPr="00F0067F" w:rsidRDefault="00B37BEA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Understanding Public Chemical Databases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E2008B" w14:textId="77777777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PubChem tutorial</w:t>
            </w:r>
            <w:r w:rsidR="009A496D" w:rsidRPr="00F0067F">
              <w:rPr>
                <w:rFonts w:hint="eastAsia"/>
                <w:sz w:val="20"/>
                <w:szCs w:val="20"/>
              </w:rPr>
              <w:t xml:space="preserve"> (</w:t>
            </w:r>
            <w:hyperlink r:id="rId8" w:history="1">
              <w:r w:rsidR="009A496D" w:rsidRPr="00F0067F">
                <w:rPr>
                  <w:rStyle w:val="Hyperlink"/>
                  <w:sz w:val="20"/>
                  <w:szCs w:val="20"/>
                </w:rPr>
                <w:t>https://doi.org/10.1002/cpz1.217</w:t>
              </w:r>
            </w:hyperlink>
            <w:r w:rsidR="009A496D" w:rsidRPr="00F0067F">
              <w:rPr>
                <w:rFonts w:hint="eastAsia"/>
                <w:sz w:val="20"/>
                <w:szCs w:val="20"/>
              </w:rPr>
              <w:t>)</w:t>
            </w:r>
          </w:p>
          <w:p w14:paraId="386613B1" w14:textId="7D46442B" w:rsidR="005F37A8" w:rsidRPr="00F0067F" w:rsidRDefault="00A55CA0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Review of t</w:t>
            </w:r>
            <w:r w:rsidR="005F37A8" w:rsidRPr="00F0067F">
              <w:rPr>
                <w:sz w:val="20"/>
                <w:szCs w:val="20"/>
              </w:rPr>
              <w:t xml:space="preserve">echnical </w:t>
            </w:r>
            <w:r w:rsidRPr="00F0067F">
              <w:rPr>
                <w:sz w:val="20"/>
                <w:szCs w:val="20"/>
              </w:rPr>
              <w:t>aspects of PubChem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0E3D66" w14:textId="1BD24414" w:rsidR="006736E9" w:rsidRPr="00F0067F" w:rsidRDefault="009A496D">
            <w:pPr>
              <w:rPr>
                <w:sz w:val="20"/>
                <w:szCs w:val="20"/>
              </w:rPr>
            </w:pPr>
            <w:r w:rsidRPr="00F0067F">
              <w:rPr>
                <w:rFonts w:hint="eastAsia"/>
                <w:sz w:val="20"/>
                <w:szCs w:val="20"/>
              </w:rPr>
              <w:t>Jupyter notebooks (</w:t>
            </w:r>
            <w:r w:rsidR="0052643C" w:rsidRPr="00F0067F">
              <w:rPr>
                <w:rFonts w:hint="eastAsia"/>
                <w:sz w:val="20"/>
                <w:szCs w:val="20"/>
              </w:rPr>
              <w:t>d</w:t>
            </w:r>
            <w:r w:rsidR="006736E9" w:rsidRPr="00F0067F">
              <w:rPr>
                <w:sz w:val="20"/>
                <w:szCs w:val="20"/>
              </w:rPr>
              <w:t>ata visualization using PubChem Element data.</w:t>
            </w:r>
            <w:r w:rsidR="0052643C" w:rsidRPr="00F0067F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154F07" w14:textId="5716EE2C" w:rsidR="006736E9" w:rsidRPr="00F0067F" w:rsidRDefault="00804537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132FA6AF" w14:textId="5F8F0DD5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AA365B" w14:textId="661AA25B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3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F404F1" w14:textId="44E70D9C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Chemical representations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6E811E" w14:textId="06D1DB8D" w:rsidR="006736E9" w:rsidRPr="00F0067F" w:rsidRDefault="00F77607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 xml:space="preserve">Searching </w:t>
            </w:r>
            <w:r w:rsidR="00F07FEB" w:rsidRPr="00F0067F">
              <w:rPr>
                <w:sz w:val="20"/>
                <w:szCs w:val="20"/>
              </w:rPr>
              <w:t xml:space="preserve">PubChem </w:t>
            </w:r>
            <w:r w:rsidR="004A1FA2" w:rsidRPr="00F0067F">
              <w:rPr>
                <w:sz w:val="20"/>
                <w:szCs w:val="20"/>
              </w:rPr>
              <w:t xml:space="preserve">(and </w:t>
            </w:r>
            <w:r w:rsidR="00F6657C" w:rsidRPr="00F0067F">
              <w:rPr>
                <w:sz w:val="20"/>
                <w:szCs w:val="20"/>
              </w:rPr>
              <w:t xml:space="preserve">a few </w:t>
            </w:r>
            <w:r w:rsidR="004A1FA2" w:rsidRPr="00F0067F">
              <w:rPr>
                <w:sz w:val="20"/>
                <w:szCs w:val="20"/>
              </w:rPr>
              <w:t>other</w:t>
            </w:r>
            <w:r w:rsidR="00F6657C" w:rsidRPr="00F0067F">
              <w:rPr>
                <w:sz w:val="20"/>
                <w:szCs w:val="20"/>
              </w:rPr>
              <w:t xml:space="preserve"> public </w:t>
            </w:r>
            <w:r w:rsidR="004A1FA2" w:rsidRPr="00F0067F">
              <w:rPr>
                <w:sz w:val="20"/>
                <w:szCs w:val="20"/>
              </w:rPr>
              <w:t xml:space="preserve">databases) </w:t>
            </w:r>
            <w:r w:rsidR="00F07FEB" w:rsidRPr="00F0067F">
              <w:rPr>
                <w:sz w:val="20"/>
                <w:szCs w:val="20"/>
              </w:rPr>
              <w:t xml:space="preserve">using </w:t>
            </w:r>
            <w:r w:rsidR="00C3604A" w:rsidRPr="00F0067F">
              <w:rPr>
                <w:sz w:val="20"/>
                <w:szCs w:val="20"/>
              </w:rPr>
              <w:t>chemical names and line notations.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5C477E" w14:textId="2976767A" w:rsidR="006736E9" w:rsidRPr="00F0067F" w:rsidRDefault="0080370E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 xml:space="preserve">No </w:t>
            </w:r>
            <w:r w:rsidR="00666129" w:rsidRPr="00F0067F">
              <w:rPr>
                <w:sz w:val="20"/>
                <w:szCs w:val="20"/>
              </w:rPr>
              <w:t xml:space="preserve">new programming topics. </w:t>
            </w:r>
            <w:r w:rsidRPr="00F0067F">
              <w:rPr>
                <w:sz w:val="20"/>
                <w:szCs w:val="20"/>
              </w:rPr>
              <w:t>Catch-up week</w:t>
            </w:r>
            <w:r w:rsidR="00816429" w:rsidRPr="00F0067F">
              <w:rPr>
                <w:sz w:val="20"/>
                <w:szCs w:val="20"/>
              </w:rPr>
              <w:t xml:space="preserve"> for students without programming background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A3E81B" w14:textId="755EB5D8" w:rsidR="00F07FEB" w:rsidRPr="00F0067F" w:rsidRDefault="00804537" w:rsidP="00804E36">
            <w:pPr>
              <w:jc w:val="center"/>
              <w:rPr>
                <w:i/>
                <w:iCs/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  <w:p w14:paraId="0E129C58" w14:textId="77777777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</w:p>
        </w:tc>
      </w:tr>
      <w:tr w:rsidR="006736E9" w:rsidRPr="00F0067F" w14:paraId="748593AD" w14:textId="65236447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1A4F6F" w14:textId="26D37459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4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661037" w14:textId="6822C53A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Searching chemical databases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890558" w14:textId="6C1E5878" w:rsidR="006736E9" w:rsidRPr="00F0067F" w:rsidRDefault="00F176C5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Learn advanced topics for data search and retrieval using PubChem</w:t>
            </w:r>
            <w:r w:rsidR="003D5D79" w:rsidRPr="00F0067F">
              <w:rPr>
                <w:sz w:val="20"/>
                <w:szCs w:val="20"/>
              </w:rPr>
              <w:t xml:space="preserve">, including </w:t>
            </w:r>
            <w:r w:rsidR="005B2E29" w:rsidRPr="00F0067F">
              <w:rPr>
                <w:sz w:val="20"/>
                <w:szCs w:val="20"/>
              </w:rPr>
              <w:t xml:space="preserve">PubChem Sketcher, classification browser, </w:t>
            </w:r>
            <w:r w:rsidR="00E86BB0" w:rsidRPr="00F0067F">
              <w:rPr>
                <w:sz w:val="20"/>
                <w:szCs w:val="20"/>
              </w:rPr>
              <w:t>imaging servi</w:t>
            </w:r>
            <w:r w:rsidR="0062025A" w:rsidRPr="00F0067F">
              <w:rPr>
                <w:sz w:val="20"/>
                <w:szCs w:val="20"/>
              </w:rPr>
              <w:t>c</w:t>
            </w:r>
            <w:r w:rsidR="00E86BB0" w:rsidRPr="00F0067F">
              <w:rPr>
                <w:sz w:val="20"/>
                <w:szCs w:val="20"/>
              </w:rPr>
              <w:t>es, etc.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F2C044" w14:textId="72C6D2EE" w:rsidR="00B03E99" w:rsidRPr="00F0067F" w:rsidRDefault="00B03E99" w:rsidP="00B03E9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Search PubChem using APIs</w:t>
            </w:r>
          </w:p>
          <w:p w14:paraId="46EA49EC" w14:textId="4321889F" w:rsidR="00B03E99" w:rsidRPr="00F0067F" w:rsidRDefault="00B03E99" w:rsidP="00B03E9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Decode/encode SMILES strings using RDKit</w:t>
            </w:r>
          </w:p>
          <w:p w14:paraId="5B9EC201" w14:textId="67A30494" w:rsidR="006736E9" w:rsidRPr="00F0067F" w:rsidRDefault="006736E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CAF4B3" w14:textId="317E543C" w:rsidR="006736E9" w:rsidRPr="00F0067F" w:rsidRDefault="008C3E8A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688D2CFC" w14:textId="32F282A9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9550E3" w14:textId="7B3AE84A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5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4CDA4D" w14:textId="55F174B6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Exploratory data analysis of PubChem BioAssay data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5F7A8A" w14:textId="77777777" w:rsidR="006736E9" w:rsidRPr="00F0067F" w:rsidRDefault="006736E9">
            <w:pPr>
              <w:rPr>
                <w:sz w:val="20"/>
                <w:szCs w:val="20"/>
              </w:rPr>
            </w:pP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ECCD50" w14:textId="7B936E7C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Write a python script to perform exploratory data analysis of PubChem BioAssay data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8B5AA6" w14:textId="18392FCE" w:rsidR="006736E9" w:rsidRPr="00F0067F" w:rsidRDefault="00371554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</w:t>
            </w:r>
          </w:p>
        </w:tc>
      </w:tr>
      <w:tr w:rsidR="006736E9" w:rsidRPr="00F0067F" w14:paraId="4F531D86" w14:textId="09EC7DB6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3EFF7C" w14:textId="42A06BE8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6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BD857" w14:textId="25C76B9A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Building an Interactive Dashboard using Tableau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076676" w14:textId="3ED8296C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Building an interactive dashboard</w:t>
            </w:r>
            <w:r w:rsidR="00A90FC4" w:rsidRPr="00F0067F">
              <w:rPr>
                <w:sz w:val="20"/>
                <w:szCs w:val="20"/>
              </w:rPr>
              <w:t xml:space="preserve"> </w:t>
            </w:r>
            <w:r w:rsidR="006E0ECE" w:rsidRPr="00F0067F">
              <w:rPr>
                <w:sz w:val="20"/>
                <w:szCs w:val="20"/>
              </w:rPr>
              <w:t>for bioactivity data in PubChem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F28E8B" w14:textId="77777777" w:rsidR="006736E9" w:rsidRPr="00F0067F" w:rsidRDefault="006736E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9F64B1" w14:textId="1EB19DF2" w:rsidR="006736E9" w:rsidRPr="00F0067F" w:rsidRDefault="00826870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</w:t>
            </w:r>
          </w:p>
        </w:tc>
      </w:tr>
      <w:tr w:rsidR="006736E9" w:rsidRPr="00F0067F" w14:paraId="346DC3D1" w14:textId="2DF1AE3F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7F4298" w14:textId="487DBE6D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7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2A86AE" w14:textId="4F896591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QSAR</w:t>
            </w:r>
            <w:r w:rsidR="00D62EFD" w:rsidRPr="00F0067F">
              <w:rPr>
                <w:sz w:val="20"/>
                <w:szCs w:val="20"/>
              </w:rPr>
              <w:t>/</w:t>
            </w:r>
            <w:r w:rsidRPr="00F0067F">
              <w:rPr>
                <w:sz w:val="20"/>
                <w:szCs w:val="20"/>
              </w:rPr>
              <w:t>QSPR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7D834C" w14:textId="77777777" w:rsidR="006736E9" w:rsidRPr="00F0067F" w:rsidRDefault="006736E9">
            <w:pPr>
              <w:rPr>
                <w:sz w:val="20"/>
                <w:szCs w:val="20"/>
              </w:rPr>
            </w:pP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22DC64" w14:textId="449A3CD2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Build a QSAR model from public data.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B68320" w14:textId="0899F6EE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0CDA74CD" w14:textId="002715BA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FDFA72" w14:textId="4B785DF2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8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DD93B" w14:textId="113BA1C3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Molecular Similarity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0382F9" w14:textId="61A0892A" w:rsidR="006736E9" w:rsidRPr="00F0067F" w:rsidRDefault="004112C2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Perform 2-D/3-D similarity search using PubChem (revisiting Unit 4)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C482CC" w14:textId="5A4F010C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Python script that tests molecular fingerprints and similarity coefficient.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79285B" w14:textId="61CDA4CD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4DC49858" w14:textId="4CBFA75F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BF81CA" w14:textId="484282BB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9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E2E764" w14:textId="68774F9D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Computer-Aided Drug Discovery and Design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D3CC55" w14:textId="3E8B204E" w:rsidR="006736E9" w:rsidRPr="00F0067F" w:rsidRDefault="00416315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Perform molecular docking experiment.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52AD07" w14:textId="09F68C97" w:rsidR="006736E9" w:rsidRPr="00F0067F" w:rsidRDefault="00416315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Perform a ligand-based virtual screening using PubChem.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84CDF0" w14:textId="3AADA726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2E27D28C" w14:textId="7A1BB429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8321D2" w14:textId="0FBB3D19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10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B56217" w14:textId="1E05A412" w:rsidR="006736E9" w:rsidRPr="00F0067F" w:rsidRDefault="006736E9" w:rsidP="004F339E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SQL with python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80B5F1" w14:textId="24E6EB0D" w:rsidR="006736E9" w:rsidRPr="00F0067F" w:rsidRDefault="006575F6" w:rsidP="004F339E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Build your own database using SQLite.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D0B11F" w14:textId="2C026F32" w:rsidR="006736E9" w:rsidRPr="00F0067F" w:rsidRDefault="00EE0C6D" w:rsidP="004F339E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Access the database using SQL queries.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DB88F3" w14:textId="12971910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</w:t>
            </w:r>
          </w:p>
        </w:tc>
      </w:tr>
      <w:tr w:rsidR="006736E9" w:rsidRPr="00F0067F" w14:paraId="4986692D" w14:textId="4FDB3A93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FD30EC" w14:textId="6719F2DA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11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4AB356" w14:textId="3A4962E8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Linked Open Data and Knowledge Graph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CECFC6" w14:textId="3AB6C5C8" w:rsidR="006736E9" w:rsidRPr="00F0067F" w:rsidRDefault="00355D2C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Access PubChemRDF data through web browsers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059734" w14:textId="32C8AFFD" w:rsidR="006736E9" w:rsidRPr="00F0067F" w:rsidRDefault="00554805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Access</w:t>
            </w:r>
            <w:r w:rsidR="00355D2C" w:rsidRPr="00F0067F">
              <w:rPr>
                <w:sz w:val="20"/>
                <w:szCs w:val="20"/>
              </w:rPr>
              <w:t xml:space="preserve"> PubChem RDF data through a </w:t>
            </w:r>
            <w:r w:rsidR="008E3528" w:rsidRPr="00F0067F">
              <w:rPr>
                <w:sz w:val="20"/>
                <w:szCs w:val="20"/>
              </w:rPr>
              <w:t>python script.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62ECA6" w14:textId="7BC04EC6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</w:t>
            </w:r>
          </w:p>
        </w:tc>
      </w:tr>
      <w:tr w:rsidR="006736E9" w:rsidRPr="00F0067F" w14:paraId="09E5AF6A" w14:textId="3002DA0B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11A121" w14:textId="54B24D35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12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5F3FD6" w14:textId="5458A897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Artificial Intelligence 1: Unsupervised machine learning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720CE36" w14:textId="51AC33DE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Use KNIME to perform a cluster analysis on molecules.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939C73" w14:textId="62437C73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Perform cluster analysis on a group of molecules.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73ADB6" w14:textId="5BFC6200" w:rsidR="006736E9" w:rsidRPr="00F0067F" w:rsidRDefault="00285125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26A37141" w14:textId="795E897F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2BAA31" w14:textId="42D2A0ED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13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2CF4E9" w14:textId="25CE7D38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Artificial Intelligence 2: Supervised machine learning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BC8A0E" w14:textId="3D777A5F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Use KNIME to build a supervised bioactivity prediction model.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08F4C8" w14:textId="4E50B16F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Build a bioactivity prediction model from PubChem’s bioactivity data.</w:t>
            </w: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CDBD28" w14:textId="2BB41885" w:rsidR="006736E9" w:rsidRPr="00F0067F" w:rsidRDefault="00B708E2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Yes</w:t>
            </w:r>
          </w:p>
        </w:tc>
      </w:tr>
      <w:tr w:rsidR="006736E9" w:rsidRPr="00F0067F" w14:paraId="02CBA684" w14:textId="3D35F465" w:rsidTr="000B2FD2">
        <w:tc>
          <w:tcPr>
            <w:tcW w:w="72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4B029D" w14:textId="12C7B348" w:rsidR="006736E9" w:rsidRPr="00F0067F" w:rsidRDefault="006736E9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14</w:t>
            </w:r>
          </w:p>
        </w:tc>
        <w:tc>
          <w:tcPr>
            <w:tcW w:w="3142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B01C86" w14:textId="736CBDC9" w:rsidR="006736E9" w:rsidRPr="00F0067F" w:rsidRDefault="006736E9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Artificial Intelligence 3: Generative AI and LLMs in Chemistry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431233" w14:textId="1212620C" w:rsidR="006736E9" w:rsidRPr="00F0067F" w:rsidRDefault="00E07AC6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Brief review of all topics covered in the course</w:t>
            </w:r>
            <w:r w:rsidR="00307515" w:rsidRPr="00F0067F">
              <w:rPr>
                <w:sz w:val="20"/>
                <w:szCs w:val="20"/>
              </w:rPr>
              <w:t xml:space="preserve"> before final exam.</w:t>
            </w:r>
          </w:p>
        </w:tc>
        <w:tc>
          <w:tcPr>
            <w:tcW w:w="463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41E2058" w14:textId="56C0A3EA" w:rsidR="006736E9" w:rsidRPr="00F0067F" w:rsidRDefault="006736E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EDA33A" w14:textId="7D410473" w:rsidR="006736E9" w:rsidRPr="00F0067F" w:rsidRDefault="00B708E2" w:rsidP="00804E36">
            <w:pPr>
              <w:jc w:val="center"/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No</w:t>
            </w:r>
          </w:p>
        </w:tc>
      </w:tr>
    </w:tbl>
    <w:p w14:paraId="0CE01743" w14:textId="54363127" w:rsidR="00542AB6" w:rsidRPr="00F0067F" w:rsidRDefault="00804E36">
      <w:pPr>
        <w:rPr>
          <w:i/>
          <w:iCs/>
          <w:color w:val="FF0000"/>
          <w:sz w:val="20"/>
          <w:szCs w:val="20"/>
          <w:vertAlign w:val="superscript"/>
        </w:rPr>
      </w:pPr>
      <w:r w:rsidRPr="00F0067F">
        <w:rPr>
          <w:i/>
          <w:iCs/>
          <w:color w:val="FF0000"/>
          <w:sz w:val="20"/>
          <w:szCs w:val="20"/>
          <w:vertAlign w:val="superscript"/>
        </w:rPr>
        <w:t>a</w:t>
      </w:r>
      <w:r w:rsidR="005F0863" w:rsidRPr="00F0067F">
        <w:rPr>
          <w:iCs/>
          <w:color w:val="FF0000"/>
          <w:sz w:val="20"/>
          <w:szCs w:val="20"/>
        </w:rPr>
        <w:t xml:space="preserve"> </w:t>
      </w:r>
      <w:r w:rsidR="004C738C" w:rsidRPr="00F0067F">
        <w:rPr>
          <w:iCs/>
          <w:color w:val="FF0000"/>
          <w:sz w:val="20"/>
          <w:szCs w:val="20"/>
        </w:rPr>
        <w:t xml:space="preserve">Availability of textbook materials. </w:t>
      </w:r>
      <w:r w:rsidRPr="00F0067F">
        <w:rPr>
          <w:b/>
          <w:bCs/>
          <w:iCs/>
          <w:color w:val="FF0000"/>
          <w:sz w:val="20"/>
          <w:szCs w:val="20"/>
        </w:rPr>
        <w:t>YES</w:t>
      </w:r>
      <w:r w:rsidR="005F0863" w:rsidRPr="00F0067F">
        <w:rPr>
          <w:iCs/>
          <w:color w:val="FF0000"/>
          <w:sz w:val="20"/>
          <w:szCs w:val="20"/>
        </w:rPr>
        <w:t xml:space="preserve">: textbook materials </w:t>
      </w:r>
      <w:r w:rsidR="00835F03" w:rsidRPr="00F0067F">
        <w:rPr>
          <w:iCs/>
          <w:color w:val="FF0000"/>
          <w:sz w:val="20"/>
          <w:szCs w:val="20"/>
        </w:rPr>
        <w:t xml:space="preserve">from previous OLCCs will be reused for this course.  </w:t>
      </w:r>
      <w:r w:rsidR="00444A43" w:rsidRPr="00F0067F">
        <w:rPr>
          <w:iCs/>
          <w:color w:val="FF0000"/>
          <w:sz w:val="20"/>
          <w:szCs w:val="20"/>
        </w:rPr>
        <w:t xml:space="preserve">They are currently available on </w:t>
      </w:r>
      <w:r w:rsidR="00444A43" w:rsidRPr="00F0067F">
        <w:rPr>
          <w:iCs/>
          <w:color w:val="FF0000"/>
          <w:sz w:val="20"/>
          <w:szCs w:val="20"/>
        </w:rPr>
        <w:t xml:space="preserve">LibreTexts, and we can </w:t>
      </w:r>
      <w:r w:rsidR="007024C9" w:rsidRPr="00F0067F">
        <w:rPr>
          <w:iCs/>
          <w:color w:val="FF0000"/>
          <w:sz w:val="20"/>
          <w:szCs w:val="20"/>
        </w:rPr>
        <w:t xml:space="preserve">move them to another platform.  </w:t>
      </w:r>
      <w:r w:rsidR="00444A43" w:rsidRPr="00F0067F">
        <w:rPr>
          <w:iCs/>
          <w:color w:val="FF0000"/>
          <w:sz w:val="20"/>
          <w:szCs w:val="20"/>
        </w:rPr>
        <w:t>Some of t</w:t>
      </w:r>
      <w:r w:rsidR="00F95393" w:rsidRPr="00F0067F">
        <w:rPr>
          <w:iCs/>
          <w:color w:val="FF0000"/>
          <w:sz w:val="20"/>
          <w:szCs w:val="20"/>
        </w:rPr>
        <w:t xml:space="preserve">hese materials may need </w:t>
      </w:r>
      <w:r w:rsidR="00444A43" w:rsidRPr="00F0067F">
        <w:rPr>
          <w:iCs/>
          <w:color w:val="FF0000"/>
          <w:sz w:val="20"/>
          <w:szCs w:val="20"/>
        </w:rPr>
        <w:t>minor</w:t>
      </w:r>
      <w:r w:rsidR="00835F03" w:rsidRPr="00F0067F">
        <w:rPr>
          <w:iCs/>
          <w:color w:val="FF0000"/>
          <w:sz w:val="20"/>
          <w:szCs w:val="20"/>
        </w:rPr>
        <w:t xml:space="preserve"> </w:t>
      </w:r>
      <w:r w:rsidR="00F95393" w:rsidRPr="00F0067F">
        <w:rPr>
          <w:iCs/>
          <w:color w:val="FF0000"/>
          <w:sz w:val="20"/>
          <w:szCs w:val="20"/>
        </w:rPr>
        <w:t>updates and revisions</w:t>
      </w:r>
      <w:r w:rsidR="00444A43" w:rsidRPr="00F0067F">
        <w:rPr>
          <w:iCs/>
          <w:color w:val="FF0000"/>
          <w:sz w:val="20"/>
          <w:szCs w:val="20"/>
        </w:rPr>
        <w:t>.</w:t>
      </w:r>
      <w:r w:rsidR="00835F03" w:rsidRPr="00F0067F">
        <w:rPr>
          <w:iCs/>
          <w:color w:val="FF0000"/>
          <w:sz w:val="20"/>
          <w:szCs w:val="20"/>
        </w:rPr>
        <w:t xml:space="preserve">  </w:t>
      </w:r>
      <w:r w:rsidR="009836C4" w:rsidRPr="00F0067F">
        <w:rPr>
          <w:b/>
          <w:bCs/>
          <w:iCs/>
          <w:color w:val="FF0000"/>
          <w:sz w:val="20"/>
          <w:szCs w:val="20"/>
        </w:rPr>
        <w:t>N</w:t>
      </w:r>
      <w:r w:rsidR="00AD0002" w:rsidRPr="00F0067F">
        <w:rPr>
          <w:b/>
          <w:bCs/>
          <w:iCs/>
          <w:color w:val="FF0000"/>
          <w:sz w:val="20"/>
          <w:szCs w:val="20"/>
        </w:rPr>
        <w:t>O</w:t>
      </w:r>
      <w:r w:rsidR="009836C4" w:rsidRPr="00F0067F">
        <w:rPr>
          <w:iCs/>
          <w:color w:val="FF0000"/>
          <w:sz w:val="20"/>
          <w:szCs w:val="20"/>
        </w:rPr>
        <w:t>: new textbook materials will be created from scratch.</w:t>
      </w:r>
    </w:p>
    <w:sectPr w:rsidR="00542AB6" w:rsidRPr="00F0067F" w:rsidSect="000B2F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C5A7" w14:textId="77777777" w:rsidR="00455D7E" w:rsidRDefault="00455D7E" w:rsidP="00F0067F">
      <w:pPr>
        <w:spacing w:after="0" w:line="240" w:lineRule="auto"/>
      </w:pPr>
      <w:r>
        <w:separator/>
      </w:r>
    </w:p>
  </w:endnote>
  <w:endnote w:type="continuationSeparator" w:id="0">
    <w:p w14:paraId="4D17CC23" w14:textId="77777777" w:rsidR="00455D7E" w:rsidRDefault="00455D7E" w:rsidP="00F0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8766" w14:textId="77777777" w:rsidR="00455D7E" w:rsidRDefault="00455D7E" w:rsidP="00F0067F">
      <w:pPr>
        <w:spacing w:after="0" w:line="240" w:lineRule="auto"/>
      </w:pPr>
      <w:r>
        <w:separator/>
      </w:r>
    </w:p>
  </w:footnote>
  <w:footnote w:type="continuationSeparator" w:id="0">
    <w:p w14:paraId="4D251B9B" w14:textId="77777777" w:rsidR="00455D7E" w:rsidRDefault="00455D7E" w:rsidP="00F0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686D"/>
    <w:multiLevelType w:val="hybridMultilevel"/>
    <w:tmpl w:val="B914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9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xsDC0sDA1N7U0M7FU0lEKTi0uzszPAykwqQUAwnSNwCwAAAA="/>
  </w:docVars>
  <w:rsids>
    <w:rsidRoot w:val="00F570E9"/>
    <w:rsid w:val="00037B1C"/>
    <w:rsid w:val="00042940"/>
    <w:rsid w:val="00086FB1"/>
    <w:rsid w:val="000874D0"/>
    <w:rsid w:val="000B2FD2"/>
    <w:rsid w:val="000C5118"/>
    <w:rsid w:val="000D4892"/>
    <w:rsid w:val="00102F5C"/>
    <w:rsid w:val="00115E46"/>
    <w:rsid w:val="001175F6"/>
    <w:rsid w:val="001A1932"/>
    <w:rsid w:val="001A1DA4"/>
    <w:rsid w:val="001B6E41"/>
    <w:rsid w:val="001C65D7"/>
    <w:rsid w:val="001E2B98"/>
    <w:rsid w:val="001F060E"/>
    <w:rsid w:val="00231FD8"/>
    <w:rsid w:val="00243977"/>
    <w:rsid w:val="00253AC0"/>
    <w:rsid w:val="00285125"/>
    <w:rsid w:val="00286A0D"/>
    <w:rsid w:val="002928AD"/>
    <w:rsid w:val="00296AC9"/>
    <w:rsid w:val="002B3F73"/>
    <w:rsid w:val="002E1FE7"/>
    <w:rsid w:val="002E483C"/>
    <w:rsid w:val="00300606"/>
    <w:rsid w:val="00307515"/>
    <w:rsid w:val="003129B1"/>
    <w:rsid w:val="00332AE3"/>
    <w:rsid w:val="00355D2C"/>
    <w:rsid w:val="00371554"/>
    <w:rsid w:val="00381783"/>
    <w:rsid w:val="003A5701"/>
    <w:rsid w:val="003B0246"/>
    <w:rsid w:val="003D5D79"/>
    <w:rsid w:val="003E1F2A"/>
    <w:rsid w:val="004112C2"/>
    <w:rsid w:val="00416142"/>
    <w:rsid w:val="00416315"/>
    <w:rsid w:val="00444A43"/>
    <w:rsid w:val="00455D7E"/>
    <w:rsid w:val="00467854"/>
    <w:rsid w:val="004A1FA2"/>
    <w:rsid w:val="004C738C"/>
    <w:rsid w:val="004F339E"/>
    <w:rsid w:val="004F7BC0"/>
    <w:rsid w:val="005039EB"/>
    <w:rsid w:val="00520867"/>
    <w:rsid w:val="0052643C"/>
    <w:rsid w:val="00542AB6"/>
    <w:rsid w:val="00554805"/>
    <w:rsid w:val="00560F17"/>
    <w:rsid w:val="005757B8"/>
    <w:rsid w:val="005779CE"/>
    <w:rsid w:val="005941CE"/>
    <w:rsid w:val="005A6FC9"/>
    <w:rsid w:val="005B2E29"/>
    <w:rsid w:val="005C4DDA"/>
    <w:rsid w:val="005E3A8F"/>
    <w:rsid w:val="005F0863"/>
    <w:rsid w:val="005F12B1"/>
    <w:rsid w:val="005F37A8"/>
    <w:rsid w:val="00606E33"/>
    <w:rsid w:val="0062025A"/>
    <w:rsid w:val="006472B4"/>
    <w:rsid w:val="006575F6"/>
    <w:rsid w:val="00666129"/>
    <w:rsid w:val="006679E2"/>
    <w:rsid w:val="006736E9"/>
    <w:rsid w:val="00681FC2"/>
    <w:rsid w:val="006A3453"/>
    <w:rsid w:val="006B1CEB"/>
    <w:rsid w:val="006C7557"/>
    <w:rsid w:val="006D2E73"/>
    <w:rsid w:val="006E0ECE"/>
    <w:rsid w:val="006F7399"/>
    <w:rsid w:val="007015DC"/>
    <w:rsid w:val="007024C9"/>
    <w:rsid w:val="007A552A"/>
    <w:rsid w:val="007A7C43"/>
    <w:rsid w:val="007E4B21"/>
    <w:rsid w:val="007F31F7"/>
    <w:rsid w:val="0080370E"/>
    <w:rsid w:val="00804537"/>
    <w:rsid w:val="00804E36"/>
    <w:rsid w:val="00810B24"/>
    <w:rsid w:val="00816429"/>
    <w:rsid w:val="00826870"/>
    <w:rsid w:val="00835F03"/>
    <w:rsid w:val="0089721E"/>
    <w:rsid w:val="008A3B62"/>
    <w:rsid w:val="008C3E8A"/>
    <w:rsid w:val="008E3528"/>
    <w:rsid w:val="008E71F0"/>
    <w:rsid w:val="0092717A"/>
    <w:rsid w:val="0093636B"/>
    <w:rsid w:val="00964D2D"/>
    <w:rsid w:val="00975667"/>
    <w:rsid w:val="009836C4"/>
    <w:rsid w:val="009A496D"/>
    <w:rsid w:val="009B48FF"/>
    <w:rsid w:val="009D36FB"/>
    <w:rsid w:val="009E59A9"/>
    <w:rsid w:val="00A00391"/>
    <w:rsid w:val="00A0795F"/>
    <w:rsid w:val="00A55CA0"/>
    <w:rsid w:val="00A90FC4"/>
    <w:rsid w:val="00AC5B04"/>
    <w:rsid w:val="00AD0002"/>
    <w:rsid w:val="00AD0156"/>
    <w:rsid w:val="00B03E99"/>
    <w:rsid w:val="00B072E6"/>
    <w:rsid w:val="00B158A1"/>
    <w:rsid w:val="00B30B75"/>
    <w:rsid w:val="00B37BEA"/>
    <w:rsid w:val="00B708E2"/>
    <w:rsid w:val="00B70FB4"/>
    <w:rsid w:val="00B90951"/>
    <w:rsid w:val="00BB3ECC"/>
    <w:rsid w:val="00C046B1"/>
    <w:rsid w:val="00C3604A"/>
    <w:rsid w:val="00C95B6F"/>
    <w:rsid w:val="00CC078B"/>
    <w:rsid w:val="00CC7E3C"/>
    <w:rsid w:val="00CE2A38"/>
    <w:rsid w:val="00D36AD2"/>
    <w:rsid w:val="00D40A56"/>
    <w:rsid w:val="00D62EFD"/>
    <w:rsid w:val="00D65E6F"/>
    <w:rsid w:val="00D94AC3"/>
    <w:rsid w:val="00DA2977"/>
    <w:rsid w:val="00DC0DFD"/>
    <w:rsid w:val="00E07AC6"/>
    <w:rsid w:val="00E5697E"/>
    <w:rsid w:val="00E86BB0"/>
    <w:rsid w:val="00EE0C6D"/>
    <w:rsid w:val="00F0067F"/>
    <w:rsid w:val="00F07FEB"/>
    <w:rsid w:val="00F13A4C"/>
    <w:rsid w:val="00F176C5"/>
    <w:rsid w:val="00F27D74"/>
    <w:rsid w:val="00F570E9"/>
    <w:rsid w:val="00F6657C"/>
    <w:rsid w:val="00F77607"/>
    <w:rsid w:val="00F7794D"/>
    <w:rsid w:val="00F95393"/>
    <w:rsid w:val="00FA69B7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636B"/>
  <w15:chartTrackingRefBased/>
  <w15:docId w15:val="{10CA272A-6A82-4734-A116-AFF511D0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129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29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3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7F"/>
  </w:style>
  <w:style w:type="paragraph" w:styleId="Footer">
    <w:name w:val="footer"/>
    <w:basedOn w:val="Normal"/>
    <w:link w:val="FooterChar"/>
    <w:uiPriority w:val="99"/>
    <w:unhideWhenUsed/>
    <w:rsid w:val="00F00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cpz1.2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m.nih.gov/oet/ed/pubchem/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Sunghwan (NIH/NLM/NCBI) [E]</dc:creator>
  <cp:keywords/>
  <dc:description/>
  <cp:lastModifiedBy>Kim, Sunghwan (NIH/NLM/NCBI) [E]</cp:lastModifiedBy>
  <cp:revision>146</cp:revision>
  <dcterms:created xsi:type="dcterms:W3CDTF">2025-01-03T20:03:00Z</dcterms:created>
  <dcterms:modified xsi:type="dcterms:W3CDTF">2025-02-13T02:17:00Z</dcterms:modified>
</cp:coreProperties>
</file>