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4E80"/>
          <w:sz w:val="40"/>
        </w:rPr>
        <w:t>RINGKASAN KEBIJAKAN FORMULARIUM</w:t>
      </w:r>
    </w:p>
    <w:p>
      <w:pPr>
        <w:jc w:val="center"/>
      </w:pPr>
      <w:r>
        <w:rPr>
          <w:i/>
          <w:sz w:val="24"/>
        </w:rPr>
        <w:t>Komite Farmasi dan Terapi (KFT)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ID Kasus</w:t>
            </w:r>
          </w:p>
        </w:tc>
        <w:tc>
          <w:tcPr>
            <w:tcW w:type="dxa" w:w="4536"/>
          </w:tcPr>
          <w:p>
            <w:r>
              <w:t>DB_DEMO_HF_001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4536"/>
          </w:tcPr>
          <w:p>
            <w:r>
              <w:t>Demo ARNI vs Ramipril pada HFrEF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Intervensi</w:t>
            </w:r>
          </w:p>
        </w:tc>
        <w:tc>
          <w:tcPr>
            <w:tcW w:type="dxa" w:w="4536"/>
          </w:tcPr>
          <w:p>
            <w:r>
              <w:t>Sacubitril/valsartan (ARNI)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Komparator</w:t>
            </w:r>
          </w:p>
        </w:tc>
        <w:tc>
          <w:tcPr>
            <w:tcW w:type="dxa" w:w="4536"/>
          </w:tcPr>
          <w:p>
            <w:r>
              <w:t>Ramipril (ACEI)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Indikasi</w:t>
            </w:r>
          </w:p>
        </w:tc>
        <w:tc>
          <w:tcPr>
            <w:tcW w:type="dxa" w:w="4536"/>
          </w:tcPr>
          <w:p>
            <w:r>
              <w:t>Heart failure with reduced ejection fraction (HFrEF)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Status saat ini</w:t>
            </w:r>
          </w:p>
        </w:tc>
        <w:tc>
          <w:tcPr>
            <w:tcW w:type="dxa" w:w="4536"/>
          </w:tcPr>
          <w:p>
            <w:r>
              <w:t>Disetujui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Versi dokumen</w:t>
            </w:r>
          </w:p>
        </w:tc>
        <w:tc>
          <w:tcPr>
            <w:tcW w:type="dxa" w:w="4536"/>
          </w:tcPr>
          <w:p>
            <w:r>
              <w:t>v2</w:t>
            </w:r>
          </w:p>
        </w:tc>
      </w:tr>
      <w:tr>
        <w:tc>
          <w:tcPr>
            <w:tcW w:type="dxa" w:w="4536"/>
          </w:tcPr>
          <w:p>
            <w:r>
              <w:rPr>
                <w:b/>
              </w:rPr>
              <w:t>Tanggal terbit</w:t>
            </w:r>
          </w:p>
        </w:tc>
        <w:tc>
          <w:tcPr>
            <w:tcW w:type="dxa" w:w="4536"/>
          </w:tcPr>
          <w:p>
            <w:r>
              <w:t>13 Oktober 2026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C4E80"/>
        </w:rPr>
        <w:t>1. Ringkasan Eksekutif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fill="F08C00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KUNING — ADOPSI BERSYARAT (CBA)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536"/>
          </w:tcPr>
          <w:p>
            <w:r>
              <w:t>Skor Komposit</w:t>
            </w:r>
          </w:p>
        </w:tc>
        <w:tc>
          <w:tcPr>
            <w:tcW w:type="dxa" w:w="4536"/>
          </w:tcPr>
          <w:p>
            <w:r>
              <w:t>69.44 / 100</w:t>
            </w:r>
          </w:p>
        </w:tc>
      </w:tr>
      <w:tr>
        <w:tc>
          <w:tcPr>
            <w:tcW w:type="dxa" w:w="4536"/>
          </w:tcPr>
          <w:p>
            <w:r>
              <w:t>Bukti EtD (bobot 40%)</w:t>
            </w:r>
          </w:p>
        </w:tc>
        <w:tc>
          <w:tcPr>
            <w:tcW w:type="dxa" w:w="4536"/>
          </w:tcPr>
          <w:p>
            <w:r>
              <w:t>73.61</w:t>
            </w:r>
          </w:p>
        </w:tc>
      </w:tr>
      <w:tr>
        <w:tc>
          <w:tcPr>
            <w:tcW w:type="dxa" w:w="4536"/>
          </w:tcPr>
          <w:p>
            <w:r>
              <w:t>Cost-effectiveness (bobot 30%)</w:t>
            </w:r>
          </w:p>
        </w:tc>
        <w:tc>
          <w:tcPr>
            <w:tcW w:type="dxa" w:w="4536"/>
          </w:tcPr>
          <w:p>
            <w:r>
              <w:t>100.00</w:t>
            </w:r>
          </w:p>
        </w:tc>
      </w:tr>
      <w:tr>
        <w:tc>
          <w:tcPr>
            <w:tcW w:type="dxa" w:w="4536"/>
          </w:tcPr>
          <w:p>
            <w:r>
              <w:t>Dampak Anggaran (bobot 20%)</w:t>
            </w:r>
          </w:p>
        </w:tc>
        <w:tc>
          <w:tcPr>
            <w:tcW w:type="dxa" w:w="4536"/>
          </w:tcPr>
          <w:p>
            <w:r>
              <w:t>50.00</w:t>
            </w:r>
          </w:p>
        </w:tc>
      </w:tr>
      <w:tr>
        <w:tc>
          <w:tcPr>
            <w:tcW w:type="dxa" w:w="4536"/>
          </w:tcPr>
          <w:p>
            <w:r>
              <w:t>Kriteria CBA (bobot 10%)</w:t>
            </w:r>
          </w:p>
        </w:tc>
        <w:tc>
          <w:tcPr>
            <w:tcW w:type="dxa" w:w="4536"/>
          </w:tcPr>
          <w:p>
            <w:r>
              <w:t>0.00</w:t>
            </w:r>
          </w:p>
        </w:tc>
      </w:tr>
      <w:tr>
        <w:tc>
          <w:tcPr>
            <w:tcW w:type="dxa" w:w="4536"/>
          </w:tcPr>
          <w:p>
            <w:r>
              <w:t>Algoritma</w:t>
            </w:r>
          </w:p>
        </w:tc>
        <w:tc>
          <w:tcPr>
            <w:tcW w:type="dxa" w:w="4536"/>
          </w:tcPr>
          <w:p>
            <w:r>
              <w:t>2.0.0</w:t>
            </w:r>
          </w:p>
        </w:tc>
      </w:tr>
      <w:tr>
        <w:tc>
          <w:tcPr>
            <w:tcW w:type="dxa" w:w="4536"/>
          </w:tcPr>
          <w:p>
            <w:r>
              <w:t>Waktu komputasi</w:t>
            </w:r>
          </w:p>
        </w:tc>
        <w:tc>
          <w:tcPr>
            <w:tcW w:type="dxa" w:w="4536"/>
          </w:tcPr>
          <w:p>
            <w:r>
              <w:t>13 Oktober 2026, 20:44 WIB</w:t>
            </w:r>
          </w:p>
        </w:tc>
      </w:tr>
    </w:tbl>
    <w:p/>
    <w:p>
      <w:r>
        <w:rPr>
          <w:b/>
        </w:rPr>
        <w:t xml:space="preserve">Justifikasi: </w:t>
      </w:r>
    </w:p>
    <w:p>
      <w:r>
        <w:t>Skor komposit: 69.44 / 100. Bukti EtD: 73.61 (bobot 40%). CEA: 100 (bobot 30%). Anggaran (BIA): 50 (bobot 20%). Tidak ada dari 4 kriteria CBA terpenuhi (skor 0, bobot 10%). REKOMENDASI: KUNING — adopsi bersyarat.</w:t>
      </w:r>
    </w:p>
    <w:p>
      <w:pPr>
        <w:pStyle w:val="Heading1"/>
      </w:pPr>
      <w:r>
        <w:rPr>
          <w:color w:val="1C4E80"/>
        </w:rPr>
        <w:t>2. Analisis Efektivitas Biaya (CEA)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</w:tcPr>
          <w:p>
            <w:r>
              <w:rPr>
                <w:b/>
              </w:rPr>
              <w:t>Komponen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</w:rPr>
              <w:t>Nilai</w:t>
            </w:r>
          </w:p>
        </w:tc>
      </w:tr>
      <w:tr>
        <w:tc>
          <w:tcPr>
            <w:tcW w:type="dxa" w:w="4536"/>
          </w:tcPr>
          <w:p>
            <w:r>
              <w:t>ICER</w:t>
            </w:r>
          </w:p>
        </w:tc>
        <w:tc>
          <w:tcPr>
            <w:tcW w:type="dxa" w:w="4536"/>
          </w:tcPr>
          <w:p>
            <w:r>
              <w:t>Rp 203.636.364 per unit efektivitas</w:t>
            </w:r>
          </w:p>
        </w:tc>
      </w:tr>
      <w:tr>
        <w:tc>
          <w:tcPr>
            <w:tcW w:type="dxa" w:w="4536"/>
          </w:tcPr>
          <w:p>
            <w:r>
              <w:t>Klasifikasi dominansi</w:t>
            </w:r>
          </w:p>
        </w:tc>
        <w:tc>
          <w:tcPr>
            <w:tcW w:type="dxa" w:w="4536"/>
          </w:tcPr>
          <w:p>
            <w:r>
              <w:t>Cost-effective pada WTP terpilih</w:t>
            </w:r>
          </w:p>
        </w:tc>
      </w:tr>
      <w:tr>
        <w:tc>
          <w:tcPr>
            <w:tcW w:type="dxa" w:w="4536"/>
          </w:tcPr>
          <w:p>
            <w:r>
              <w:t>Biaya intervensi</w:t>
            </w:r>
          </w:p>
        </w:tc>
        <w:tc>
          <w:tcPr>
            <w:tcW w:type="dxa" w:w="4536"/>
          </w:tcPr>
          <w:p>
            <w:r>
              <w:t>Rp 15.300.000</w:t>
            </w:r>
          </w:p>
        </w:tc>
      </w:tr>
      <w:tr>
        <w:tc>
          <w:tcPr>
            <w:tcW w:type="dxa" w:w="4536"/>
          </w:tcPr>
          <w:p>
            <w:r>
              <w:t>Biaya komparator</w:t>
            </w:r>
          </w:p>
        </w:tc>
        <w:tc>
          <w:tcPr>
            <w:tcW w:type="dxa" w:w="4536"/>
          </w:tcPr>
          <w:p>
            <w:r>
              <w:t>Rp 4.100.000</w:t>
            </w:r>
          </w:p>
        </w:tc>
      </w:tr>
      <w:tr>
        <w:tc>
          <w:tcPr>
            <w:tcW w:type="dxa" w:w="4536"/>
          </w:tcPr>
          <w:p>
            <w:r>
              <w:t>Efektivitas intervensi (QALY)</w:t>
            </w:r>
          </w:p>
        </w:tc>
        <w:tc>
          <w:tcPr>
            <w:tcW w:type="dxa" w:w="4536"/>
          </w:tcPr>
          <w:p>
            <w:r>
              <w:t>0.7500</w:t>
            </w:r>
          </w:p>
        </w:tc>
      </w:tr>
      <w:tr>
        <w:tc>
          <w:tcPr>
            <w:tcW w:type="dxa" w:w="4536"/>
          </w:tcPr>
          <w:p>
            <w:r>
              <w:t>Efektivitas komparator (QALY)</w:t>
            </w:r>
          </w:p>
        </w:tc>
        <w:tc>
          <w:tcPr>
            <w:tcW w:type="dxa" w:w="4536"/>
          </w:tcPr>
          <w:p>
            <w:r>
              <w:t>0.6950</w:t>
            </w:r>
          </w:p>
        </w:tc>
      </w:tr>
      <w:tr>
        <w:tc>
          <w:tcPr>
            <w:tcW w:type="dxa" w:w="4536"/>
          </w:tcPr>
          <w:p>
            <w:r>
              <w:t>Ambang WTOP</w:t>
            </w:r>
          </w:p>
        </w:tc>
        <w:tc>
          <w:tcPr>
            <w:tcW w:type="dxa" w:w="4536"/>
          </w:tcPr>
          <w:p>
            <w:r>
              <w:t>Rp 300.000.000 / QALY</w:t>
            </w:r>
          </w:p>
        </w:tc>
      </w:tr>
      <w:tr>
        <w:tc>
          <w:tcPr>
            <w:tcW w:type="dxa" w:w="4536"/>
          </w:tcPr>
          <w:p>
            <w:r>
              <w:t>Skor CE</w:t>
            </w:r>
          </w:p>
        </w:tc>
        <w:tc>
          <w:tcPr>
            <w:tcW w:type="dxa" w:w="4536"/>
          </w:tcPr>
          <w:p>
            <w:r>
              <w:t>100.00 / 100</w:t>
            </w:r>
          </w:p>
        </w:tc>
      </w:tr>
    </w:tbl>
    <w:p>
      <w:pPr>
        <w:pStyle w:val="Heading1"/>
      </w:pPr>
      <w:r>
        <w:rPr>
          <w:color w:val="1C4E80"/>
        </w:rPr>
        <w:t>3. Analisis Dampak Anggaran (BIA)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Pasien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Dampak Biaya</w:t>
            </w:r>
          </w:p>
        </w:tc>
        <w:tc>
          <w:tcPr>
            <w:tcW w:type="dxa" w:w="2268"/>
            <w:vAlign w:val="center"/>
          </w:tcPr>
          <w:p>
            <w:r>
              <w:rPr>
                <w:b/>
              </w:rPr>
              <w:t>% Anggaran</w:t>
            </w:r>
          </w:p>
        </w:tc>
      </w:tr>
      <w:tr>
        <w:tc>
          <w:tcPr>
            <w:tcW w:type="dxa" w:w="2268"/>
          </w:tcPr>
          <w:p>
            <w:r>
              <w:t>Tahun 1</w:t>
            </w:r>
          </w:p>
        </w:tc>
        <w:tc>
          <w:tcPr>
            <w:tcW w:type="dxa" w:w="2268"/>
          </w:tcPr>
          <w:p>
            <w:r>
              <w:t>40</w:t>
            </w:r>
          </w:p>
        </w:tc>
        <w:tc>
          <w:tcPr>
            <w:tcW w:type="dxa" w:w="2268"/>
          </w:tcPr>
          <w:p>
            <w:r>
              <w:t>Rp 448.000.000</w:t>
            </w:r>
          </w:p>
        </w:tc>
        <w:tc>
          <w:tcPr>
            <w:tcW w:type="dxa" w:w="2268"/>
          </w:tcPr>
          <w:p>
            <w:r>
              <w:t>2.24%</w:t>
            </w:r>
          </w:p>
        </w:tc>
      </w:tr>
      <w:tr>
        <w:tc>
          <w:tcPr>
            <w:tcW w:type="dxa" w:w="2268"/>
          </w:tcPr>
          <w:p>
            <w:r>
              <w:t>Tahun 2</w:t>
            </w:r>
          </w:p>
        </w:tc>
        <w:tc>
          <w:tcPr>
            <w:tcW w:type="dxa" w:w="2268"/>
          </w:tcPr>
          <w:p>
            <w:r>
              <w:t>77</w:t>
            </w:r>
          </w:p>
        </w:tc>
        <w:tc>
          <w:tcPr>
            <w:tcW w:type="dxa" w:w="2268"/>
          </w:tcPr>
          <w:p>
            <w:r>
              <w:t>Rp 862.400.000</w:t>
            </w:r>
          </w:p>
        </w:tc>
        <w:tc>
          <w:tcPr>
            <w:tcW w:type="dxa" w:w="2268"/>
          </w:tcPr>
          <w:p>
            <w:r>
              <w:t>4.31%</w:t>
            </w:r>
          </w:p>
        </w:tc>
      </w:tr>
      <w:tr>
        <w:tc>
          <w:tcPr>
            <w:tcW w:type="dxa" w:w="2268"/>
          </w:tcPr>
          <w:p>
            <w:r>
              <w:t>Tahun 3</w:t>
            </w:r>
          </w:p>
        </w:tc>
        <w:tc>
          <w:tcPr>
            <w:tcW w:type="dxa" w:w="2268"/>
          </w:tcPr>
          <w:p>
            <w:r>
              <w:t>120</w:t>
            </w:r>
          </w:p>
        </w:tc>
        <w:tc>
          <w:tcPr>
            <w:tcW w:type="dxa" w:w="2268"/>
          </w:tcPr>
          <w:p>
            <w:r>
              <w:t>Rp 1.344.000.000</w:t>
            </w:r>
          </w:p>
        </w:tc>
        <w:tc>
          <w:tcPr>
            <w:tcW w:type="dxa" w:w="2268"/>
          </w:tcPr>
          <w:p>
            <w:r>
              <w:t>6.72%</w:t>
            </w:r>
          </w:p>
        </w:tc>
      </w:tr>
      <w:tr>
        <w:tc>
          <w:tcPr>
            <w:tcW w:type="dxa" w:w="2268"/>
          </w:tcPr>
          <w:p>
            <w:r>
              <w:t>Kumulatif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Rp 2.654.400.000</w:t>
            </w:r>
          </w:p>
        </w:tc>
        <w:tc>
          <w:tcPr>
            <w:tcW w:type="dxa" w:w="2268"/>
          </w:tcPr>
          <w:p>
            <w:r>
              <w:t>4.42%</w:t>
            </w:r>
          </w:p>
        </w:tc>
      </w:tr>
    </w:tbl>
    <w:p/>
    <w:p>
      <w:r>
        <w:rPr>
          <w:b/>
        </w:rPr>
        <w:t xml:space="preserve">Klasifikasi severity: </w:t>
      </w:r>
      <w:r>
        <w:t>Signifikan</w:t>
      </w:r>
    </w:p>
    <w:p>
      <w:pPr>
        <w:pStyle w:val="Heading1"/>
      </w:pPr>
      <w:r>
        <w:rPr>
          <w:color w:val="1C4E80"/>
        </w:rPr>
        <w:t>4. Evidence-to-Decision (EtD) — 9 Domain GRADE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Skor rata-rata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Judgement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Certainty dominan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Voter</w:t>
            </w:r>
          </w:p>
        </w:tc>
      </w:tr>
      <w:tr>
        <w:tc>
          <w:tcPr>
            <w:tcW w:type="dxa" w:w="1814"/>
          </w:tcPr>
          <w:p>
            <w:r>
              <w:t>Masalah (Problem)</w:t>
            </w:r>
          </w:p>
        </w:tc>
        <w:tc>
          <w:tcPr>
            <w:tcW w:type="dxa" w:w="1814"/>
          </w:tcPr>
          <w:p>
            <w:r>
              <w:t>100.00</w:t>
            </w:r>
          </w:p>
        </w:tc>
        <w:tc>
          <w:tcPr>
            <w:tcW w:type="dxa" w:w="1814"/>
          </w:tcPr>
          <w:p>
            <w:r>
              <w:t>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Efek yang Diinginkan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Efek yang Tidak Diinginkan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Kepastian Bukti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Nilai &amp; Preferensi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Penggunaan Sumber Daya</w:t>
            </w:r>
          </w:p>
        </w:tc>
        <w:tc>
          <w:tcPr>
            <w:tcW w:type="dxa" w:w="1814"/>
          </w:tcPr>
          <w:p>
            <w:r>
              <w:t>50.00</w:t>
            </w:r>
          </w:p>
        </w:tc>
        <w:tc>
          <w:tcPr>
            <w:tcW w:type="dxa" w:w="1814"/>
          </w:tcPr>
          <w:p>
            <w:r>
              <w:t>Tidak pasti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Ekuitas</w:t>
            </w:r>
          </w:p>
        </w:tc>
        <w:tc>
          <w:tcPr>
            <w:tcW w:type="dxa" w:w="1814"/>
          </w:tcPr>
          <w:p>
            <w:r>
              <w:t>50.00</w:t>
            </w:r>
          </w:p>
        </w:tc>
        <w:tc>
          <w:tcPr>
            <w:tcW w:type="dxa" w:w="1814"/>
          </w:tcPr>
          <w:p>
            <w:r>
              <w:t>Tidak pasti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Kelayakan Implementasi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  <w:tr>
        <w:tc>
          <w:tcPr>
            <w:tcW w:type="dxa" w:w="1814"/>
          </w:tcPr>
          <w:p>
            <w:r>
              <w:t>Penerimaan oleh Pemangku Kepentingan</w:t>
            </w:r>
          </w:p>
        </w:tc>
        <w:tc>
          <w:tcPr>
            <w:tcW w:type="dxa" w:w="1814"/>
          </w:tcPr>
          <w:p>
            <w:r>
              <w:t>75.00</w:t>
            </w:r>
          </w:p>
        </w:tc>
        <w:tc>
          <w:tcPr>
            <w:tcW w:type="dxa" w:w="1814"/>
          </w:tcPr>
          <w:p>
            <w:r>
              <w:t>Mungkin ya</w:t>
            </w:r>
          </w:p>
        </w:tc>
        <w:tc>
          <w:tcPr>
            <w:tcW w:type="dxa" w:w="1814"/>
          </w:tcPr>
          <w:p>
            <w:r>
              <w:t>Sedang</w:t>
            </w:r>
          </w:p>
        </w:tc>
        <w:tc>
          <w:tcPr>
            <w:tcW w:type="dxa" w:w="1814"/>
          </w:tcPr>
          <w:p>
            <w:r>
              <w:t>1</w:t>
            </w:r>
          </w:p>
        </w:tc>
      </w:tr>
    </w:tbl>
    <w:p/>
    <w:p>
      <w:r>
        <w:t>Domain terisi: 9 / 9 · Skor kekuatan bukti agregat: 73.61 / 100</w:t>
      </w:r>
    </w:p>
    <w:p>
      <w:pPr>
        <w:pStyle w:val="Heading1"/>
      </w:pPr>
      <w:r>
        <w:rPr>
          <w:color w:val="1C4E80"/>
        </w:rPr>
        <w:t>5. Kriteria Akses (CBA)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Kriteria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Nilai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Terpenuhi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Catatan</w:t>
            </w:r>
          </w:p>
        </w:tc>
      </w:tr>
      <w:tr>
        <w:tc>
          <w:tcPr>
            <w:tcW w:type="dxa" w:w="1814"/>
          </w:tcPr>
          <w:p>
            <w:r>
              <w:t>Eligibilitas: HFrEF terkonfirmasi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Diagnosis HFrEF dikonfirmasi (LVEF ≤40%, NYHA II–IV); memenuhi kriteria klinis lokal.</w:t>
            </w:r>
          </w:p>
        </w:tc>
      </w:tr>
      <w:tr>
        <w:tc>
          <w:tcPr>
            <w:tcW w:type="dxa" w:w="1814"/>
          </w:tcPr>
          <w:p>
            <w:r>
              <w:t>Prescriber: inisiasi oleh spesialis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Inisiasi oleh spesialis terkait.</w:t>
            </w:r>
          </w:p>
        </w:tc>
      </w:tr>
      <w:tr>
        <w:tc>
          <w:tcPr>
            <w:tcW w:type="dxa" w:w="1814"/>
          </w:tcPr>
          <w:p>
            <w:r>
              <w:t>Monitoring: tekanan darah, fungsi ginjal, K+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Tekanan darah, fungsi ginjal dan kalium dimonitor; review tolerabilitas.</w:t>
            </w:r>
          </w:p>
        </w:tc>
      </w:tr>
      <w:tr>
        <w:tc>
          <w:tcPr>
            <w:tcW w:type="dxa" w:w="1814"/>
          </w:tcPr>
          <w:p>
            <w:r>
              <w:t>Stop/reassess</w:t>
            </w:r>
          </w:p>
        </w:tc>
        <w:tc>
          <w:tcPr>
            <w:tcW w:type="dxa" w:w="1814"/>
          </w:tcPr>
          <w:p>
            <w:r>
              <w:t>Ada / Terdapat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Belum</w:t>
            </w:r>
          </w:p>
        </w:tc>
        <w:tc>
          <w:tcPr>
            <w:tcW w:type="dxa" w:w="1814"/>
          </w:tcPr>
          <w:p>
            <w:r>
              <w:t>Reassess bila intoleransi/masalah keselamatan atau tidak lagi memenuhi kriteria.</w:t>
            </w:r>
          </w:p>
        </w:tc>
      </w:tr>
    </w:tbl>
    <w:p/>
    <w:p>
      <w:r>
        <w:t>Status keseluruhan: 0 / 4 kriteria terpenuhi · Skor CBA: 0.00 / 100</w:t>
      </w:r>
    </w:p>
    <w:p>
      <w:pPr>
        <w:pStyle w:val="Heading1"/>
      </w:pPr>
      <w:r>
        <w:rPr>
          <w:color w:val="1C4E80"/>
        </w:rPr>
        <w:t>6. Daftar Referensi</w:t>
      </w:r>
    </w:p>
    <w:p>
      <w:pPr>
        <w:pStyle w:val="ListNumber"/>
      </w:pPr>
      <w:r>
        <w:t>[1] (2026). SRC-DEMO-01 Farmasi demo (sintetis, 2026)</w:t>
      </w:r>
    </w:p>
    <w:p>
      <w:pPr>
        <w:pStyle w:val="ListNumber"/>
      </w:pPr>
      <w:r>
        <w:t>[2] (2026). SRC-DEMO-02 RWE demo (sintetis, 2026)</w:t>
      </w:r>
    </w:p>
    <w:p>
      <w:pPr>
        <w:pStyle w:val="ListNumber"/>
      </w:pPr>
      <w:r>
        <w:t>[3] (2026). SRC-DEMO-03 Billing demo (sintetis, 2026)</w:t>
      </w:r>
    </w:p>
    <w:p>
      <w:pPr>
        <w:pStyle w:val="ListNumber"/>
      </w:pPr>
      <w:r>
        <w:t>[4] (2026). SRC-DEMO-04 Utility demo (sintetis, 2026)</w:t>
      </w:r>
    </w:p>
    <w:p>
      <w:pPr>
        <w:pStyle w:val="ListNumber"/>
      </w:pPr>
      <w:r>
        <w:t>[5] (2026). SRC-DEMO-05 SIMRS demo (sintetis, 2026)</w:t>
      </w:r>
    </w:p>
    <w:p>
      <w:pPr>
        <w:pStyle w:val="ListNumber"/>
      </w:pPr>
      <w:r>
        <w:t>[6] (2026). SRC-DEMO-06 Protokol latihan (asumsi, 2026)</w:t>
      </w:r>
    </w:p>
    <w:p>
      <w:pPr>
        <w:pStyle w:val="Heading1"/>
      </w:pPr>
      <w:r>
        <w:rPr>
          <w:color w:val="1C4E80"/>
        </w:rPr>
        <w:t>7. Ringkasan Audit &amp; Tanda Tangan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Keputusan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Penandatangan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Alasan</w:t>
            </w:r>
          </w:p>
        </w:tc>
        <w:tc>
          <w:tcPr>
            <w:tcW w:type="dxa" w:w="1814"/>
            <w:vAlign w:val="center"/>
          </w:tcPr>
          <w:p>
            <w:r>
              <w:rPr>
                <w:b/>
              </w:rPr>
              <w:t>IP</w:t>
            </w:r>
          </w:p>
        </w:tc>
      </w:tr>
      <w:tr>
        <w:tc>
          <w:tcPr>
            <w:tcW w:type="dxa" w:w="1814"/>
          </w:tcPr>
          <w:p>
            <w:r>
              <w:t>13 Oktober 2026, 20:44 WIB</w:t>
            </w:r>
          </w:p>
        </w:tc>
        <w:tc>
          <w:tcPr>
            <w:tcW w:type="dxa" w:w="1814"/>
          </w:tcPr>
          <w:p>
            <w:r>
              <w:t>Disetujui</w:t>
            </w:r>
          </w:p>
        </w:tc>
        <w:tc>
          <w:tcPr>
            <w:tcW w:type="dxa" w:w="1814"/>
          </w:tcPr>
          <w:p>
            <w:r>
              <w:t>Dr. Bambang Sutrisno, Sp.JP</w:t>
              <w:br/>
              <w:t>&lt;ketua@test.local&gt;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172.18.0.xxx</w:t>
            </w:r>
          </w:p>
        </w:tc>
      </w:tr>
      <w:tr>
        <w:tc>
          <w:tcPr>
            <w:tcW w:type="dxa" w:w="1814"/>
          </w:tcPr>
          <w:p>
            <w:r>
              <w:t>13 Oktober 2026, 20:44 WIB</w:t>
            </w:r>
          </w:p>
        </w:tc>
        <w:tc>
          <w:tcPr>
            <w:tcW w:type="dxa" w:w="1814"/>
          </w:tcPr>
          <w:p>
            <w:r>
              <w:t>Disetujui</w:t>
            </w:r>
          </w:p>
        </w:tc>
        <w:tc>
          <w:tcPr>
            <w:tcW w:type="dxa" w:w="1814"/>
          </w:tcPr>
          <w:p>
            <w:r>
              <w:t>Dr. Bambang Sutrisno, Sp.JP</w:t>
              <w:br/>
              <w:t>&lt;ketua@test.local&gt;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172.18.0.xxx</w:t>
            </w:r>
          </w:p>
        </w:tc>
      </w:tr>
    </w:tbl>
    <w:p/>
    <w:p>
      <w:r>
        <w:t>Dokumen ini diterbitkan oleh sistem DeciBridge dan tercatat dalam audit log yang bersifat append-only. Setiap perubahan setelah penerbitan akan tercatat sebagai versi baru dengan hash SHA-256 berbeda.</w:t>
      </w:r>
    </w:p>
    <w:p/>
    <w:p>
      <w:pPr>
        <w:jc w:val="center"/>
      </w:pPr>
      <w:r>
        <w:rPr>
          <w:i/>
          <w:color w:val="6C757D"/>
          <w:sz w:val="18"/>
        </w:rPr>
        <w:t>— Dokumen DeciBridge v2 · diterbitkan 13 Oktober 2026, 20:45 WIB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