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9"/>
          <w:sz w:val="56"/>
        </w:rPr>
        <w:t>Buku Panduan DeciBridge</w:t>
      </w:r>
    </w:p>
    <w:p>
      <w:pPr>
        <w:jc w:val="center"/>
      </w:pPr>
      <w:r>
        <w:rPr>
          <w:color w:val="1F4E79"/>
          <w:sz w:val="32"/>
        </w:rPr>
        <w:t>Kasus latihan ARNI vs Ramipril pada HFrEF</w:t>
      </w:r>
    </w:p>
    <w:p>
      <w:pPr>
        <w:jc w:val="center"/>
      </w:pPr>
      <w:r>
        <w:rPr>
          <w:color w:val="595959"/>
          <w:sz w:val="24"/>
        </w:rPr>
        <w:t>Langkah demi langkah dari menu Ringkasan sampai Versi, dengan tangkapan layar</w:t>
      </w:r>
    </w:p>
    <w:p/>
    <w:p/>
    <w:p/>
    <w:p>
      <w:pPr>
        <w:spacing w:after="40"/>
        <w:jc w:val="center"/>
      </w:pPr>
      <w:r>
        <w:rPr>
          <w:sz w:val="22"/>
        </w:rPr>
        <w:t xml:space="preserve">Kasus: </w:t>
      </w:r>
      <w:r>
        <w:rPr>
          <w:rFonts w:ascii="Consolas" w:hAnsi="Consolas" w:eastAsia="Consolas"/>
          <w:sz w:val="22"/>
        </w:rPr>
        <w:t>DB_DEMO_HF_001</w:t>
      </w:r>
    </w:p>
    <w:p>
      <w:pPr>
        <w:spacing w:after="40"/>
        <w:jc w:val="center"/>
      </w:pPr>
      <w:r>
        <w:rPr>
          <w:sz w:val="22"/>
        </w:rPr>
        <w:t>Sumber data: DeciBridge_Demo_Training_Package.xlsx</w:t>
      </w:r>
    </w:p>
    <w:p>
      <w:pPr>
        <w:spacing w:after="40"/>
        <w:jc w:val="center"/>
      </w:pPr>
      <w:r>
        <w:rPr>
          <w:sz w:val="22"/>
        </w:rPr>
        <w:t>Build aplikasi: v1.0.0 - 4e42330</w:t>
      </w:r>
    </w:p>
    <w:p>
      <w:pPr>
        <w:spacing w:after="40"/>
        <w:jc w:val="center"/>
      </w:pPr>
      <w:r>
        <w:rPr>
          <w:sz w:val="22"/>
        </w:rPr>
        <w:t>Disusun: 27 Oktober 2026</w:t>
      </w:r>
    </w:p>
    <w:p/>
    <w:p/>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FFF3D6"/>
          </w:tcPr>
          <w:p>
            <w:pPr>
              <w:spacing w:after="40"/>
            </w:pPr>
            <w:r>
              <w:rPr>
                <w:b/>
                <w:sz w:val="20"/>
              </w:rPr>
              <w:t>Data latihan sintetis</w:t>
            </w:r>
          </w:p>
          <w:p>
            <w:pPr>
              <w:spacing w:after="40"/>
            </w:pPr>
            <w:r>
              <w:rPr>
                <w:sz w:val="20"/>
              </w:rPr>
              <w:t>Seluruh angka dalam panduan ini berasal dari paket latihan dan dibuat khusus untuk pembelajaran. Angka-angka itu bukan data pasien, bukan data rumah sakit, dan tidak boleh dipakai untuk keputusan klinis atau formularium yang sebenarnya.</w:t>
            </w:r>
          </w:p>
        </w:tc>
      </w:tr>
    </w:tbl>
    <w:p>
      <w:pPr>
        <w:spacing w:after="0"/>
      </w:pPr>
    </w:p>
    <w:p>
      <w:r>
        <w:br w:type="page"/>
      </w:r>
    </w:p>
    <w:p>
      <w:pPr>
        <w:pStyle w:val="Heading1"/>
      </w:pPr>
      <w:r>
        <w:t>Tentang panduan ini</w:t>
      </w:r>
    </w:p>
    <w:p>
      <w:r>
        <w:rPr/>
        <w:t>Panduan ini menunjukkan cara mengerjakan satu kasus lengkap di DeciBridge, mengikuti Paket Data Demo (DeciBridge_Demo_Training_Package.xlsx) dari menu Ringkasan sampai Versi. Setiap bab menyebut nomor langkah pada sheet 01_STEP_BY_STEP paket, nilai yang diketik, peran yang mengerjakan, dan hasil yang seharusnya muncul di layar.</w:t>
      </w:r>
    </w:p>
    <w:p>
      <w:r>
        <w:rPr/>
        <w:t xml:space="preserve">Semua tangkapan layar diambil dari satu kali pengerjaan kasus </w:t>
      </w:r>
      <w:r>
        <w:rPr>
          <w:rFonts w:ascii="Consolas" w:hAnsi="Consolas" w:eastAsia="Consolas"/>
        </w:rPr>
        <w:t>DB_DEMO_HF_001</w:t>
      </w:r>
      <w:r>
        <w:rPr/>
        <w:t xml:space="preserve"> pada database kosong, dengan build 4e42330. Angka pada tabel hasil dikutip langsung dari pengerjaan itu dan dicocokkan dengan 11_INSTRUCTOR_KEY pada Lampiran A.</w:t>
      </w:r>
    </w:p>
    <w:p>
      <w:pPr>
        <w:pStyle w:val="Heading2"/>
      </w:pPr>
      <w:r>
        <w:t>Cara membaca panduan</w:t>
      </w:r>
    </w:p>
    <w:p>
      <w:pPr>
        <w:pStyle w:val="ListBullet"/>
        <w:spacing w:after="40"/>
      </w:pPr>
      <w:r>
        <w:rPr/>
        <w:t xml:space="preserve">Teks </w:t>
      </w:r>
      <w:r>
        <w:rPr>
          <w:b/>
        </w:rPr>
        <w:t>tebal</w:t>
      </w:r>
      <w:r>
        <w:rPr/>
        <w:t xml:space="preserve"> adalah nama tombol, tab, atau isian persis seperti di layar.</w:t>
      </w:r>
    </w:p>
    <w:p>
      <w:pPr>
        <w:pStyle w:val="ListBullet"/>
        <w:spacing w:after="40"/>
      </w:pPr>
      <w:r>
        <w:rPr/>
        <w:t xml:space="preserve">Teks </w:t>
      </w:r>
      <w:r>
        <w:rPr>
          <w:rFonts w:ascii="Consolas" w:hAnsi="Consolas" w:eastAsia="Consolas"/>
        </w:rPr>
        <w:t>seperti ini</w:t>
      </w:r>
      <w:r>
        <w:rPr/>
        <w:t xml:space="preserve"> adalah nilai yang diketik persis seperti tertulis. Desimal memakai titik, bukan koma: </w:t>
      </w:r>
      <w:r>
        <w:rPr>
          <w:rFonts w:ascii="Consolas" w:hAnsi="Consolas" w:eastAsia="Consolas"/>
        </w:rPr>
        <w:t>0.30</w:t>
      </w:r>
      <w:r>
        <w:rPr/>
        <w:t>.</w:t>
      </w:r>
    </w:p>
    <w:p>
      <w:pPr>
        <w:pStyle w:val="ListBullet"/>
        <w:spacing w:after="40"/>
      </w:pPr>
      <w:r>
        <w:rPr/>
        <w:t>Kotak biru berisi catatan, kotak kuning berisi hal yang sering keliru, dan kotak hijau berisi angka untuk mencocokkan hasil.</w:t>
      </w:r>
    </w:p>
    <w:p>
      <w:pPr>
        <w:pStyle w:val="ListBullet"/>
        <w:spacing w:after="40"/>
      </w:pPr>
      <w:r>
        <w:rPr/>
        <w:t>Tempat dashboard berbeda dari paket latihan dirangkum pada Lampiran B.</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Bila berlatih di situs bersama</w:t>
            </w:r>
          </w:p>
          <w:p>
            <w:pPr>
              <w:spacing w:after="40"/>
            </w:pPr>
            <w:r>
              <w:rPr>
                <w:sz w:val="20"/>
              </w:rPr>
              <w:t xml:space="preserve">Kasus </w:t>
            </w:r>
            <w:r>
              <w:rPr>
                <w:rFonts w:ascii="Consolas" w:hAnsi="Consolas" w:eastAsia="Consolas"/>
                <w:sz w:val="20"/>
              </w:rPr>
              <w:t>DB_DEMO_HF_001</w:t>
            </w:r>
            <w:r>
              <w:rPr>
                <w:sz w:val="20"/>
              </w:rPr>
              <w:t xml:space="preserve"> sudah tersedia di sana sebagai rujukan, dan satu ID kasus hanya dapat dipakai sekali. Buat kasus dengan ID sendiri, misalnya </w:t>
            </w:r>
            <w:r>
              <w:rPr>
                <w:rFonts w:ascii="Consolas" w:hAnsi="Consolas" w:eastAsia="Consolas"/>
                <w:sz w:val="20"/>
              </w:rPr>
              <w:t>INISIAL_DEMO_HF_001</w:t>
            </w:r>
            <w:r>
              <w:rPr>
                <w:sz w:val="20"/>
              </w:rPr>
              <w:t>, lalu ikuti langkah yang sama. Jangan mengubah kasus milik orang lain.</w:t>
            </w:r>
          </w:p>
        </w:tc>
      </w:tr>
    </w:tbl>
    <w:p>
      <w:pPr>
        <w:spacing w:after="0"/>
      </w:pPr>
    </w:p>
    <w:p>
      <w:pPr>
        <w:pStyle w:val="Heading2"/>
      </w:pPr>
      <w:r>
        <w:t>Isi panduan</w:t>
      </w:r>
    </w:p>
    <w:p>
      <w:pPr>
        <w:spacing w:after="0" w:line="80" w:lineRule="exact"/>
      </w:pP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680"/>
            <w:shd w:val="clear" w:color="auto" w:fill="1F4E79"/>
          </w:tcPr>
          <w:p>
            <w:pPr>
              <w:spacing w:after="0"/>
            </w:pPr>
            <w:r>
              <w:rPr>
                <w:b/>
                <w:color w:val="FFFFFF"/>
                <w:sz w:val="18"/>
              </w:rPr>
              <w:t>Bab</w:t>
            </w:r>
          </w:p>
        </w:tc>
        <w:tc>
          <w:tcPr>
            <w:tcW w:type="dxa" w:w="4252"/>
            <w:shd w:val="clear" w:color="auto" w:fill="1F4E79"/>
          </w:tcPr>
          <w:p>
            <w:pPr>
              <w:spacing w:after="0"/>
            </w:pPr>
            <w:r>
              <w:rPr>
                <w:b/>
                <w:color w:val="FFFFFF"/>
                <w:sz w:val="18"/>
              </w:rPr>
              <w:t>Menu</w:t>
            </w:r>
          </w:p>
        </w:tc>
        <w:tc>
          <w:tcPr>
            <w:tcW w:type="dxa" w:w="1587"/>
            <w:shd w:val="clear" w:color="auto" w:fill="1F4E79"/>
          </w:tcPr>
          <w:p>
            <w:pPr>
              <w:spacing w:after="0"/>
            </w:pPr>
            <w:r>
              <w:rPr>
                <w:b/>
                <w:color w:val="FFFFFF"/>
                <w:sz w:val="18"/>
              </w:rPr>
              <w:t>Langkah paket</w:t>
            </w:r>
          </w:p>
        </w:tc>
        <w:tc>
          <w:tcPr>
            <w:tcW w:type="dxa" w:w="3118"/>
            <w:shd w:val="clear" w:color="auto" w:fill="1F4E79"/>
          </w:tcPr>
          <w:p>
            <w:pPr>
              <w:spacing w:after="0"/>
            </w:pPr>
            <w:r>
              <w:rPr>
                <w:b/>
                <w:color w:val="FFFFFF"/>
                <w:sz w:val="18"/>
              </w:rPr>
              <w:t>Peran yang mengerjakan</w:t>
            </w:r>
          </w:p>
        </w:tc>
      </w:tr>
      <w:tr>
        <w:tc>
          <w:tcPr>
            <w:tcW w:type="dxa" w:w="680"/>
          </w:tcPr>
          <w:p>
            <w:pPr>
              <w:spacing w:after="0"/>
            </w:pPr>
            <w:r>
              <w:rPr>
                <w:sz w:val="18"/>
              </w:rPr>
              <w:t>1</w:t>
            </w:r>
          </w:p>
        </w:tc>
        <w:tc>
          <w:tcPr>
            <w:tcW w:type="dxa" w:w="4252"/>
          </w:tcPr>
          <w:p>
            <w:pPr>
              <w:spacing w:after="0"/>
            </w:pPr>
            <w:r>
              <w:rPr>
                <w:sz w:val="18"/>
              </w:rPr>
              <w:t>Persiapan: akun, peran, dan cara masuk</w:t>
            </w:r>
          </w:p>
        </w:tc>
        <w:tc>
          <w:tcPr>
            <w:tcW w:type="dxa" w:w="1587"/>
          </w:tcPr>
          <w:p>
            <w:pPr>
              <w:spacing w:after="0"/>
            </w:pPr>
            <w:r>
              <w:rPr>
                <w:sz w:val="18"/>
              </w:rPr>
              <w:t>-</w:t>
            </w:r>
          </w:p>
        </w:tc>
        <w:tc>
          <w:tcPr>
            <w:tcW w:type="dxa" w:w="3118"/>
          </w:tcPr>
          <w:p>
            <w:pPr>
              <w:spacing w:after="0"/>
            </w:pPr>
            <w:r>
              <w:rPr>
                <w:sz w:val="18"/>
              </w:rPr>
              <w:t>Semua</w:t>
            </w:r>
          </w:p>
        </w:tc>
      </w:tr>
      <w:tr>
        <w:tc>
          <w:tcPr>
            <w:tcW w:type="dxa" w:w="680"/>
          </w:tcPr>
          <w:p>
            <w:pPr>
              <w:spacing w:after="0"/>
            </w:pPr>
            <w:r>
              <w:rPr>
                <w:sz w:val="18"/>
              </w:rPr>
              <w:t>2</w:t>
            </w:r>
          </w:p>
        </w:tc>
        <w:tc>
          <w:tcPr>
            <w:tcW w:type="dxa" w:w="4252"/>
          </w:tcPr>
          <w:p>
            <w:pPr>
              <w:spacing w:after="0"/>
            </w:pPr>
            <w:r>
              <w:rPr>
                <w:sz w:val="18"/>
              </w:rPr>
              <w:t>Ringkasan</w:t>
            </w:r>
          </w:p>
        </w:tc>
        <w:tc>
          <w:tcPr>
            <w:tcW w:type="dxa" w:w="1587"/>
          </w:tcPr>
          <w:p>
            <w:pPr>
              <w:spacing w:after="0"/>
            </w:pPr>
            <w:r>
              <w:rPr>
                <w:sz w:val="18"/>
              </w:rPr>
              <w:t>1-10</w:t>
            </w:r>
          </w:p>
        </w:tc>
        <w:tc>
          <w:tcPr>
            <w:tcW w:type="dxa" w:w="3118"/>
          </w:tcPr>
          <w:p>
            <w:pPr>
              <w:spacing w:after="0"/>
            </w:pPr>
            <w:r>
              <w:rPr>
                <w:sz w:val="18"/>
              </w:rPr>
              <w:t>Analis HTA</w:t>
            </w:r>
          </w:p>
        </w:tc>
      </w:tr>
      <w:tr>
        <w:tc>
          <w:tcPr>
            <w:tcW w:type="dxa" w:w="680"/>
          </w:tcPr>
          <w:p>
            <w:pPr>
              <w:spacing w:after="0"/>
            </w:pPr>
            <w:r>
              <w:rPr>
                <w:sz w:val="18"/>
              </w:rPr>
              <w:t>3</w:t>
            </w:r>
          </w:p>
        </w:tc>
        <w:tc>
          <w:tcPr>
            <w:tcW w:type="dxa" w:w="4252"/>
          </w:tcPr>
          <w:p>
            <w:pPr>
              <w:spacing w:after="0"/>
            </w:pPr>
            <w:r>
              <w:rPr>
                <w:sz w:val="18"/>
              </w:rPr>
              <w:t>Analisis Ekonomi</w:t>
            </w:r>
          </w:p>
        </w:tc>
        <w:tc>
          <w:tcPr>
            <w:tcW w:type="dxa" w:w="1587"/>
          </w:tcPr>
          <w:p>
            <w:pPr>
              <w:spacing w:after="0"/>
            </w:pPr>
            <w:r>
              <w:rPr>
                <w:sz w:val="18"/>
              </w:rPr>
              <w:t>11-24</w:t>
            </w:r>
          </w:p>
        </w:tc>
        <w:tc>
          <w:tcPr>
            <w:tcW w:type="dxa" w:w="3118"/>
          </w:tcPr>
          <w:p>
            <w:pPr>
              <w:spacing w:after="0"/>
            </w:pPr>
            <w:r>
              <w:rPr>
                <w:sz w:val="18"/>
              </w:rPr>
              <w:t>Analis HTA</w:t>
            </w:r>
          </w:p>
        </w:tc>
      </w:tr>
      <w:tr>
        <w:tc>
          <w:tcPr>
            <w:tcW w:type="dxa" w:w="680"/>
          </w:tcPr>
          <w:p>
            <w:pPr>
              <w:spacing w:after="0"/>
            </w:pPr>
            <w:r>
              <w:rPr>
                <w:sz w:val="18"/>
              </w:rPr>
              <w:t>4</w:t>
            </w:r>
          </w:p>
        </w:tc>
        <w:tc>
          <w:tcPr>
            <w:tcW w:type="dxa" w:w="4252"/>
          </w:tcPr>
          <w:p>
            <w:pPr>
              <w:spacing w:after="0"/>
            </w:pPr>
            <w:r>
              <w:rPr>
                <w:sz w:val="18"/>
              </w:rPr>
              <w:t>BIA</w:t>
            </w:r>
          </w:p>
        </w:tc>
        <w:tc>
          <w:tcPr>
            <w:tcW w:type="dxa" w:w="1587"/>
          </w:tcPr>
          <w:p>
            <w:pPr>
              <w:spacing w:after="0"/>
            </w:pPr>
            <w:r>
              <w:rPr>
                <w:sz w:val="18"/>
              </w:rPr>
              <w:t>25-34</w:t>
            </w:r>
          </w:p>
        </w:tc>
        <w:tc>
          <w:tcPr>
            <w:tcW w:type="dxa" w:w="3118"/>
          </w:tcPr>
          <w:p>
            <w:pPr>
              <w:spacing w:after="0"/>
            </w:pPr>
            <w:r>
              <w:rPr>
                <w:sz w:val="18"/>
              </w:rPr>
              <w:t>Analis HTA</w:t>
            </w:r>
          </w:p>
        </w:tc>
      </w:tr>
      <w:tr>
        <w:tc>
          <w:tcPr>
            <w:tcW w:type="dxa" w:w="680"/>
          </w:tcPr>
          <w:p>
            <w:pPr>
              <w:spacing w:after="0"/>
            </w:pPr>
            <w:r>
              <w:rPr>
                <w:sz w:val="18"/>
              </w:rPr>
              <w:t>5</w:t>
            </w:r>
          </w:p>
        </w:tc>
        <w:tc>
          <w:tcPr>
            <w:tcW w:type="dxa" w:w="4252"/>
          </w:tcPr>
          <w:p>
            <w:pPr>
              <w:spacing w:after="0"/>
            </w:pPr>
            <w:r>
              <w:rPr>
                <w:sz w:val="18"/>
              </w:rPr>
              <w:t>PSA</w:t>
            </w:r>
          </w:p>
        </w:tc>
        <w:tc>
          <w:tcPr>
            <w:tcW w:type="dxa" w:w="1587"/>
          </w:tcPr>
          <w:p>
            <w:pPr>
              <w:spacing w:after="0"/>
            </w:pPr>
            <w:r>
              <w:rPr>
                <w:sz w:val="18"/>
              </w:rPr>
              <w:t>35-40</w:t>
            </w:r>
          </w:p>
        </w:tc>
        <w:tc>
          <w:tcPr>
            <w:tcW w:type="dxa" w:w="3118"/>
          </w:tcPr>
          <w:p>
            <w:pPr>
              <w:spacing w:after="0"/>
            </w:pPr>
            <w:r>
              <w:rPr>
                <w:sz w:val="18"/>
              </w:rPr>
              <w:t>Analis HTA</w:t>
            </w:r>
          </w:p>
        </w:tc>
      </w:tr>
      <w:tr>
        <w:tc>
          <w:tcPr>
            <w:tcW w:type="dxa" w:w="680"/>
          </w:tcPr>
          <w:p>
            <w:pPr>
              <w:spacing w:after="0"/>
            </w:pPr>
            <w:r>
              <w:rPr>
                <w:sz w:val="18"/>
              </w:rPr>
              <w:t>6</w:t>
            </w:r>
          </w:p>
        </w:tc>
        <w:tc>
          <w:tcPr>
            <w:tcW w:type="dxa" w:w="4252"/>
          </w:tcPr>
          <w:p>
            <w:pPr>
              <w:spacing w:after="0"/>
            </w:pPr>
            <w:r>
              <w:rPr>
                <w:sz w:val="18"/>
              </w:rPr>
              <w:t>EtD</w:t>
            </w:r>
          </w:p>
        </w:tc>
        <w:tc>
          <w:tcPr>
            <w:tcW w:type="dxa" w:w="1587"/>
          </w:tcPr>
          <w:p>
            <w:pPr>
              <w:spacing w:after="0"/>
            </w:pPr>
            <w:r>
              <w:rPr>
                <w:sz w:val="18"/>
              </w:rPr>
              <w:t>41-49</w:t>
            </w:r>
          </w:p>
        </w:tc>
        <w:tc>
          <w:tcPr>
            <w:tcW w:type="dxa" w:w="3118"/>
          </w:tcPr>
          <w:p>
            <w:pPr>
              <w:spacing w:after="0"/>
            </w:pPr>
            <w:r>
              <w:rPr>
                <w:sz w:val="18"/>
              </w:rPr>
              <w:t>Analis HTA, lalu Anggota KFT</w:t>
            </w:r>
          </w:p>
        </w:tc>
      </w:tr>
      <w:tr>
        <w:tc>
          <w:tcPr>
            <w:tcW w:type="dxa" w:w="680"/>
          </w:tcPr>
          <w:p>
            <w:pPr>
              <w:spacing w:after="0"/>
            </w:pPr>
            <w:r>
              <w:rPr>
                <w:sz w:val="18"/>
              </w:rPr>
              <w:t>7</w:t>
            </w:r>
          </w:p>
        </w:tc>
        <w:tc>
          <w:tcPr>
            <w:tcW w:type="dxa" w:w="4252"/>
          </w:tcPr>
          <w:p>
            <w:pPr>
              <w:spacing w:after="0"/>
            </w:pPr>
            <w:r>
              <w:rPr>
                <w:sz w:val="18"/>
              </w:rPr>
              <w:t>Rekomendasi</w:t>
            </w:r>
          </w:p>
        </w:tc>
        <w:tc>
          <w:tcPr>
            <w:tcW w:type="dxa" w:w="1587"/>
          </w:tcPr>
          <w:p>
            <w:pPr>
              <w:spacing w:after="0"/>
            </w:pPr>
            <w:r>
              <w:rPr>
                <w:sz w:val="18"/>
              </w:rPr>
              <w:t>50-53</w:t>
            </w:r>
          </w:p>
        </w:tc>
        <w:tc>
          <w:tcPr>
            <w:tcW w:type="dxa" w:w="3118"/>
          </w:tcPr>
          <w:p>
            <w:pPr>
              <w:spacing w:after="0"/>
            </w:pPr>
            <w:r>
              <w:rPr>
                <w:sz w:val="18"/>
              </w:rPr>
              <w:t>Sekretaris KFT, Analis HTA, lalu Anggota KFT</w:t>
            </w:r>
          </w:p>
        </w:tc>
      </w:tr>
      <w:tr>
        <w:tc>
          <w:tcPr>
            <w:tcW w:type="dxa" w:w="680"/>
          </w:tcPr>
          <w:p>
            <w:pPr>
              <w:spacing w:after="0"/>
            </w:pPr>
            <w:r>
              <w:rPr>
                <w:sz w:val="18"/>
              </w:rPr>
              <w:t>8</w:t>
            </w:r>
          </w:p>
        </w:tc>
        <w:tc>
          <w:tcPr>
            <w:tcW w:type="dxa" w:w="4252"/>
          </w:tcPr>
          <w:p>
            <w:pPr>
              <w:spacing w:after="0"/>
            </w:pPr>
            <w:r>
              <w:rPr>
                <w:sz w:val="18"/>
              </w:rPr>
              <w:t>Sign-Off</w:t>
            </w:r>
          </w:p>
        </w:tc>
        <w:tc>
          <w:tcPr>
            <w:tcW w:type="dxa" w:w="1587"/>
          </w:tcPr>
          <w:p>
            <w:pPr>
              <w:spacing w:after="0"/>
            </w:pPr>
            <w:r>
              <w:rPr>
                <w:sz w:val="18"/>
              </w:rPr>
              <w:t>54-55</w:t>
            </w:r>
          </w:p>
        </w:tc>
        <w:tc>
          <w:tcPr>
            <w:tcW w:type="dxa" w:w="3118"/>
          </w:tcPr>
          <w:p>
            <w:pPr>
              <w:spacing w:after="0"/>
            </w:pPr>
            <w:r>
              <w:rPr>
                <w:sz w:val="18"/>
              </w:rPr>
              <w:t>Analis HTA, lalu Ketua KFT</w:t>
            </w:r>
          </w:p>
        </w:tc>
      </w:tr>
      <w:tr>
        <w:tc>
          <w:tcPr>
            <w:tcW w:type="dxa" w:w="680"/>
          </w:tcPr>
          <w:p>
            <w:pPr>
              <w:spacing w:after="0"/>
            </w:pPr>
            <w:r>
              <w:rPr>
                <w:sz w:val="18"/>
              </w:rPr>
              <w:t>9</w:t>
            </w:r>
          </w:p>
        </w:tc>
        <w:tc>
          <w:tcPr>
            <w:tcW w:type="dxa" w:w="4252"/>
          </w:tcPr>
          <w:p>
            <w:pPr>
              <w:spacing w:after="0"/>
            </w:pPr>
            <w:r>
              <w:rPr>
                <w:sz w:val="18"/>
              </w:rPr>
              <w:t>Brief</w:t>
            </w:r>
          </w:p>
        </w:tc>
        <w:tc>
          <w:tcPr>
            <w:tcW w:type="dxa" w:w="1587"/>
          </w:tcPr>
          <w:p>
            <w:pPr>
              <w:spacing w:after="0"/>
            </w:pPr>
            <w:r>
              <w:rPr>
                <w:sz w:val="18"/>
              </w:rPr>
              <w:t>56</w:t>
            </w:r>
          </w:p>
        </w:tc>
        <w:tc>
          <w:tcPr>
            <w:tcW w:type="dxa" w:w="3118"/>
          </w:tcPr>
          <w:p>
            <w:pPr>
              <w:spacing w:after="0"/>
            </w:pPr>
            <w:r>
              <w:rPr>
                <w:sz w:val="18"/>
              </w:rPr>
              <w:t>Analis HTA</w:t>
            </w:r>
          </w:p>
        </w:tc>
      </w:tr>
      <w:tr>
        <w:tc>
          <w:tcPr>
            <w:tcW w:type="dxa" w:w="680"/>
          </w:tcPr>
          <w:p>
            <w:pPr>
              <w:spacing w:after="0"/>
            </w:pPr>
            <w:r>
              <w:rPr>
                <w:sz w:val="18"/>
              </w:rPr>
              <w:t>10</w:t>
            </w:r>
          </w:p>
        </w:tc>
        <w:tc>
          <w:tcPr>
            <w:tcW w:type="dxa" w:w="4252"/>
          </w:tcPr>
          <w:p>
            <w:pPr>
              <w:spacing w:after="0"/>
            </w:pPr>
            <w:r>
              <w:rPr>
                <w:sz w:val="18"/>
              </w:rPr>
              <w:t>Versi</w:t>
            </w:r>
          </w:p>
        </w:tc>
        <w:tc>
          <w:tcPr>
            <w:tcW w:type="dxa" w:w="1587"/>
          </w:tcPr>
          <w:p>
            <w:pPr>
              <w:spacing w:after="0"/>
            </w:pPr>
            <w:r>
              <w:rPr>
                <w:sz w:val="18"/>
              </w:rPr>
              <w:t>55, 57-59</w:t>
            </w:r>
          </w:p>
        </w:tc>
        <w:tc>
          <w:tcPr>
            <w:tcW w:type="dxa" w:w="3118"/>
          </w:tcPr>
          <w:p>
            <w:pPr>
              <w:spacing w:after="0"/>
            </w:pPr>
            <w:r>
              <w:rPr>
                <w:sz w:val="18"/>
              </w:rPr>
              <w:t>Ketua KFT, Analis HTA dan Anggota KFT</w:t>
            </w:r>
          </w:p>
        </w:tc>
      </w:tr>
      <w:tr>
        <w:tc>
          <w:tcPr>
            <w:tcW w:type="dxa" w:w="680"/>
          </w:tcPr>
          <w:p>
            <w:pPr>
              <w:spacing w:after="0"/>
            </w:pPr>
            <w:r>
              <w:rPr>
                <w:sz w:val="18"/>
              </w:rPr>
              <w:t>A</w:t>
            </w:r>
          </w:p>
        </w:tc>
        <w:tc>
          <w:tcPr>
            <w:tcW w:type="dxa" w:w="4252"/>
          </w:tcPr>
          <w:p>
            <w:pPr>
              <w:spacing w:after="0"/>
            </w:pPr>
            <w:r>
              <w:rPr>
                <w:sz w:val="18"/>
              </w:rPr>
              <w:t>Lampiran: kunci hasil</w:t>
            </w:r>
          </w:p>
        </w:tc>
        <w:tc>
          <w:tcPr>
            <w:tcW w:type="dxa" w:w="1587"/>
          </w:tcPr>
          <w:p>
            <w:pPr>
              <w:spacing w:after="0"/>
            </w:pPr>
          </w:p>
        </w:tc>
        <w:tc>
          <w:tcPr>
            <w:tcW w:type="dxa" w:w="3118"/>
          </w:tcPr>
          <w:p>
            <w:pPr>
              <w:spacing w:after="0"/>
            </w:pPr>
          </w:p>
        </w:tc>
      </w:tr>
      <w:tr>
        <w:tc>
          <w:tcPr>
            <w:tcW w:type="dxa" w:w="680"/>
          </w:tcPr>
          <w:p>
            <w:pPr>
              <w:spacing w:after="0"/>
            </w:pPr>
            <w:r>
              <w:rPr>
                <w:sz w:val="18"/>
              </w:rPr>
              <w:t>B</w:t>
            </w:r>
          </w:p>
        </w:tc>
        <w:tc>
          <w:tcPr>
            <w:tcW w:type="dxa" w:w="4252"/>
          </w:tcPr>
          <w:p>
            <w:pPr>
              <w:spacing w:after="0"/>
            </w:pPr>
            <w:r>
              <w:rPr>
                <w:sz w:val="18"/>
              </w:rPr>
              <w:t>Lampiran: perbedaan paket latihan dan dashboard</w:t>
            </w:r>
          </w:p>
        </w:tc>
        <w:tc>
          <w:tcPr>
            <w:tcW w:type="dxa" w:w="1587"/>
          </w:tcPr>
          <w:p>
            <w:pPr>
              <w:spacing w:after="0"/>
            </w:pPr>
          </w:p>
        </w:tc>
        <w:tc>
          <w:tcPr>
            <w:tcW w:type="dxa" w:w="3118"/>
          </w:tcPr>
          <w:p>
            <w:pPr>
              <w:spacing w:after="0"/>
            </w:pPr>
          </w:p>
        </w:tc>
      </w:tr>
      <w:tr>
        <w:tc>
          <w:tcPr>
            <w:tcW w:type="dxa" w:w="680"/>
          </w:tcPr>
          <w:p>
            <w:pPr>
              <w:spacing w:after="0"/>
            </w:pPr>
            <w:r>
              <w:rPr>
                <w:sz w:val="18"/>
              </w:rPr>
              <w:t>C</w:t>
            </w:r>
          </w:p>
        </w:tc>
        <w:tc>
          <w:tcPr>
            <w:tcW w:type="dxa" w:w="4252"/>
          </w:tcPr>
          <w:p>
            <w:pPr>
              <w:spacing w:after="0"/>
            </w:pPr>
            <w:r>
              <w:rPr>
                <w:sz w:val="18"/>
              </w:rPr>
              <w:t>Lampiran: masalah yang sering terjadi</w:t>
            </w:r>
          </w:p>
        </w:tc>
        <w:tc>
          <w:tcPr>
            <w:tcW w:type="dxa" w:w="1587"/>
          </w:tcPr>
          <w:p>
            <w:pPr>
              <w:spacing w:after="0"/>
            </w:pPr>
          </w:p>
        </w:tc>
        <w:tc>
          <w:tcPr>
            <w:tcW w:type="dxa" w:w="3118"/>
          </w:tcPr>
          <w:p>
            <w:pPr>
              <w:spacing w:after="0"/>
            </w:pPr>
          </w:p>
        </w:tc>
      </w:tr>
    </w:tbl>
    <w:p>
      <w:pPr>
        <w:spacing w:after="0"/>
      </w:pPr>
    </w:p>
    <w:p>
      <w:r>
        <w:br w:type="page"/>
      </w:r>
    </w:p>
    <w:p>
      <w:pPr>
        <w:pStyle w:val="Heading1"/>
      </w:pPr>
      <w:r>
        <w:t>1. Persiapan</w:t>
      </w:r>
    </w:p>
    <w:p>
      <w:pPr>
        <w:pStyle w:val="Heading2"/>
      </w:pPr>
      <w:r>
        <w:t>1.1 Peran dan akun</w:t>
      </w:r>
    </w:p>
    <w:p>
      <w:r>
        <w:rPr/>
        <w:t xml:space="preserve">DeciBridge membagi pekerjaan menurut peran. Satu kasus baru selesai setelah keempat peran di bawah ini mengerjakan bagiannya. Orang yang berlatih sendiri perlu berganti akun pada setiap pergantian peran: klik nama di kanan atas, pilih </w:t>
      </w:r>
      <w:r>
        <w:rPr>
          <w:b/>
        </w:rPr>
        <w:t>Keluar</w:t>
      </w:r>
      <w:r>
        <w:rPr/>
        <w:t>, lalu masuk dengan akun berikutnya.</w:t>
      </w:r>
    </w:p>
    <w:p>
      <w:pPr>
        <w:keepNext/>
        <w:spacing w:after="60"/>
      </w:pPr>
      <w:r>
        <w:rPr>
          <w:b/>
          <w:sz w:val="19"/>
        </w:rPr>
        <w:t>Tabel 1.</w:t>
      </w:r>
      <w:r>
        <w:rPr>
          <w:sz w:val="19"/>
        </w:rPr>
        <w:t xml:space="preserve"> Peran, akun demo, dan pekerjaannya</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81"/>
            <w:shd w:val="clear" w:color="auto" w:fill="1F4E79"/>
          </w:tcPr>
          <w:p>
            <w:pPr>
              <w:spacing w:after="0"/>
            </w:pPr>
            <w:r>
              <w:rPr>
                <w:b/>
                <w:color w:val="FFFFFF"/>
                <w:sz w:val="18"/>
              </w:rPr>
              <w:t>Peran</w:t>
            </w:r>
          </w:p>
        </w:tc>
        <w:tc>
          <w:tcPr>
            <w:tcW w:type="dxa" w:w="2041"/>
            <w:shd w:val="clear" w:color="auto" w:fill="1F4E79"/>
          </w:tcPr>
          <w:p>
            <w:pPr>
              <w:spacing w:after="0"/>
            </w:pPr>
            <w:r>
              <w:rPr>
                <w:b/>
                <w:color w:val="FFFFFF"/>
                <w:sz w:val="18"/>
              </w:rPr>
              <w:t>Akun demo</w:t>
            </w:r>
          </w:p>
        </w:tc>
        <w:tc>
          <w:tcPr>
            <w:tcW w:type="dxa" w:w="5216"/>
            <w:shd w:val="clear" w:color="auto" w:fill="1F4E79"/>
          </w:tcPr>
          <w:p>
            <w:pPr>
              <w:spacing w:after="0"/>
            </w:pPr>
            <w:r>
              <w:rPr>
                <w:b/>
                <w:color w:val="FFFFFF"/>
                <w:sz w:val="18"/>
              </w:rPr>
              <w:t>Yang dikerjakan dalam panduan ini</w:t>
            </w:r>
          </w:p>
        </w:tc>
      </w:tr>
      <w:tr>
        <w:tc>
          <w:tcPr>
            <w:tcW w:type="dxa" w:w="2381"/>
          </w:tcPr>
          <w:p>
            <w:pPr>
              <w:spacing w:after="0"/>
            </w:pPr>
            <w:r>
              <w:rPr>
                <w:sz w:val="18"/>
              </w:rPr>
              <w:t>Analis HTA / Farmakoekonomi</w:t>
            </w:r>
          </w:p>
        </w:tc>
        <w:tc>
          <w:tcPr>
            <w:tcW w:type="dxa" w:w="2041"/>
          </w:tcPr>
          <w:p>
            <w:pPr>
              <w:spacing w:after="0"/>
            </w:pPr>
            <w:r>
              <w:rPr>
                <w:rFonts w:ascii="Consolas" w:hAnsi="Consolas" w:eastAsia="Consolas"/>
                <w:sz w:val="18"/>
              </w:rPr>
              <w:t>hta@test.local</w:t>
            </w:r>
          </w:p>
        </w:tc>
        <w:tc>
          <w:tcPr>
            <w:tcW w:type="dxa" w:w="5216"/>
          </w:tcPr>
          <w:p>
            <w:pPr>
              <w:spacing w:after="0"/>
            </w:pPr>
            <w:r>
              <w:rPr>
                <w:sz w:val="18"/>
              </w:rPr>
              <w:t>Membuat kasus; mengisi Analisis Ekonomi, BIA, PSA dan referensi; menghitung rekomendasi; mengajukan kasus; menerbitkan brief</w:t>
            </w:r>
          </w:p>
        </w:tc>
      </w:tr>
      <w:tr>
        <w:tc>
          <w:tcPr>
            <w:tcW w:type="dxa" w:w="2381"/>
          </w:tcPr>
          <w:p>
            <w:pPr>
              <w:spacing w:after="0"/>
            </w:pPr>
            <w:r>
              <w:rPr>
                <w:sz w:val="18"/>
              </w:rPr>
              <w:t>Sekretaris KFT / Farmasi RS</w:t>
            </w:r>
          </w:p>
        </w:tc>
        <w:tc>
          <w:tcPr>
            <w:tcW w:type="dxa" w:w="2041"/>
          </w:tcPr>
          <w:p>
            <w:pPr>
              <w:spacing w:after="0"/>
            </w:pPr>
            <w:r>
              <w:rPr>
                <w:rFonts w:ascii="Consolas" w:hAnsi="Consolas" w:eastAsia="Consolas"/>
                <w:sz w:val="18"/>
              </w:rPr>
              <w:t>sekre@test.local</w:t>
            </w:r>
          </w:p>
        </w:tc>
        <w:tc>
          <w:tcPr>
            <w:tcW w:type="dxa" w:w="5216"/>
          </w:tcPr>
          <w:p>
            <w:pPr>
              <w:spacing w:after="0"/>
            </w:pPr>
            <w:r>
              <w:rPr>
                <w:sz w:val="18"/>
              </w:rPr>
              <w:t>Mengisi kriteria akses (CBA)</w:t>
            </w:r>
          </w:p>
        </w:tc>
      </w:tr>
      <w:tr>
        <w:tc>
          <w:tcPr>
            <w:tcW w:type="dxa" w:w="2381"/>
          </w:tcPr>
          <w:p>
            <w:pPr>
              <w:spacing w:after="0"/>
            </w:pPr>
            <w:r>
              <w:rPr>
                <w:sz w:val="18"/>
              </w:rPr>
              <w:t>Anggota KFT</w:t>
            </w:r>
          </w:p>
        </w:tc>
        <w:tc>
          <w:tcPr>
            <w:tcW w:type="dxa" w:w="2041"/>
          </w:tcPr>
          <w:p>
            <w:pPr>
              <w:spacing w:after="0"/>
            </w:pPr>
            <w:r>
              <w:rPr>
                <w:rFonts w:ascii="Consolas" w:hAnsi="Consolas" w:eastAsia="Consolas"/>
                <w:sz w:val="18"/>
              </w:rPr>
              <w:t>kft1@test.local</w:t>
            </w:r>
          </w:p>
        </w:tc>
        <w:tc>
          <w:tcPr>
            <w:tcW w:type="dxa" w:w="5216"/>
          </w:tcPr>
          <w:p>
            <w:pPr>
              <w:spacing w:after="0"/>
            </w:pPr>
            <w:r>
              <w:rPr>
                <w:sz w:val="18"/>
              </w:rPr>
              <w:t>Menilai sembilan domain EtD; mencatat Keputusan Final KFT beserta alasannya</w:t>
            </w:r>
          </w:p>
        </w:tc>
      </w:tr>
      <w:tr>
        <w:tc>
          <w:tcPr>
            <w:tcW w:type="dxa" w:w="2381"/>
          </w:tcPr>
          <w:p>
            <w:pPr>
              <w:spacing w:after="0"/>
            </w:pPr>
            <w:r>
              <w:rPr>
                <w:sz w:val="18"/>
              </w:rPr>
              <w:t>Ketua KFT</w:t>
            </w:r>
          </w:p>
        </w:tc>
        <w:tc>
          <w:tcPr>
            <w:tcW w:type="dxa" w:w="2041"/>
          </w:tcPr>
          <w:p>
            <w:pPr>
              <w:spacing w:after="0"/>
            </w:pPr>
            <w:r>
              <w:rPr>
                <w:rFonts w:ascii="Consolas" w:hAnsi="Consolas" w:eastAsia="Consolas"/>
                <w:sz w:val="18"/>
              </w:rPr>
              <w:t>ketua@test.local</w:t>
            </w:r>
          </w:p>
        </w:tc>
        <w:tc>
          <w:tcPr>
            <w:tcW w:type="dxa" w:w="5216"/>
          </w:tcPr>
          <w:p>
            <w:pPr>
              <w:spacing w:after="0"/>
            </w:pPr>
            <w:r>
              <w:rPr>
                <w:sz w:val="18"/>
              </w:rPr>
              <w:t>Menandatangani sign-off, mengunci keputusan, membuat revisi sebagai versi baru</w:t>
            </w:r>
          </w:p>
        </w:tc>
      </w:tr>
      <w:tr>
        <w:tc>
          <w:tcPr>
            <w:tcW w:type="dxa" w:w="2381"/>
          </w:tcPr>
          <w:p>
            <w:pPr>
              <w:spacing w:after="0"/>
            </w:pPr>
            <w:r>
              <w:rPr>
                <w:sz w:val="18"/>
              </w:rPr>
              <w:t>Admin IT</w:t>
            </w:r>
          </w:p>
        </w:tc>
        <w:tc>
          <w:tcPr>
            <w:tcW w:type="dxa" w:w="2041"/>
          </w:tcPr>
          <w:p>
            <w:pPr>
              <w:spacing w:after="0"/>
            </w:pPr>
            <w:r>
              <w:rPr>
                <w:rFonts w:ascii="Consolas" w:hAnsi="Consolas" w:eastAsia="Consolas"/>
                <w:sz w:val="18"/>
              </w:rPr>
              <w:t>adminit@test.local</w:t>
            </w:r>
          </w:p>
        </w:tc>
        <w:tc>
          <w:tcPr>
            <w:tcW w:type="dxa" w:w="5216"/>
          </w:tcPr>
          <w:p>
            <w:pPr>
              <w:spacing w:after="0"/>
            </w:pPr>
            <w:r>
              <w:rPr>
                <w:sz w:val="18"/>
              </w:rPr>
              <w:t>Tidak membuka isi kasus; mengelola pengguna, memantau status dan integritas kasus, dan memeriksa segel arsip</w:t>
            </w:r>
          </w:p>
        </w:tc>
      </w:tr>
    </w:tbl>
    <w:p>
      <w:pPr>
        <w:spacing w:after="0"/>
      </w:pPr>
    </w:p>
    <w:p>
      <w:r>
        <w:rPr/>
        <w:t xml:space="preserve">Kata sandi akun demo tertulis di halaman masuk, pada bagian </w:t>
      </w:r>
      <w:r>
        <w:rPr>
          <w:b/>
        </w:rPr>
        <w:t>Akun demo</w:t>
      </w:r>
      <w:r>
        <w:rPr/>
        <w:t>.</w:t>
      </w:r>
    </w:p>
    <w:p>
      <w:r>
        <w:rPr/>
        <w:t>Admin IT mengurus pengguna, sistem dan cadangan. Pada daftar kasus dan halaman kasus, Admin IT hanya melihat metadata: ID, judul, status, tanggal, integritas, dan segel arsip. Isi analisis tidak dapat dibuka, dan Admin IT tidak dapat mengubah analisis maupun menerbitkan keputusan.</w:t>
      </w:r>
    </w:p>
    <w:p>
      <w:pPr>
        <w:keepNext/>
        <w:spacing w:after="40"/>
        <w:jc w:val="center"/>
      </w:pPr>
      <w:r>
        <w:drawing>
          <wp:inline xmlns:a="http://schemas.openxmlformats.org/drawingml/2006/main" xmlns:pic="http://schemas.openxmlformats.org/drawingml/2006/picture">
            <wp:extent cx="6120000" cy="2761901"/>
            <wp:docPr id="1" name="Picture 1"/>
            <wp:cNvGraphicFramePr>
              <a:graphicFrameLocks noChangeAspect="1"/>
            </wp:cNvGraphicFramePr>
            <a:graphic>
              <a:graphicData uri="http://schemas.openxmlformats.org/drawingml/2006/picture">
                <pic:pic>
                  <pic:nvPicPr>
                    <pic:cNvPr id="0" name="51-admin-it-kasus-1.png"/>
                    <pic:cNvPicPr/>
                  </pic:nvPicPr>
                  <pic:blipFill>
                    <a:blip r:embed="rId10"/>
                    <a:stretch>
                      <a:fillRect/>
                    </a:stretch>
                  </pic:blipFill>
                  <pic:spPr>
                    <a:xfrm>
                      <a:off x="0" y="0"/>
                      <a:ext cx="6120000" cy="2761901"/>
                    </a:xfrm>
                    <a:prstGeom prst="rect"/>
                  </pic:spPr>
                </pic:pic>
              </a:graphicData>
            </a:graphic>
          </wp:inline>
        </w:drawing>
      </w:r>
    </w:p>
    <w:p>
      <w:pPr>
        <w:spacing w:after="200"/>
        <w:jc w:val="center"/>
      </w:pPr>
      <w:r>
        <w:rPr>
          <w:b/>
          <w:color w:val="595959"/>
          <w:sz w:val="18"/>
        </w:rPr>
        <w:t>Gambar 1.</w:t>
      </w:r>
      <w:r>
        <w:rPr>
          <w:color w:val="595959"/>
          <w:sz w:val="18"/>
        </w:rPr>
        <w:t xml:space="preserve"> Kasus latihan dilihat Admin IT: metadata saja.</w:t>
      </w:r>
    </w:p>
    <w:p>
      <w:pPr>
        <w:pStyle w:val="Heading2"/>
      </w:pPr>
      <w:r>
        <w:t>1.2 Masuk</w:t>
      </w:r>
    </w:p>
    <w:p>
      <w:pPr>
        <w:tabs>
          <w:tab w:pos="425" w:val="left"/>
        </w:tabs>
        <w:spacing w:after="60"/>
        <w:ind w:left="425" w:hanging="425"/>
      </w:pPr>
      <w:r>
        <w:rPr/>
        <w:t>1.</w:t>
        <w:tab/>
        <w:t>Buka alamat aplikasi, lalu buka halaman masuk.</w:t>
      </w:r>
    </w:p>
    <w:p>
      <w:pPr>
        <w:tabs>
          <w:tab w:pos="425" w:val="left"/>
        </w:tabs>
        <w:spacing w:after="60"/>
        <w:ind w:left="425" w:hanging="425"/>
      </w:pPr>
      <w:r>
        <w:rPr/>
        <w:t>2.</w:t>
        <w:tab/>
        <w:t xml:space="preserve">Isi </w:t>
      </w:r>
      <w:r>
        <w:rPr>
          <w:b/>
        </w:rPr>
        <w:t>Email</w:t>
      </w:r>
      <w:r>
        <w:rPr/>
        <w:t xml:space="preserve"> dan </w:t>
      </w:r>
      <w:r>
        <w:rPr>
          <w:b/>
        </w:rPr>
        <w:t>Kata sandi</w:t>
      </w:r>
      <w:r>
        <w:rPr/>
        <w:t xml:space="preserve">, lalu klik </w:t>
      </w:r>
      <w:r>
        <w:rPr>
          <w:b/>
        </w:rPr>
        <w:t>Masuk</w:t>
      </w:r>
      <w:r>
        <w:rPr/>
        <w:t>.</w:t>
      </w:r>
    </w:p>
    <w:p>
      <w:pPr>
        <w:tabs>
          <w:tab w:pos="425" w:val="left"/>
        </w:tabs>
        <w:spacing w:after="60"/>
        <w:ind w:left="425" w:hanging="425"/>
      </w:pPr>
      <w:r>
        <w:rPr/>
        <w:t>3.</w:t>
        <w:tab/>
        <w:t xml:space="preserve">Halaman </w:t>
      </w:r>
      <w:r>
        <w:rPr>
          <w:b/>
        </w:rPr>
        <w:t>Beranda</w:t>
      </w:r>
      <w:r>
        <w:rPr/>
        <w:t xml:space="preserve"> terbuka. Nama dan peran akun tampil di bagian atas.</w:t>
      </w:r>
    </w:p>
    <w:p>
      <w:pPr>
        <w:keepNext/>
        <w:spacing w:after="40"/>
        <w:jc w:val="center"/>
      </w:pPr>
      <w:r>
        <w:drawing>
          <wp:inline xmlns:a="http://schemas.openxmlformats.org/drawingml/2006/main" xmlns:pic="http://schemas.openxmlformats.org/drawingml/2006/picture">
            <wp:extent cx="5474576" cy="3424823"/>
            <wp:docPr id="2" name="Picture 2"/>
            <wp:cNvGraphicFramePr>
              <a:graphicFrameLocks noChangeAspect="1"/>
            </wp:cNvGraphicFramePr>
            <a:graphic>
              <a:graphicData uri="http://schemas.openxmlformats.org/drawingml/2006/picture">
                <pic:pic>
                  <pic:nvPicPr>
                    <pic:cNvPr id="0" name="01-login-2.png"/>
                    <pic:cNvPicPr/>
                  </pic:nvPicPr>
                  <pic:blipFill>
                    <a:blip r:embed="rId11"/>
                    <a:stretch>
                      <a:fillRect/>
                    </a:stretch>
                  </pic:blipFill>
                  <pic:spPr>
                    <a:xfrm>
                      <a:off x="0" y="0"/>
                      <a:ext cx="5474576" cy="3424823"/>
                    </a:xfrm>
                    <a:prstGeom prst="rect"/>
                  </pic:spPr>
                </pic:pic>
              </a:graphicData>
            </a:graphic>
          </wp:inline>
        </w:drawing>
      </w:r>
    </w:p>
    <w:p>
      <w:pPr>
        <w:spacing w:after="200"/>
        <w:jc w:val="center"/>
      </w:pPr>
      <w:r>
        <w:rPr>
          <w:b/>
          <w:color w:val="595959"/>
          <w:sz w:val="18"/>
        </w:rPr>
        <w:t>Gambar 2.</w:t>
      </w:r>
      <w:r>
        <w:rPr>
          <w:color w:val="595959"/>
          <w:sz w:val="18"/>
        </w:rPr>
        <w:t xml:space="preserve"> Halaman masuk. Daftar akun demo ada di bagian bawah kartu.</w:t>
      </w:r>
    </w:p>
    <w:p>
      <w:pPr>
        <w:keepNext/>
        <w:spacing w:after="40"/>
        <w:jc w:val="center"/>
      </w:pPr>
      <w:r>
        <w:drawing>
          <wp:inline xmlns:a="http://schemas.openxmlformats.org/drawingml/2006/main" xmlns:pic="http://schemas.openxmlformats.org/drawingml/2006/picture">
            <wp:extent cx="6050847" cy="3785330"/>
            <wp:docPr id="3" name="Picture 3"/>
            <wp:cNvGraphicFramePr>
              <a:graphicFrameLocks noChangeAspect="1"/>
            </wp:cNvGraphicFramePr>
            <a:graphic>
              <a:graphicData uri="http://schemas.openxmlformats.org/drawingml/2006/picture">
                <pic:pic>
                  <pic:nvPicPr>
                    <pic:cNvPr id="0" name="02-beranda-3.png"/>
                    <pic:cNvPicPr/>
                  </pic:nvPicPr>
                  <pic:blipFill>
                    <a:blip r:embed="rId12"/>
                    <a:stretch>
                      <a:fillRect/>
                    </a:stretch>
                  </pic:blipFill>
                  <pic:spPr>
                    <a:xfrm>
                      <a:off x="0" y="0"/>
                      <a:ext cx="6050847" cy="3785330"/>
                    </a:xfrm>
                    <a:prstGeom prst="rect"/>
                  </pic:spPr>
                </pic:pic>
              </a:graphicData>
            </a:graphic>
          </wp:inline>
        </w:drawing>
      </w:r>
    </w:p>
    <w:p>
      <w:pPr>
        <w:spacing w:after="200"/>
        <w:jc w:val="center"/>
      </w:pPr>
      <w:r>
        <w:rPr>
          <w:b/>
          <w:color w:val="595959"/>
          <w:sz w:val="18"/>
        </w:rPr>
        <w:t>Gambar 3.</w:t>
      </w:r>
      <w:r>
        <w:rPr>
          <w:color w:val="595959"/>
          <w:sz w:val="18"/>
        </w:rPr>
        <w:t xml:space="preserve"> Beranda Analis HTA sebelum ada kasus.</w:t>
      </w:r>
    </w:p>
    <w:p>
      <w:pPr>
        <w:pStyle w:val="Heading2"/>
      </w:pPr>
      <w:r>
        <w:t>1.3 Urutan kerja</w:t>
      </w:r>
    </w:p>
    <w:p>
      <w:r>
        <w:rPr/>
        <w:t>Sembilan menu kasus dikerjakan berurutan dari kiri ke kanan. Tiga menu pertama setelah Ringkasan menghitung bukti ekonomi, EtD dan Rekomendasi menimbangnya, lalu Sign-Off, Brief dan Versi mencatat keputusannya.</w:t>
      </w:r>
    </w:p>
    <w:p>
      <w:pPr>
        <w:keepNext/>
        <w:spacing w:after="60"/>
      </w:pPr>
      <w:r>
        <w:rPr>
          <w:b/>
          <w:sz w:val="19"/>
        </w:rPr>
        <w:t>Tabel 2.</w:t>
      </w:r>
      <w:r>
        <w:rPr>
          <w:sz w:val="19"/>
        </w:rPr>
        <w:t xml:space="preserve"> Status kasus sepanjang alur</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shd w:val="clear" w:color="auto" w:fill="1F4E79"/>
          </w:tcPr>
          <w:p>
            <w:pPr>
              <w:spacing w:after="0"/>
            </w:pPr>
            <w:r>
              <w:rPr>
                <w:b/>
                <w:color w:val="FFFFFF"/>
                <w:sz w:val="18"/>
              </w:rPr>
              <w:t>Status kasus</w:t>
            </w:r>
          </w:p>
        </w:tc>
        <w:tc>
          <w:tcPr>
            <w:tcW w:type="dxa" w:w="3742"/>
            <w:shd w:val="clear" w:color="auto" w:fill="1F4E79"/>
          </w:tcPr>
          <w:p>
            <w:pPr>
              <w:spacing w:after="0"/>
            </w:pPr>
            <w:r>
              <w:rPr>
                <w:b/>
                <w:color w:val="FFFFFF"/>
                <w:sz w:val="18"/>
              </w:rPr>
              <w:t>Terjadi ketika</w:t>
            </w:r>
          </w:p>
        </w:tc>
        <w:tc>
          <w:tcPr>
            <w:tcW w:type="dxa" w:w="4082"/>
            <w:shd w:val="clear" w:color="auto" w:fill="1F4E79"/>
          </w:tcPr>
          <w:p>
            <w:pPr>
              <w:spacing w:after="0"/>
            </w:pPr>
            <w:r>
              <w:rPr>
                <w:b/>
                <w:color w:val="FFFFFF"/>
                <w:sz w:val="18"/>
              </w:rPr>
              <w:t>Yang masih dapat diubah</w:t>
            </w:r>
          </w:p>
        </w:tc>
      </w:tr>
      <w:tr>
        <w:tc>
          <w:tcPr>
            <w:tcW w:type="dxa" w:w="1814"/>
          </w:tcPr>
          <w:p>
            <w:pPr>
              <w:spacing w:after="0"/>
            </w:pPr>
            <w:r>
              <w:rPr>
                <w:sz w:val="18"/>
              </w:rPr>
              <w:t>Draft</w:t>
            </w:r>
          </w:p>
        </w:tc>
        <w:tc>
          <w:tcPr>
            <w:tcW w:type="dxa" w:w="3742"/>
          </w:tcPr>
          <w:p>
            <w:pPr>
              <w:spacing w:after="0"/>
            </w:pPr>
            <w:r>
              <w:rPr>
                <w:sz w:val="18"/>
              </w:rPr>
              <w:t>Kasus baru dibuat</w:t>
            </w:r>
          </w:p>
        </w:tc>
        <w:tc>
          <w:tcPr>
            <w:tcW w:type="dxa" w:w="4082"/>
          </w:tcPr>
          <w:p>
            <w:pPr>
              <w:spacing w:after="0"/>
            </w:pPr>
            <w:r>
              <w:rPr>
                <w:sz w:val="18"/>
              </w:rPr>
              <w:t>Semua isian</w:t>
            </w:r>
          </w:p>
        </w:tc>
      </w:tr>
      <w:tr>
        <w:tc>
          <w:tcPr>
            <w:tcW w:type="dxa" w:w="1814"/>
          </w:tcPr>
          <w:p>
            <w:pPr>
              <w:spacing w:after="0"/>
            </w:pPr>
            <w:r>
              <w:rPr>
                <w:sz w:val="18"/>
              </w:rPr>
              <w:t>Dalam Tinjauan</w:t>
            </w:r>
          </w:p>
        </w:tc>
        <w:tc>
          <w:tcPr>
            <w:tcW w:type="dxa" w:w="3742"/>
          </w:tcPr>
          <w:p>
            <w:pPr>
              <w:spacing w:after="0"/>
            </w:pPr>
            <w:r>
              <w:rPr>
                <w:sz w:val="18"/>
              </w:rPr>
              <w:t xml:space="preserve">Analis HTA memilih </w:t>
            </w:r>
            <w:r>
              <w:rPr>
                <w:b/>
                <w:sz w:val="18"/>
              </w:rPr>
              <w:t>Ajukan untuk Tinjauan</w:t>
            </w:r>
          </w:p>
        </w:tc>
        <w:tc>
          <w:tcPr>
            <w:tcW w:type="dxa" w:w="4082"/>
          </w:tcPr>
          <w:p>
            <w:pPr>
              <w:spacing w:after="0"/>
            </w:pPr>
            <w:r>
              <w:rPr>
                <w:sz w:val="18"/>
              </w:rPr>
              <w:t>Semua isian; Ketua KFT dapat menandatangani</w:t>
            </w:r>
          </w:p>
        </w:tc>
      </w:tr>
      <w:tr>
        <w:tc>
          <w:tcPr>
            <w:tcW w:type="dxa" w:w="1814"/>
          </w:tcPr>
          <w:p>
            <w:pPr>
              <w:spacing w:after="0"/>
            </w:pPr>
            <w:r>
              <w:rPr>
                <w:sz w:val="18"/>
              </w:rPr>
              <w:t>Disetujui</w:t>
            </w:r>
          </w:p>
        </w:tc>
        <w:tc>
          <w:tcPr>
            <w:tcW w:type="dxa" w:w="3742"/>
          </w:tcPr>
          <w:p>
            <w:pPr>
              <w:spacing w:after="0"/>
            </w:pPr>
            <w:r>
              <w:rPr>
                <w:sz w:val="18"/>
              </w:rPr>
              <w:t>Ketua KFT menandatangani sign-off</w:t>
            </w:r>
          </w:p>
        </w:tc>
        <w:tc>
          <w:tcPr>
            <w:tcW w:type="dxa" w:w="4082"/>
          </w:tcPr>
          <w:p>
            <w:pPr>
              <w:spacing w:after="0"/>
            </w:pPr>
            <w:r>
              <w:rPr>
                <w:sz w:val="18"/>
              </w:rPr>
              <w:t>Brief dapat diterbitkan; Ketua KFT dapat meminta revisi</w:t>
            </w:r>
          </w:p>
        </w:tc>
      </w:tr>
      <w:tr>
        <w:tc>
          <w:tcPr>
            <w:tcW w:type="dxa" w:w="1814"/>
          </w:tcPr>
          <w:p>
            <w:pPr>
              <w:spacing w:after="0"/>
            </w:pPr>
            <w:r>
              <w:rPr>
                <w:sz w:val="18"/>
              </w:rPr>
              <w:t>Terkunci</w:t>
            </w:r>
          </w:p>
        </w:tc>
        <w:tc>
          <w:tcPr>
            <w:tcW w:type="dxa" w:w="3742"/>
          </w:tcPr>
          <w:p>
            <w:pPr>
              <w:spacing w:after="0"/>
            </w:pPr>
            <w:r>
              <w:rPr>
                <w:sz w:val="18"/>
              </w:rPr>
              <w:t xml:space="preserve">Ketua KFT memilih </w:t>
            </w:r>
            <w:r>
              <w:rPr>
                <w:b/>
                <w:sz w:val="18"/>
              </w:rPr>
              <w:t>Kunci Keputusan</w:t>
            </w:r>
          </w:p>
        </w:tc>
        <w:tc>
          <w:tcPr>
            <w:tcW w:type="dxa" w:w="4082"/>
          </w:tcPr>
          <w:p>
            <w:pPr>
              <w:spacing w:after="0"/>
            </w:pPr>
            <w:r>
              <w:rPr>
                <w:sz w:val="18"/>
              </w:rPr>
              <w:t xml:space="preserve">Tidak ada. Untuk mengubah, Analis HTA atau Ketua KFT memilih </w:t>
            </w:r>
            <w:r>
              <w:rPr>
                <w:b/>
                <w:sz w:val="18"/>
              </w:rPr>
              <w:t>Buat Revisi (Versi Baru)</w:t>
            </w:r>
            <w:r>
              <w:rPr>
                <w:sz w:val="18"/>
              </w:rPr>
              <w:t>; kasus kembali ke Draft sebagai versi berikutnya dan versi terkunci tetap utuh</w:t>
            </w:r>
          </w:p>
        </w:tc>
      </w:tr>
    </w:tbl>
    <w:p>
      <w:pPr>
        <w:spacing w:after="0"/>
      </w:pPr>
    </w:p>
    <w:p>
      <w:r>
        <w:br w:type="page"/>
      </w:r>
    </w:p>
    <w:p>
      <w:pPr>
        <w:pStyle w:val="Heading1"/>
      </w:pPr>
      <w:r>
        <w:t>2. Menu 1 - Ringkasan</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Analis HTA     </w:t>
            </w:r>
            <w:r>
              <w:rPr>
                <w:b/>
                <w:sz w:val="20"/>
              </w:rPr>
              <w:t>Langkah paket:</w:t>
            </w:r>
            <w:r>
              <w:rPr>
                <w:sz w:val="20"/>
              </w:rPr>
              <w:t xml:space="preserve"> 1-10</w:t>
            </w:r>
          </w:p>
        </w:tc>
      </w:tr>
    </w:tbl>
    <w:p>
      <w:pPr>
        <w:spacing w:after="0"/>
      </w:pPr>
    </w:p>
    <w:p>
      <w:r>
        <w:rPr/>
        <w:t>Menu Ringkasan memuat identitas kasus dan pertanyaan keputusannya (PICO). Isinya diketik satu kali ketika kasus dibuat, melalui tiga langkah.</w:t>
      </w:r>
    </w:p>
    <w:p>
      <w:pPr>
        <w:tabs>
          <w:tab w:pos="425" w:val="left"/>
        </w:tabs>
        <w:spacing w:after="60"/>
        <w:ind w:left="425" w:hanging="425"/>
      </w:pPr>
      <w:r>
        <w:rPr/>
        <w:t>1.</w:t>
        <w:tab/>
        <w:t xml:space="preserve">Di </w:t>
      </w:r>
      <w:r>
        <w:rPr>
          <w:b/>
        </w:rPr>
        <w:t>Beranda</w:t>
      </w:r>
      <w:r>
        <w:rPr/>
        <w:t xml:space="preserve">, klik </w:t>
      </w:r>
      <w:r>
        <w:rPr>
          <w:b/>
        </w:rPr>
        <w:t>Buat Kasus Baru</w:t>
      </w:r>
      <w:r>
        <w:rPr/>
        <w:t>.</w:t>
      </w:r>
    </w:p>
    <w:p>
      <w:pPr>
        <w:tabs>
          <w:tab w:pos="425" w:val="left"/>
        </w:tabs>
        <w:spacing w:after="60"/>
        <w:ind w:left="425" w:hanging="425"/>
      </w:pPr>
      <w:r>
        <w:rPr/>
        <w:t>2.</w:t>
        <w:tab/>
        <w:t xml:space="preserve">Langkah </w:t>
      </w:r>
      <w:r>
        <w:rPr>
          <w:b/>
        </w:rPr>
        <w:t>Identitas</w:t>
      </w:r>
      <w:r>
        <w:rPr/>
        <w:t xml:space="preserve">: isi </w:t>
      </w:r>
      <w:r>
        <w:rPr>
          <w:b/>
        </w:rPr>
        <w:t>ID Kasus</w:t>
      </w:r>
      <w:r>
        <w:rPr/>
        <w:t xml:space="preserve"> dan </w:t>
      </w:r>
      <w:r>
        <w:rPr>
          <w:b/>
        </w:rPr>
        <w:t>Judul Kasus</w:t>
      </w:r>
      <w:r>
        <w:rPr/>
        <w:t xml:space="preserve">, lalu klik </w:t>
      </w:r>
      <w:r>
        <w:rPr>
          <w:b/>
        </w:rPr>
        <w:t>Lanjut</w:t>
      </w:r>
      <w:r>
        <w:rPr/>
        <w:t>.</w:t>
      </w:r>
    </w:p>
    <w:p>
      <w:pPr>
        <w:tabs>
          <w:tab w:pos="425" w:val="left"/>
        </w:tabs>
        <w:spacing w:after="60"/>
        <w:ind w:left="425" w:hanging="425"/>
      </w:pPr>
      <w:r>
        <w:rPr/>
        <w:t>3.</w:t>
        <w:tab/>
        <w:t xml:space="preserve">Langkah </w:t>
      </w:r>
      <w:r>
        <w:rPr>
          <w:b/>
        </w:rPr>
        <w:t>Klinis</w:t>
      </w:r>
      <w:r>
        <w:rPr/>
        <w:t xml:space="preserve">: isi </w:t>
      </w:r>
      <w:r>
        <w:rPr>
          <w:b/>
        </w:rPr>
        <w:t>Intervensi (Teknologi)</w:t>
      </w:r>
      <w:r>
        <w:rPr/>
        <w:t xml:space="preserve">, </w:t>
      </w:r>
      <w:r>
        <w:rPr>
          <w:b/>
        </w:rPr>
        <w:t>Komparator</w:t>
      </w:r>
      <w:r>
        <w:rPr/>
        <w:t xml:space="preserve">, </w:t>
      </w:r>
      <w:r>
        <w:rPr>
          <w:b/>
        </w:rPr>
        <w:t>Indikasi</w:t>
      </w:r>
      <w:r>
        <w:rPr/>
        <w:t xml:space="preserve">, </w:t>
      </w:r>
      <w:r>
        <w:rPr>
          <w:b/>
        </w:rPr>
        <w:t>Populasi</w:t>
      </w:r>
      <w:r>
        <w:rPr/>
        <w:t xml:space="preserve"> dan </w:t>
      </w:r>
      <w:r>
        <w:rPr>
          <w:b/>
        </w:rPr>
        <w:t>Setting</w:t>
      </w:r>
      <w:r>
        <w:rPr/>
        <w:t xml:space="preserve">. Biarkan </w:t>
      </w:r>
      <w:r>
        <w:rPr>
          <w:b/>
        </w:rPr>
        <w:t>Perspektif</w:t>
      </w:r>
      <w:r>
        <w:rPr/>
        <w:t xml:space="preserve"> pada </w:t>
      </w:r>
      <w:r>
        <w:rPr>
          <w:b/>
        </w:rPr>
        <w:t>Rumah Sakit</w:t>
      </w:r>
      <w:r>
        <w:rPr/>
        <w:t xml:space="preserve">. Klik </w:t>
      </w:r>
      <w:r>
        <w:rPr>
          <w:b/>
        </w:rPr>
        <w:t>Lanjut</w:t>
      </w:r>
      <w:r>
        <w:rPr/>
        <w:t>.</w:t>
      </w:r>
    </w:p>
    <w:p>
      <w:pPr>
        <w:tabs>
          <w:tab w:pos="425" w:val="left"/>
        </w:tabs>
        <w:spacing w:after="60"/>
        <w:ind w:left="425" w:hanging="425"/>
      </w:pPr>
      <w:r>
        <w:rPr/>
        <w:t>4.</w:t>
        <w:tab/>
        <w:t xml:space="preserve">Langkah </w:t>
      </w:r>
      <w:r>
        <w:rPr>
          <w:b/>
        </w:rPr>
        <w:t>PICO</w:t>
      </w:r>
      <w:r>
        <w:rPr/>
        <w:t xml:space="preserve">: isi </w:t>
      </w:r>
      <w:r>
        <w:rPr>
          <w:b/>
        </w:rPr>
        <w:t>Pertanyaan klinis</w:t>
      </w:r>
      <w:r>
        <w:rPr/>
        <w:t xml:space="preserve"> dan keempat unsur PICO, lalu klik </w:t>
      </w:r>
      <w:r>
        <w:rPr>
          <w:b/>
        </w:rPr>
        <w:t>Lanjut</w:t>
      </w:r>
      <w:r>
        <w:rPr/>
        <w:t>.</w:t>
      </w:r>
    </w:p>
    <w:p>
      <w:pPr>
        <w:tabs>
          <w:tab w:pos="425" w:val="left"/>
        </w:tabs>
        <w:spacing w:after="60"/>
        <w:ind w:left="425" w:hanging="425"/>
      </w:pPr>
      <w:r>
        <w:rPr/>
        <w:t>5.</w:t>
        <w:tab/>
        <w:t xml:space="preserve">Periksa ringkasan, lalu klik </w:t>
      </w:r>
      <w:r>
        <w:rPr>
          <w:b/>
        </w:rPr>
        <w:t>Simpan Kasus</w:t>
      </w:r>
      <w:r>
        <w:rPr/>
        <w:t xml:space="preserve">. Kasus terbuka pada tab </w:t>
      </w:r>
      <w:r>
        <w:rPr>
          <w:b/>
        </w:rPr>
        <w:t>Ringkasan</w:t>
      </w:r>
      <w:r>
        <w:rPr/>
        <w:t xml:space="preserve"> dengan status </w:t>
      </w:r>
      <w:r>
        <w:rPr>
          <w:b/>
        </w:rPr>
        <w:t>DRAFT</w:t>
      </w:r>
      <w:r>
        <w:rPr/>
        <w:t>.</w:t>
      </w:r>
    </w:p>
    <w:p>
      <w:pPr>
        <w:keepNext/>
        <w:spacing w:after="60"/>
      </w:pPr>
      <w:r>
        <w:rPr>
          <w:b/>
          <w:sz w:val="19"/>
        </w:rPr>
        <w:t>Tabel 3.</w:t>
      </w:r>
      <w:r>
        <w:rPr>
          <w:sz w:val="19"/>
        </w:rPr>
        <w:t xml:space="preserve"> Isian Ringkasan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608"/>
            <w:shd w:val="clear" w:color="auto" w:fill="1F4E79"/>
          </w:tcPr>
          <w:p>
            <w:pPr>
              <w:spacing w:after="0"/>
            </w:pPr>
            <w:r>
              <w:rPr>
                <w:b/>
                <w:color w:val="FFFFFF"/>
                <w:sz w:val="18"/>
              </w:rPr>
              <w:t>Isian</w:t>
            </w:r>
          </w:p>
        </w:tc>
        <w:tc>
          <w:tcPr>
            <w:tcW w:type="dxa" w:w="6009"/>
            <w:shd w:val="clear" w:color="auto" w:fill="1F4E79"/>
          </w:tcPr>
          <w:p>
            <w:pPr>
              <w:spacing w:after="0"/>
            </w:pPr>
            <w:r>
              <w:rPr>
                <w:b/>
                <w:color w:val="FFFFFF"/>
                <w:sz w:val="18"/>
              </w:rPr>
              <w:t>Nilai yang diketik</w:t>
            </w:r>
          </w:p>
        </w:tc>
        <w:tc>
          <w:tcPr>
            <w:tcW w:type="dxa" w:w="1020"/>
            <w:shd w:val="clear" w:color="auto" w:fill="1F4E79"/>
          </w:tcPr>
          <w:p>
            <w:pPr>
              <w:spacing w:after="0"/>
            </w:pPr>
            <w:r>
              <w:rPr>
                <w:b/>
                <w:color w:val="FFFFFF"/>
                <w:sz w:val="18"/>
              </w:rPr>
              <w:t>Langkah</w:t>
            </w:r>
          </w:p>
        </w:tc>
      </w:tr>
      <w:tr>
        <w:tc>
          <w:tcPr>
            <w:tcW w:type="dxa" w:w="2608"/>
          </w:tcPr>
          <w:p>
            <w:pPr>
              <w:spacing w:after="0"/>
            </w:pPr>
            <w:r>
              <w:rPr>
                <w:sz w:val="18"/>
              </w:rPr>
              <w:t>ID Kasus</w:t>
            </w:r>
          </w:p>
        </w:tc>
        <w:tc>
          <w:tcPr>
            <w:tcW w:type="dxa" w:w="6009"/>
          </w:tcPr>
          <w:p>
            <w:pPr>
              <w:spacing w:after="0"/>
            </w:pPr>
            <w:r>
              <w:rPr>
                <w:rFonts w:ascii="Consolas" w:hAnsi="Consolas" w:eastAsia="Consolas"/>
                <w:sz w:val="18"/>
              </w:rPr>
              <w:t>DB_DEMO_HF_001</w:t>
            </w:r>
          </w:p>
        </w:tc>
        <w:tc>
          <w:tcPr>
            <w:tcW w:type="dxa" w:w="1020"/>
          </w:tcPr>
          <w:p>
            <w:pPr>
              <w:spacing w:after="0"/>
            </w:pPr>
            <w:r>
              <w:rPr>
                <w:sz w:val="18"/>
              </w:rPr>
              <w:t>1</w:t>
            </w:r>
          </w:p>
        </w:tc>
      </w:tr>
      <w:tr>
        <w:tc>
          <w:tcPr>
            <w:tcW w:type="dxa" w:w="2608"/>
          </w:tcPr>
          <w:p>
            <w:pPr>
              <w:spacing w:after="0"/>
            </w:pPr>
            <w:r>
              <w:rPr>
                <w:sz w:val="18"/>
              </w:rPr>
              <w:t>Judul Kasus</w:t>
            </w:r>
          </w:p>
        </w:tc>
        <w:tc>
          <w:tcPr>
            <w:tcW w:type="dxa" w:w="6009"/>
          </w:tcPr>
          <w:p>
            <w:pPr>
              <w:spacing w:after="0"/>
            </w:pPr>
            <w:r>
              <w:rPr>
                <w:sz w:val="18"/>
              </w:rPr>
              <w:t>Demo ARNI vs Ramipril pada HFrEF</w:t>
            </w:r>
          </w:p>
        </w:tc>
        <w:tc>
          <w:tcPr>
            <w:tcW w:type="dxa" w:w="1020"/>
          </w:tcPr>
          <w:p>
            <w:pPr>
              <w:spacing w:after="0"/>
            </w:pPr>
            <w:r>
              <w:rPr>
                <w:sz w:val="18"/>
              </w:rPr>
              <w:t>2</w:t>
            </w:r>
          </w:p>
        </w:tc>
      </w:tr>
      <w:tr>
        <w:tc>
          <w:tcPr>
            <w:tcW w:type="dxa" w:w="2608"/>
          </w:tcPr>
          <w:p>
            <w:pPr>
              <w:spacing w:after="0"/>
            </w:pPr>
            <w:r>
              <w:rPr>
                <w:sz w:val="18"/>
              </w:rPr>
              <w:t>Indikasi</w:t>
            </w:r>
          </w:p>
        </w:tc>
        <w:tc>
          <w:tcPr>
            <w:tcW w:type="dxa" w:w="6009"/>
          </w:tcPr>
          <w:p>
            <w:pPr>
              <w:spacing w:after="0"/>
            </w:pPr>
            <w:r>
              <w:rPr>
                <w:sz w:val="18"/>
              </w:rPr>
              <w:t>Heart failure with reduced ejection fraction (HFrEF)</w:t>
            </w:r>
          </w:p>
        </w:tc>
        <w:tc>
          <w:tcPr>
            <w:tcW w:type="dxa" w:w="1020"/>
          </w:tcPr>
          <w:p>
            <w:pPr>
              <w:spacing w:after="0"/>
            </w:pPr>
            <w:r>
              <w:rPr>
                <w:sz w:val="18"/>
              </w:rPr>
              <w:t>3</w:t>
            </w:r>
          </w:p>
        </w:tc>
      </w:tr>
      <w:tr>
        <w:tc>
          <w:tcPr>
            <w:tcW w:type="dxa" w:w="2608"/>
          </w:tcPr>
          <w:p>
            <w:pPr>
              <w:spacing w:after="0"/>
            </w:pPr>
            <w:r>
              <w:rPr>
                <w:sz w:val="18"/>
              </w:rPr>
              <w:t>Populasi</w:t>
            </w:r>
          </w:p>
        </w:tc>
        <w:tc>
          <w:tcPr>
            <w:tcW w:type="dxa" w:w="6009"/>
          </w:tcPr>
          <w:p>
            <w:pPr>
              <w:spacing w:after="0"/>
            </w:pPr>
            <w:r>
              <w:rPr>
                <w:sz w:val="18"/>
              </w:rPr>
              <w:t>Dewasa &gt;=18 tahun, HFrEF LVEF &lt;=40%, NYHA II-IV, stabil</w:t>
            </w:r>
          </w:p>
        </w:tc>
        <w:tc>
          <w:tcPr>
            <w:tcW w:type="dxa" w:w="1020"/>
          </w:tcPr>
          <w:p>
            <w:pPr>
              <w:spacing w:after="0"/>
            </w:pPr>
            <w:r>
              <w:rPr>
                <w:sz w:val="18"/>
              </w:rPr>
              <w:t>4</w:t>
            </w:r>
          </w:p>
        </w:tc>
      </w:tr>
      <w:tr>
        <w:tc>
          <w:tcPr>
            <w:tcW w:type="dxa" w:w="2608"/>
          </w:tcPr>
          <w:p>
            <w:pPr>
              <w:spacing w:after="0"/>
            </w:pPr>
            <w:r>
              <w:rPr>
                <w:sz w:val="18"/>
              </w:rPr>
              <w:t>Intervensi (Teknologi)</w:t>
            </w:r>
          </w:p>
        </w:tc>
        <w:tc>
          <w:tcPr>
            <w:tcW w:type="dxa" w:w="6009"/>
          </w:tcPr>
          <w:p>
            <w:pPr>
              <w:spacing w:after="0"/>
            </w:pPr>
            <w:r>
              <w:rPr>
                <w:sz w:val="18"/>
              </w:rPr>
              <w:t>Sacubitril/valsartan (ARNI)</w:t>
            </w:r>
          </w:p>
        </w:tc>
        <w:tc>
          <w:tcPr>
            <w:tcW w:type="dxa" w:w="1020"/>
          </w:tcPr>
          <w:p>
            <w:pPr>
              <w:spacing w:after="0"/>
            </w:pPr>
            <w:r>
              <w:rPr>
                <w:sz w:val="18"/>
              </w:rPr>
              <w:t>5</w:t>
            </w:r>
          </w:p>
        </w:tc>
      </w:tr>
      <w:tr>
        <w:tc>
          <w:tcPr>
            <w:tcW w:type="dxa" w:w="2608"/>
          </w:tcPr>
          <w:p>
            <w:pPr>
              <w:spacing w:after="0"/>
            </w:pPr>
            <w:r>
              <w:rPr>
                <w:sz w:val="18"/>
              </w:rPr>
              <w:t>Komparator</w:t>
            </w:r>
          </w:p>
        </w:tc>
        <w:tc>
          <w:tcPr>
            <w:tcW w:type="dxa" w:w="6009"/>
          </w:tcPr>
          <w:p>
            <w:pPr>
              <w:spacing w:after="0"/>
            </w:pPr>
            <w:r>
              <w:rPr>
                <w:sz w:val="18"/>
              </w:rPr>
              <w:t>Ramipril (ACEI)</w:t>
            </w:r>
          </w:p>
        </w:tc>
        <w:tc>
          <w:tcPr>
            <w:tcW w:type="dxa" w:w="1020"/>
          </w:tcPr>
          <w:p>
            <w:pPr>
              <w:spacing w:after="0"/>
            </w:pPr>
            <w:r>
              <w:rPr>
                <w:sz w:val="18"/>
              </w:rPr>
              <w:t>6</w:t>
            </w:r>
          </w:p>
        </w:tc>
      </w:tr>
      <w:tr>
        <w:tc>
          <w:tcPr>
            <w:tcW w:type="dxa" w:w="2608"/>
          </w:tcPr>
          <w:p>
            <w:pPr>
              <w:spacing w:after="0"/>
            </w:pPr>
            <w:r>
              <w:rPr>
                <w:sz w:val="18"/>
              </w:rPr>
              <w:t>Setting</w:t>
            </w:r>
          </w:p>
        </w:tc>
        <w:tc>
          <w:tcPr>
            <w:tcW w:type="dxa" w:w="6009"/>
          </w:tcPr>
          <w:p>
            <w:pPr>
              <w:spacing w:after="0"/>
            </w:pPr>
            <w:r>
              <w:rPr>
                <w:sz w:val="18"/>
              </w:rPr>
              <w:t>Formularium rumah sakit; rawat jalan HFrEF</w:t>
            </w:r>
          </w:p>
        </w:tc>
        <w:tc>
          <w:tcPr>
            <w:tcW w:type="dxa" w:w="1020"/>
          </w:tcPr>
          <w:p>
            <w:pPr>
              <w:spacing w:after="0"/>
            </w:pPr>
            <w:r>
              <w:rPr>
                <w:sz w:val="18"/>
              </w:rPr>
              <w:t>7</w:t>
            </w:r>
          </w:p>
        </w:tc>
      </w:tr>
      <w:tr>
        <w:tc>
          <w:tcPr>
            <w:tcW w:type="dxa" w:w="2608"/>
          </w:tcPr>
          <w:p>
            <w:pPr>
              <w:spacing w:after="0"/>
            </w:pPr>
            <w:r>
              <w:rPr>
                <w:sz w:val="18"/>
              </w:rPr>
              <w:t>Perspektif</w:t>
            </w:r>
          </w:p>
        </w:tc>
        <w:tc>
          <w:tcPr>
            <w:tcW w:type="dxa" w:w="6009"/>
          </w:tcPr>
          <w:p>
            <w:pPr>
              <w:spacing w:after="0"/>
            </w:pPr>
            <w:r>
              <w:rPr>
                <w:sz w:val="18"/>
              </w:rPr>
              <w:t>Rumah Sakit</w:t>
            </w:r>
          </w:p>
        </w:tc>
        <w:tc>
          <w:tcPr>
            <w:tcW w:type="dxa" w:w="1020"/>
          </w:tcPr>
          <w:p>
            <w:pPr>
              <w:spacing w:after="0"/>
            </w:pPr>
            <w:r>
              <w:rPr>
                <w:sz w:val="18"/>
              </w:rPr>
              <w:t>8</w:t>
            </w:r>
          </w:p>
        </w:tc>
      </w:tr>
      <w:tr>
        <w:tc>
          <w:tcPr>
            <w:tcW w:type="dxa" w:w="2608"/>
          </w:tcPr>
          <w:p>
            <w:pPr>
              <w:spacing w:after="0"/>
            </w:pPr>
            <w:r>
              <w:rPr>
                <w:sz w:val="18"/>
              </w:rPr>
              <w:t>Pertanyaan klinis</w:t>
            </w:r>
          </w:p>
        </w:tc>
        <w:tc>
          <w:tcPr>
            <w:tcW w:type="dxa" w:w="6009"/>
          </w:tcPr>
          <w:p>
            <w:pPr>
              <w:spacing w:after="0"/>
            </w:pPr>
            <w:r>
              <w:rPr>
                <w:sz w:val="18"/>
              </w:rPr>
              <w:t>Apakah ARNI diadopsi dibanding ramipril untuk pasien HFrEF eligible?</w:t>
            </w:r>
          </w:p>
        </w:tc>
        <w:tc>
          <w:tcPr>
            <w:tcW w:type="dxa" w:w="1020"/>
          </w:tcPr>
          <w:p>
            <w:pPr>
              <w:spacing w:after="0"/>
            </w:pPr>
            <w:r>
              <w:rPr>
                <w:sz w:val="18"/>
              </w:rPr>
              <w:t>-</w:t>
            </w:r>
          </w:p>
        </w:tc>
      </w:tr>
      <w:tr>
        <w:tc>
          <w:tcPr>
            <w:tcW w:type="dxa" w:w="2608"/>
          </w:tcPr>
          <w:p>
            <w:pPr>
              <w:spacing w:after="0"/>
            </w:pPr>
            <w:r>
              <w:rPr>
                <w:sz w:val="18"/>
              </w:rPr>
              <w:t>Populasi (P), Intervensi (I), Komparator (C)</w:t>
            </w:r>
          </w:p>
        </w:tc>
        <w:tc>
          <w:tcPr>
            <w:tcW w:type="dxa" w:w="6009"/>
          </w:tcPr>
          <w:p>
            <w:pPr>
              <w:spacing w:after="0"/>
            </w:pPr>
            <w:r>
              <w:rPr>
                <w:sz w:val="18"/>
              </w:rPr>
              <w:t>Sama dengan isian di atas</w:t>
            </w:r>
          </w:p>
        </w:tc>
        <w:tc>
          <w:tcPr>
            <w:tcW w:type="dxa" w:w="1020"/>
          </w:tcPr>
          <w:p>
            <w:pPr>
              <w:spacing w:after="0"/>
            </w:pPr>
            <w:r>
              <w:rPr>
                <w:sz w:val="18"/>
              </w:rPr>
              <w:t>4-6</w:t>
            </w:r>
          </w:p>
        </w:tc>
      </w:tr>
      <w:tr>
        <w:tc>
          <w:tcPr>
            <w:tcW w:type="dxa" w:w="2608"/>
          </w:tcPr>
          <w:p>
            <w:pPr>
              <w:spacing w:after="0"/>
            </w:pPr>
            <w:r>
              <w:rPr>
                <w:sz w:val="18"/>
              </w:rPr>
              <w:t>Outcome (O)</w:t>
            </w:r>
          </w:p>
        </w:tc>
        <w:tc>
          <w:tcPr>
            <w:tcW w:type="dxa" w:w="6009"/>
          </w:tcPr>
          <w:p>
            <w:pPr>
              <w:spacing w:after="0"/>
            </w:pPr>
            <w:r>
              <w:rPr>
                <w:sz w:val="18"/>
              </w:rPr>
              <w:t>QALY; rehospitalisasi HF</w:t>
            </w:r>
          </w:p>
        </w:tc>
        <w:tc>
          <w:tcPr>
            <w:tcW w:type="dxa" w:w="1020"/>
          </w:tcPr>
          <w:p>
            <w:pPr>
              <w:spacing w:after="0"/>
            </w:pPr>
            <w:r>
              <w:rPr>
                <w:sz w:val="18"/>
              </w:rPr>
              <w:t>10</w:t>
            </w:r>
          </w:p>
        </w:tc>
      </w:tr>
    </w:tbl>
    <w:p>
      <w:pPr>
        <w:spacing w:after="0"/>
      </w:pP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Dua isian paket yang letaknya berbeda</w:t>
            </w:r>
          </w:p>
          <w:p>
            <w:pPr>
              <w:spacing w:after="40"/>
            </w:pPr>
            <w:r>
              <w:rPr>
                <w:b/>
                <w:sz w:val="20"/>
              </w:rPr>
              <w:t>Time horizon</w:t>
            </w:r>
            <w:r>
              <w:rPr>
                <w:sz w:val="20"/>
              </w:rPr>
              <w:t xml:space="preserve"> (langkah 9) tidak diisi di sini. Isian itu ada di menu Analisis Ekonomi sebagai </w:t>
            </w:r>
            <w:r>
              <w:rPr>
                <w:b/>
                <w:sz w:val="20"/>
              </w:rPr>
              <w:t>Horizon CEA (tahun)</w:t>
            </w:r>
            <w:r>
              <w:rPr>
                <w:sz w:val="20"/>
              </w:rPr>
              <w:t>.</w:t>
            </w:r>
          </w:p>
          <w:p>
            <w:pPr>
              <w:spacing w:after="40"/>
            </w:pPr>
            <w:r>
              <w:rPr>
                <w:b/>
                <w:sz w:val="20"/>
              </w:rPr>
              <w:t>Outcome</w:t>
            </w:r>
            <w:r>
              <w:rPr>
                <w:sz w:val="20"/>
              </w:rPr>
              <w:t xml:space="preserve"> (langkah 10) diisi pada </w:t>
            </w:r>
            <w:r>
              <w:rPr>
                <w:b/>
                <w:sz w:val="20"/>
              </w:rPr>
              <w:t>Outcome (O)</w:t>
            </w:r>
            <w:r>
              <w:rPr>
                <w:sz w:val="20"/>
              </w:rPr>
              <w:t xml:space="preserve"> di langkah PICO.</w:t>
            </w:r>
          </w:p>
          <w:p>
            <w:pPr>
              <w:spacing w:after="40"/>
            </w:pPr>
            <w:r>
              <w:rPr>
                <w:sz w:val="20"/>
              </w:rPr>
              <w:t>ID kasus hanya menerima huruf besar, angka dan garis bawah, dan tidak dapat diubah setelah kasus disimpan.</w:t>
            </w:r>
          </w:p>
        </w:tc>
      </w:tr>
    </w:tbl>
    <w:p>
      <w:pPr>
        <w:spacing w:after="0"/>
      </w:pPr>
    </w:p>
    <w:p>
      <w:pPr>
        <w:keepNext/>
        <w:spacing w:after="40"/>
        <w:jc w:val="center"/>
      </w:pPr>
      <w:r>
        <w:drawing>
          <wp:inline xmlns:a="http://schemas.openxmlformats.org/drawingml/2006/main" xmlns:pic="http://schemas.openxmlformats.org/drawingml/2006/picture">
            <wp:extent cx="5186440" cy="3244569"/>
            <wp:docPr id="4" name="Picture 4"/>
            <wp:cNvGraphicFramePr>
              <a:graphicFrameLocks noChangeAspect="1"/>
            </wp:cNvGraphicFramePr>
            <a:graphic>
              <a:graphicData uri="http://schemas.openxmlformats.org/drawingml/2006/picture">
                <pic:pic>
                  <pic:nvPicPr>
                    <pic:cNvPr id="0" name="03-kasus-identitas-4.png"/>
                    <pic:cNvPicPr/>
                  </pic:nvPicPr>
                  <pic:blipFill>
                    <a:blip r:embed="rId13"/>
                    <a:stretch>
                      <a:fillRect/>
                    </a:stretch>
                  </pic:blipFill>
                  <pic:spPr>
                    <a:xfrm>
                      <a:off x="0" y="0"/>
                      <a:ext cx="5186440" cy="3244569"/>
                    </a:xfrm>
                    <a:prstGeom prst="rect"/>
                  </pic:spPr>
                </pic:pic>
              </a:graphicData>
            </a:graphic>
          </wp:inline>
        </w:drawing>
      </w:r>
    </w:p>
    <w:p>
      <w:pPr>
        <w:spacing w:after="200"/>
        <w:jc w:val="center"/>
      </w:pPr>
      <w:r>
        <w:rPr>
          <w:b/>
          <w:color w:val="595959"/>
          <w:sz w:val="18"/>
        </w:rPr>
        <w:t>Gambar 4.</w:t>
      </w:r>
      <w:r>
        <w:rPr>
          <w:color w:val="595959"/>
          <w:sz w:val="18"/>
        </w:rPr>
        <w:t xml:space="preserve"> Langkah Identitas pada pembuatan kasus.</w:t>
      </w:r>
    </w:p>
    <w:p>
      <w:pPr>
        <w:keepNext/>
        <w:spacing w:after="40"/>
        <w:jc w:val="center"/>
      </w:pPr>
      <w:r>
        <w:drawing>
          <wp:inline xmlns:a="http://schemas.openxmlformats.org/drawingml/2006/main" xmlns:pic="http://schemas.openxmlformats.org/drawingml/2006/picture">
            <wp:extent cx="5762711" cy="3605076"/>
            <wp:docPr id="5" name="Picture 5"/>
            <wp:cNvGraphicFramePr>
              <a:graphicFrameLocks noChangeAspect="1"/>
            </wp:cNvGraphicFramePr>
            <a:graphic>
              <a:graphicData uri="http://schemas.openxmlformats.org/drawingml/2006/picture">
                <pic:pic>
                  <pic:nvPicPr>
                    <pic:cNvPr id="0" name="04-kasus-klinis-5.png"/>
                    <pic:cNvPicPr/>
                  </pic:nvPicPr>
                  <pic:blipFill>
                    <a:blip r:embed="rId14"/>
                    <a:stretch>
                      <a:fillRect/>
                    </a:stretch>
                  </pic:blipFill>
                  <pic:spPr>
                    <a:xfrm>
                      <a:off x="0" y="0"/>
                      <a:ext cx="5762711" cy="3605076"/>
                    </a:xfrm>
                    <a:prstGeom prst="rect"/>
                  </pic:spPr>
                </pic:pic>
              </a:graphicData>
            </a:graphic>
          </wp:inline>
        </w:drawing>
      </w:r>
    </w:p>
    <w:p>
      <w:pPr>
        <w:spacing w:after="200"/>
        <w:jc w:val="center"/>
      </w:pPr>
      <w:r>
        <w:rPr>
          <w:b/>
          <w:color w:val="595959"/>
          <w:sz w:val="18"/>
        </w:rPr>
        <w:t>Gambar 5.</w:t>
      </w:r>
      <w:r>
        <w:rPr>
          <w:color w:val="595959"/>
          <w:sz w:val="18"/>
        </w:rPr>
        <w:t xml:space="preserve"> Langkah Klinis.</w:t>
      </w:r>
    </w:p>
    <w:p>
      <w:pPr>
        <w:keepNext/>
        <w:spacing w:after="40"/>
        <w:jc w:val="center"/>
      </w:pPr>
      <w:r>
        <w:drawing>
          <wp:inline xmlns:a="http://schemas.openxmlformats.org/drawingml/2006/main" xmlns:pic="http://schemas.openxmlformats.org/drawingml/2006/picture">
            <wp:extent cx="5762711" cy="3605076"/>
            <wp:docPr id="6" name="Picture 6"/>
            <wp:cNvGraphicFramePr>
              <a:graphicFrameLocks noChangeAspect="1"/>
            </wp:cNvGraphicFramePr>
            <a:graphic>
              <a:graphicData uri="http://schemas.openxmlformats.org/drawingml/2006/picture">
                <pic:pic>
                  <pic:nvPicPr>
                    <pic:cNvPr id="0" name="05-kasus-pico-6.png"/>
                    <pic:cNvPicPr/>
                  </pic:nvPicPr>
                  <pic:blipFill>
                    <a:blip r:embed="rId15"/>
                    <a:stretch>
                      <a:fillRect/>
                    </a:stretch>
                  </pic:blipFill>
                  <pic:spPr>
                    <a:xfrm>
                      <a:off x="0" y="0"/>
                      <a:ext cx="5762711" cy="3605076"/>
                    </a:xfrm>
                    <a:prstGeom prst="rect"/>
                  </pic:spPr>
                </pic:pic>
              </a:graphicData>
            </a:graphic>
          </wp:inline>
        </w:drawing>
      </w:r>
    </w:p>
    <w:p>
      <w:pPr>
        <w:spacing w:after="200"/>
        <w:jc w:val="center"/>
      </w:pPr>
      <w:r>
        <w:rPr>
          <w:b/>
          <w:color w:val="595959"/>
          <w:sz w:val="18"/>
        </w:rPr>
        <w:t>Gambar 6.</w:t>
      </w:r>
      <w:r>
        <w:rPr>
          <w:color w:val="595959"/>
          <w:sz w:val="18"/>
        </w:rPr>
        <w:t xml:space="preserve"> Langkah PICO.</w:t>
      </w:r>
    </w:p>
    <w:p>
      <w:pPr>
        <w:keepNext/>
        <w:spacing w:after="40"/>
        <w:jc w:val="center"/>
      </w:pPr>
      <w:r>
        <w:drawing>
          <wp:inline xmlns:a="http://schemas.openxmlformats.org/drawingml/2006/main" xmlns:pic="http://schemas.openxmlformats.org/drawingml/2006/picture">
            <wp:extent cx="6050847" cy="3785330"/>
            <wp:docPr id="7" name="Picture 7"/>
            <wp:cNvGraphicFramePr>
              <a:graphicFrameLocks noChangeAspect="1"/>
            </wp:cNvGraphicFramePr>
            <a:graphic>
              <a:graphicData uri="http://schemas.openxmlformats.org/drawingml/2006/picture">
                <pic:pic>
                  <pic:nvPicPr>
                    <pic:cNvPr id="0" name="06-ringkasan-7.png"/>
                    <pic:cNvPicPr/>
                  </pic:nvPicPr>
                  <pic:blipFill>
                    <a:blip r:embed="rId16"/>
                    <a:stretch>
                      <a:fillRect/>
                    </a:stretch>
                  </pic:blipFill>
                  <pic:spPr>
                    <a:xfrm>
                      <a:off x="0" y="0"/>
                      <a:ext cx="6050847" cy="3785330"/>
                    </a:xfrm>
                    <a:prstGeom prst="rect"/>
                  </pic:spPr>
                </pic:pic>
              </a:graphicData>
            </a:graphic>
          </wp:inline>
        </w:drawing>
      </w:r>
    </w:p>
    <w:p>
      <w:pPr>
        <w:spacing w:after="200"/>
        <w:jc w:val="center"/>
      </w:pPr>
      <w:r>
        <w:rPr>
          <w:b/>
          <w:color w:val="595959"/>
          <w:sz w:val="18"/>
        </w:rPr>
        <w:t>Gambar 7.</w:t>
      </w:r>
      <w:r>
        <w:rPr>
          <w:color w:val="595959"/>
          <w:sz w:val="18"/>
        </w:rPr>
        <w:t xml:space="preserve"> Tab Ringkasan setelah kasus disimpan. Status kasus masih DRAFT.</w:t>
      </w:r>
    </w:p>
    <w:p>
      <w:r>
        <w:br w:type="page"/>
      </w:r>
    </w:p>
    <w:p>
      <w:pPr>
        <w:pStyle w:val="Heading1"/>
      </w:pPr>
      <w:r>
        <w:t>3. Menu 2 - Analisis Ekonomi</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Analis HTA     </w:t>
            </w:r>
            <w:r>
              <w:rPr>
                <w:b/>
                <w:sz w:val="20"/>
              </w:rPr>
              <w:t>Langkah paket:</w:t>
            </w:r>
            <w:r>
              <w:rPr>
                <w:sz w:val="20"/>
              </w:rPr>
              <w:t xml:space="preserve"> 11-24 (dan input BIA, langkah 25-33)</w:t>
            </w:r>
          </w:p>
        </w:tc>
      </w:tr>
    </w:tbl>
    <w:p>
      <w:pPr>
        <w:spacing w:after="0"/>
      </w:pPr>
    </w:p>
    <w:p>
      <w:r>
        <w:rPr/>
        <w:t>Menu ini memuat model cost-utility: beberapa pengaturan model, lalu daftar parameter untuk tiap lengan. Semua input BIA juga diketik di sini; tab BIA hanya menghitung dan menampilkan hasilnya.</w:t>
      </w:r>
    </w:p>
    <w:p>
      <w:pPr>
        <w:pStyle w:val="Heading2"/>
      </w:pPr>
      <w:r>
        <w:t>3.1 Parameter model</w:t>
      </w:r>
    </w:p>
    <w:p>
      <w:pPr>
        <w:tabs>
          <w:tab w:pos="425" w:val="left"/>
        </w:tabs>
        <w:spacing w:after="60"/>
        <w:ind w:left="425" w:hanging="425"/>
      </w:pPr>
      <w:r>
        <w:rPr/>
        <w:t>1.</w:t>
        <w:tab/>
        <w:t xml:space="preserve">Buka tab </w:t>
      </w:r>
      <w:r>
        <w:rPr>
          <w:b/>
        </w:rPr>
        <w:t>Analisis Ekonomi</w:t>
      </w:r>
      <w:r>
        <w:rPr/>
        <w:t>.</w:t>
      </w:r>
    </w:p>
    <w:p>
      <w:pPr>
        <w:tabs>
          <w:tab w:pos="425" w:val="left"/>
        </w:tabs>
        <w:spacing w:after="60"/>
        <w:ind w:left="425" w:hanging="425"/>
      </w:pPr>
      <w:r>
        <w:rPr/>
        <w:t>2.</w:t>
        <w:tab/>
        <w:t xml:space="preserve">Isi kartu </w:t>
      </w:r>
      <w:r>
        <w:rPr>
          <w:b/>
        </w:rPr>
        <w:t>Parameter Model Ekonomi</w:t>
      </w:r>
      <w:r>
        <w:rPr/>
        <w:t xml:space="preserve"> sesuai Tabel berikut.</w:t>
      </w:r>
    </w:p>
    <w:p>
      <w:pPr>
        <w:tabs>
          <w:tab w:pos="425" w:val="left"/>
        </w:tabs>
        <w:spacing w:after="60"/>
        <w:ind w:left="425" w:hanging="425"/>
      </w:pPr>
      <w:r>
        <w:rPr/>
        <w:t>3.</w:t>
        <w:tab/>
        <w:t xml:space="preserve">Klik </w:t>
      </w:r>
      <w:r>
        <w:rPr>
          <w:b/>
        </w:rPr>
        <w:t>Simpan Model</w:t>
      </w:r>
      <w:r>
        <w:rPr/>
        <w:t>. Model harus tersimpan sebelum parameter dapat disimpan.</w:t>
      </w:r>
    </w:p>
    <w:p>
      <w:pPr>
        <w:keepNext/>
        <w:spacing w:after="60"/>
      </w:pPr>
      <w:r>
        <w:rPr>
          <w:b/>
          <w:sz w:val="19"/>
        </w:rPr>
        <w:t>Tabel 4.</w:t>
      </w:r>
      <w:r>
        <w:rPr>
          <w:sz w:val="19"/>
        </w:rPr>
        <w:t xml:space="preserve"> Parameter model</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5"/>
            <w:shd w:val="clear" w:color="auto" w:fill="1F4E79"/>
          </w:tcPr>
          <w:p>
            <w:pPr>
              <w:spacing w:after="0"/>
            </w:pPr>
            <w:r>
              <w:rPr>
                <w:b/>
                <w:color w:val="FFFFFF"/>
                <w:sz w:val="18"/>
              </w:rPr>
              <w:t>Isian</w:t>
            </w:r>
          </w:p>
        </w:tc>
        <w:tc>
          <w:tcPr>
            <w:tcW w:type="dxa" w:w="2608"/>
            <w:shd w:val="clear" w:color="auto" w:fill="1F4E79"/>
          </w:tcPr>
          <w:p>
            <w:pPr>
              <w:spacing w:after="0"/>
            </w:pPr>
            <w:r>
              <w:rPr>
                <w:b/>
                <w:color w:val="FFFFFF"/>
                <w:sz w:val="18"/>
              </w:rPr>
              <w:t>Nilai yang diketik</w:t>
            </w:r>
          </w:p>
        </w:tc>
        <w:tc>
          <w:tcPr>
            <w:tcW w:type="dxa" w:w="907"/>
            <w:shd w:val="clear" w:color="auto" w:fill="1F4E79"/>
          </w:tcPr>
          <w:p>
            <w:pPr>
              <w:spacing w:after="0"/>
            </w:pPr>
            <w:r>
              <w:rPr>
                <w:b/>
                <w:color w:val="FFFFFF"/>
                <w:sz w:val="18"/>
              </w:rPr>
              <w:t>Langkah</w:t>
            </w:r>
          </w:p>
        </w:tc>
        <w:tc>
          <w:tcPr>
            <w:tcW w:type="dxa" w:w="3288"/>
            <w:shd w:val="clear" w:color="auto" w:fill="1F4E79"/>
          </w:tcPr>
          <w:p>
            <w:pPr>
              <w:spacing w:after="0"/>
            </w:pPr>
            <w:r>
              <w:rPr>
                <w:b/>
                <w:color w:val="FFFFFF"/>
                <w:sz w:val="18"/>
              </w:rPr>
              <w:t>Keterangan</w:t>
            </w:r>
          </w:p>
        </w:tc>
      </w:tr>
      <w:tr>
        <w:tc>
          <w:tcPr>
            <w:tcW w:type="dxa" w:w="2835"/>
          </w:tcPr>
          <w:p>
            <w:pPr>
              <w:spacing w:after="0"/>
            </w:pPr>
            <w:r>
              <w:rPr>
                <w:sz w:val="18"/>
              </w:rPr>
              <w:t>Horizon CEA (tahun)</w:t>
            </w:r>
          </w:p>
        </w:tc>
        <w:tc>
          <w:tcPr>
            <w:tcW w:type="dxa" w:w="2608"/>
          </w:tcPr>
          <w:p>
            <w:pPr>
              <w:spacing w:after="0"/>
            </w:pPr>
            <w:r>
              <w:rPr>
                <w:rFonts w:ascii="Consolas" w:hAnsi="Consolas" w:eastAsia="Consolas"/>
                <w:sz w:val="18"/>
              </w:rPr>
              <w:t>1</w:t>
            </w:r>
          </w:p>
        </w:tc>
        <w:tc>
          <w:tcPr>
            <w:tcW w:type="dxa" w:w="907"/>
          </w:tcPr>
          <w:p>
            <w:pPr>
              <w:spacing w:after="0"/>
            </w:pPr>
            <w:r>
              <w:rPr>
                <w:sz w:val="18"/>
              </w:rPr>
              <w:t>9</w:t>
            </w:r>
          </w:p>
        </w:tc>
        <w:tc>
          <w:tcPr>
            <w:tcW w:type="dxa" w:w="3288"/>
          </w:tcPr>
          <w:p>
            <w:pPr>
              <w:spacing w:after="0"/>
            </w:pPr>
            <w:r>
              <w:rPr>
                <w:sz w:val="18"/>
              </w:rPr>
              <w:t>Horizon analisis cost-utility</w:t>
            </w:r>
          </w:p>
        </w:tc>
      </w:tr>
      <w:tr>
        <w:tc>
          <w:tcPr>
            <w:tcW w:type="dxa" w:w="2835"/>
          </w:tcPr>
          <w:p>
            <w:pPr>
              <w:spacing w:after="0"/>
            </w:pPr>
            <w:r>
              <w:rPr>
                <w:sz w:val="18"/>
              </w:rPr>
              <w:t>Horizon BIA (tahun)</w:t>
            </w:r>
          </w:p>
        </w:tc>
        <w:tc>
          <w:tcPr>
            <w:tcW w:type="dxa" w:w="2608"/>
          </w:tcPr>
          <w:p>
            <w:pPr>
              <w:spacing w:after="0"/>
            </w:pPr>
            <w:r>
              <w:rPr>
                <w:rFonts w:ascii="Consolas" w:hAnsi="Consolas" w:eastAsia="Consolas"/>
                <w:sz w:val="18"/>
              </w:rPr>
              <w:t>3</w:t>
            </w:r>
          </w:p>
        </w:tc>
        <w:tc>
          <w:tcPr>
            <w:tcW w:type="dxa" w:w="907"/>
          </w:tcPr>
          <w:p>
            <w:pPr>
              <w:spacing w:after="0"/>
            </w:pPr>
            <w:r>
              <w:rPr>
                <w:sz w:val="18"/>
              </w:rPr>
              <w:t>25</w:t>
            </w:r>
          </w:p>
        </w:tc>
        <w:tc>
          <w:tcPr>
            <w:tcW w:type="dxa" w:w="3288"/>
          </w:tcPr>
          <w:p>
            <w:pPr>
              <w:spacing w:after="0"/>
            </w:pPr>
            <w:r>
              <w:rPr>
                <w:sz w:val="18"/>
              </w:rPr>
              <w:t>Kosong berarti sama dengan horizon CEA</w:t>
            </w:r>
          </w:p>
        </w:tc>
      </w:tr>
      <w:tr>
        <w:tc>
          <w:tcPr>
            <w:tcW w:type="dxa" w:w="2835"/>
          </w:tcPr>
          <w:p>
            <w:pPr>
              <w:spacing w:after="0"/>
            </w:pPr>
            <w:r>
              <w:rPr>
                <w:sz w:val="18"/>
              </w:rPr>
              <w:t>Discount rate biaya</w:t>
            </w:r>
          </w:p>
        </w:tc>
        <w:tc>
          <w:tcPr>
            <w:tcW w:type="dxa" w:w="2608"/>
          </w:tcPr>
          <w:p>
            <w:pPr>
              <w:spacing w:after="0"/>
            </w:pPr>
            <w:r>
              <w:rPr>
                <w:rFonts w:ascii="Consolas" w:hAnsi="Consolas" w:eastAsia="Consolas"/>
                <w:sz w:val="18"/>
              </w:rPr>
              <w:t>0</w:t>
            </w:r>
          </w:p>
        </w:tc>
        <w:tc>
          <w:tcPr>
            <w:tcW w:type="dxa" w:w="907"/>
          </w:tcPr>
          <w:p>
            <w:pPr>
              <w:spacing w:after="0"/>
            </w:pPr>
            <w:r>
              <w:rPr>
                <w:sz w:val="18"/>
              </w:rPr>
              <w:t>21</w:t>
            </w:r>
          </w:p>
        </w:tc>
        <w:tc>
          <w:tcPr>
            <w:tcW w:type="dxa" w:w="3288"/>
          </w:tcPr>
          <w:p>
            <w:pPr>
              <w:spacing w:after="0"/>
            </w:pPr>
            <w:r>
              <w:rPr>
                <w:sz w:val="18"/>
              </w:rPr>
              <w:t>Horizon hanya satu tahun</w:t>
            </w:r>
          </w:p>
        </w:tc>
      </w:tr>
      <w:tr>
        <w:tc>
          <w:tcPr>
            <w:tcW w:type="dxa" w:w="2835"/>
          </w:tcPr>
          <w:p>
            <w:pPr>
              <w:spacing w:after="0"/>
            </w:pPr>
            <w:r>
              <w:rPr>
                <w:sz w:val="18"/>
              </w:rPr>
              <w:t>Discount rate QALY</w:t>
            </w:r>
          </w:p>
        </w:tc>
        <w:tc>
          <w:tcPr>
            <w:tcW w:type="dxa" w:w="2608"/>
          </w:tcPr>
          <w:p>
            <w:pPr>
              <w:spacing w:after="0"/>
            </w:pPr>
            <w:r>
              <w:rPr>
                <w:rFonts w:ascii="Consolas" w:hAnsi="Consolas" w:eastAsia="Consolas"/>
                <w:sz w:val="18"/>
              </w:rPr>
              <w:t>0</w:t>
            </w:r>
          </w:p>
        </w:tc>
        <w:tc>
          <w:tcPr>
            <w:tcW w:type="dxa" w:w="907"/>
          </w:tcPr>
          <w:p>
            <w:pPr>
              <w:spacing w:after="0"/>
            </w:pPr>
            <w:r>
              <w:rPr>
                <w:sz w:val="18"/>
              </w:rPr>
              <w:t>22</w:t>
            </w:r>
          </w:p>
        </w:tc>
        <w:tc>
          <w:tcPr>
            <w:tcW w:type="dxa" w:w="3288"/>
          </w:tcPr>
          <w:p>
            <w:pPr>
              <w:spacing w:after="0"/>
            </w:pPr>
            <w:r>
              <w:rPr>
                <w:sz w:val="18"/>
              </w:rPr>
              <w:t>Horizon hanya satu tahun</w:t>
            </w:r>
          </w:p>
        </w:tc>
      </w:tr>
      <w:tr>
        <w:tc>
          <w:tcPr>
            <w:tcW w:type="dxa" w:w="2835"/>
          </w:tcPr>
          <w:p>
            <w:pPr>
              <w:spacing w:after="0"/>
            </w:pPr>
            <w:r>
              <w:rPr>
                <w:sz w:val="18"/>
              </w:rPr>
              <w:t>WTP threshold (IDR/QALY)</w:t>
            </w:r>
          </w:p>
        </w:tc>
        <w:tc>
          <w:tcPr>
            <w:tcW w:type="dxa" w:w="2608"/>
          </w:tcPr>
          <w:p>
            <w:pPr>
              <w:spacing w:after="0"/>
            </w:pPr>
            <w:r>
              <w:rPr>
                <w:rFonts w:ascii="Consolas" w:hAnsi="Consolas" w:eastAsia="Consolas"/>
                <w:sz w:val="18"/>
              </w:rPr>
              <w:t>300000000</w:t>
            </w:r>
          </w:p>
        </w:tc>
        <w:tc>
          <w:tcPr>
            <w:tcW w:type="dxa" w:w="907"/>
          </w:tcPr>
          <w:p>
            <w:pPr>
              <w:spacing w:after="0"/>
            </w:pPr>
            <w:r>
              <w:rPr>
                <w:sz w:val="18"/>
              </w:rPr>
              <w:t>23</w:t>
            </w:r>
          </w:p>
        </w:tc>
        <w:tc>
          <w:tcPr>
            <w:tcW w:type="dxa" w:w="3288"/>
          </w:tcPr>
          <w:p>
            <w:pPr>
              <w:spacing w:after="0"/>
            </w:pPr>
            <w:r>
              <w:rPr>
                <w:sz w:val="18"/>
              </w:rPr>
              <w:t>Rp300 juta per QALY</w:t>
            </w:r>
          </w:p>
        </w:tc>
      </w:tr>
      <w:tr>
        <w:tc>
          <w:tcPr>
            <w:tcW w:type="dxa" w:w="2835"/>
          </w:tcPr>
          <w:p>
            <w:pPr>
              <w:spacing w:after="0"/>
            </w:pPr>
            <w:r>
              <w:rPr>
                <w:sz w:val="18"/>
              </w:rPr>
              <w:t>Anggaran tahunan baseline (BIA)</w:t>
            </w:r>
          </w:p>
        </w:tc>
        <w:tc>
          <w:tcPr>
            <w:tcW w:type="dxa" w:w="2608"/>
          </w:tcPr>
          <w:p>
            <w:pPr>
              <w:spacing w:after="0"/>
            </w:pPr>
            <w:r>
              <w:rPr>
                <w:rFonts w:ascii="Consolas" w:hAnsi="Consolas" w:eastAsia="Consolas"/>
                <w:sz w:val="18"/>
              </w:rPr>
              <w:t>20000000000</w:t>
            </w:r>
          </w:p>
        </w:tc>
        <w:tc>
          <w:tcPr>
            <w:tcW w:type="dxa" w:w="907"/>
          </w:tcPr>
          <w:p>
            <w:pPr>
              <w:spacing w:after="0"/>
            </w:pPr>
            <w:r>
              <w:rPr>
                <w:sz w:val="18"/>
              </w:rPr>
              <w:t>33</w:t>
            </w:r>
          </w:p>
        </w:tc>
        <w:tc>
          <w:tcPr>
            <w:tcW w:type="dxa" w:w="3288"/>
          </w:tcPr>
          <w:p>
            <w:pPr>
              <w:spacing w:after="0"/>
            </w:pPr>
            <w:r>
              <w:rPr>
                <w:sz w:val="18"/>
              </w:rPr>
              <w:t>Dasar persen dampak anggaran</w:t>
            </w:r>
          </w:p>
        </w:tc>
      </w:tr>
      <w:tr>
        <w:tc>
          <w:tcPr>
            <w:tcW w:type="dxa" w:w="2835"/>
          </w:tcPr>
          <w:p>
            <w:pPr>
              <w:spacing w:after="0"/>
            </w:pPr>
            <w:r>
              <w:rPr>
                <w:sz w:val="18"/>
              </w:rPr>
              <w:t>Catatan</w:t>
            </w:r>
          </w:p>
        </w:tc>
        <w:tc>
          <w:tcPr>
            <w:tcW w:type="dxa" w:w="2608"/>
          </w:tcPr>
          <w:p>
            <w:pPr>
              <w:spacing w:after="0"/>
            </w:pPr>
            <w:r>
              <w:rPr>
                <w:sz w:val="18"/>
              </w:rPr>
              <w:t>Keterangan bahwa data sintetis dan biaya obat diisi per tahun</w:t>
            </w:r>
          </w:p>
        </w:tc>
        <w:tc>
          <w:tcPr>
            <w:tcW w:type="dxa" w:w="907"/>
          </w:tcPr>
          <w:p>
            <w:pPr>
              <w:spacing w:after="0"/>
            </w:pPr>
            <w:r>
              <w:rPr>
                <w:sz w:val="18"/>
              </w:rPr>
              <w:t>-</w:t>
            </w:r>
          </w:p>
        </w:tc>
        <w:tc>
          <w:tcPr>
            <w:tcW w:type="dxa" w:w="3288"/>
          </w:tcPr>
          <w:p>
            <w:pPr>
              <w:spacing w:after="0"/>
            </w:pPr>
            <w:r>
              <w:rPr>
                <w:sz w:val="18"/>
              </w:rPr>
              <w:t>Bebas</w:t>
            </w:r>
          </w:p>
        </w:tc>
      </w:tr>
    </w:tbl>
    <w:p>
      <w:pPr>
        <w:spacing w:after="0"/>
      </w:pPr>
    </w:p>
    <w:p>
      <w:pPr>
        <w:keepNext/>
        <w:spacing w:after="40"/>
        <w:jc w:val="center"/>
      </w:pPr>
      <w:r>
        <w:drawing>
          <wp:inline xmlns:a="http://schemas.openxmlformats.org/drawingml/2006/main" xmlns:pic="http://schemas.openxmlformats.org/drawingml/2006/picture">
            <wp:extent cx="6120000" cy="2050775"/>
            <wp:docPr id="8" name="Picture 8"/>
            <wp:cNvGraphicFramePr>
              <a:graphicFrameLocks noChangeAspect="1"/>
            </wp:cNvGraphicFramePr>
            <a:graphic>
              <a:graphicData uri="http://schemas.openxmlformats.org/drawingml/2006/picture">
                <pic:pic>
                  <pic:nvPicPr>
                    <pic:cNvPr id="0" name="07-ekonomi-model-8.png"/>
                    <pic:cNvPicPr/>
                  </pic:nvPicPr>
                  <pic:blipFill>
                    <a:blip r:embed="rId17"/>
                    <a:stretch>
                      <a:fillRect/>
                    </a:stretch>
                  </pic:blipFill>
                  <pic:spPr>
                    <a:xfrm>
                      <a:off x="0" y="0"/>
                      <a:ext cx="6120000" cy="2050775"/>
                    </a:xfrm>
                    <a:prstGeom prst="rect"/>
                  </pic:spPr>
                </pic:pic>
              </a:graphicData>
            </a:graphic>
          </wp:inline>
        </w:drawing>
      </w:r>
    </w:p>
    <w:p>
      <w:pPr>
        <w:spacing w:after="200"/>
        <w:jc w:val="center"/>
      </w:pPr>
      <w:r>
        <w:rPr>
          <w:b/>
          <w:color w:val="595959"/>
          <w:sz w:val="18"/>
        </w:rPr>
        <w:t>Gambar 8.</w:t>
      </w:r>
      <w:r>
        <w:rPr>
          <w:color w:val="595959"/>
          <w:sz w:val="18"/>
        </w:rPr>
        <w:t xml:space="preserve"> Kartu Parameter Model Ekonomi sebelum disimpan.</w:t>
      </w:r>
    </w:p>
    <w:p>
      <w:pPr>
        <w:pStyle w:val="Heading2"/>
      </w:pPr>
      <w:r>
        <w:t>3.2 Registri parameter</w:t>
      </w:r>
    </w:p>
    <w:p>
      <w:r>
        <w:rPr/>
        <w:t xml:space="preserve">Setiap parameter ditambahkan sebagai satu baris. Pada bagian </w:t>
      </w:r>
      <w:r>
        <w:rPr>
          <w:b/>
        </w:rPr>
        <w:t>Tambah parameter</w:t>
      </w:r>
      <w:r>
        <w:rPr/>
        <w:t xml:space="preserve"> di bawah tabel, pilih </w:t>
      </w:r>
      <w:r>
        <w:rPr>
          <w:b/>
        </w:rPr>
        <w:t>Parameter</w:t>
      </w:r>
      <w:r>
        <w:rPr/>
        <w:t xml:space="preserve">, </w:t>
      </w:r>
      <w:r>
        <w:rPr>
          <w:b/>
        </w:rPr>
        <w:t>Alternatif</w:t>
      </w:r>
      <w:r>
        <w:rPr/>
        <w:t xml:space="preserve"> dan </w:t>
      </w:r>
      <w:r>
        <w:rPr>
          <w:b/>
        </w:rPr>
        <w:t>Tahun</w:t>
      </w:r>
      <w:r>
        <w:rPr/>
        <w:t xml:space="preserve">, lalu klik </w:t>
      </w:r>
      <w:r>
        <w:rPr>
          <w:b/>
        </w:rPr>
        <w:t>Tambah</w:t>
      </w:r>
      <w:r>
        <w:rPr/>
        <w:t xml:space="preserve">. Baris baru muncul di tabel; isi </w:t>
      </w:r>
      <w:r>
        <w:rPr>
          <w:b/>
        </w:rPr>
        <w:t>Nilai</w:t>
      </w:r>
      <w:r>
        <w:rPr/>
        <w:t xml:space="preserve">, </w:t>
      </w:r>
      <w:r>
        <w:rPr>
          <w:b/>
        </w:rPr>
        <w:t>Satuan</w:t>
      </w:r>
      <w:r>
        <w:rPr/>
        <w:t xml:space="preserve"> dan </w:t>
      </w:r>
      <w:r>
        <w:rPr>
          <w:b/>
        </w:rPr>
        <w:t>Sumber</w:t>
      </w:r>
      <w:r>
        <w:rPr/>
        <w:t xml:space="preserve"> pada baris itu.</w:t>
      </w:r>
    </w:p>
    <w:p>
      <w:pPr>
        <w:keepNext/>
        <w:spacing w:after="60"/>
      </w:pPr>
      <w:r>
        <w:rPr>
          <w:b/>
          <w:sz w:val="19"/>
        </w:rPr>
        <w:t>Tabel 5.</w:t>
      </w:r>
      <w:r>
        <w:rPr>
          <w:sz w:val="19"/>
        </w:rPr>
        <w:t xml:space="preserve"> Enam belas baris parameter: sepuluh untuk analisis ekonomi, enam untuk BIA</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2211"/>
            <w:shd w:val="clear" w:color="auto" w:fill="1F4E79"/>
          </w:tcPr>
          <w:p>
            <w:pPr>
              <w:spacing w:after="0"/>
            </w:pPr>
            <w:r>
              <w:rPr>
                <w:b/>
                <w:color w:val="FFFFFF"/>
                <w:sz w:val="18"/>
              </w:rPr>
              <w:t>Parameter</w:t>
            </w:r>
          </w:p>
        </w:tc>
        <w:tc>
          <w:tcPr>
            <w:tcW w:type="dxa" w:w="1304"/>
            <w:shd w:val="clear" w:color="auto" w:fill="1F4E79"/>
          </w:tcPr>
          <w:p>
            <w:pPr>
              <w:spacing w:after="0"/>
            </w:pPr>
            <w:r>
              <w:rPr>
                <w:b/>
                <w:color w:val="FFFFFF"/>
                <w:sz w:val="18"/>
              </w:rPr>
              <w:t>Alternatif</w:t>
            </w:r>
          </w:p>
        </w:tc>
        <w:tc>
          <w:tcPr>
            <w:tcW w:type="dxa" w:w="907"/>
            <w:shd w:val="clear" w:color="auto" w:fill="1F4E79"/>
          </w:tcPr>
          <w:p>
            <w:pPr>
              <w:spacing w:after="0"/>
            </w:pPr>
            <w:r>
              <w:rPr>
                <w:b/>
                <w:color w:val="FFFFFF"/>
                <w:sz w:val="18"/>
              </w:rPr>
              <w:t>Tahun</w:t>
            </w:r>
          </w:p>
        </w:tc>
        <w:tc>
          <w:tcPr>
            <w:tcW w:type="dxa" w:w="1134"/>
            <w:shd w:val="clear" w:color="auto" w:fill="1F4E79"/>
          </w:tcPr>
          <w:p>
            <w:pPr>
              <w:spacing w:after="0"/>
            </w:pPr>
            <w:r>
              <w:rPr>
                <w:b/>
                <w:color w:val="FFFFFF"/>
                <w:sz w:val="18"/>
              </w:rPr>
              <w:t>Nilai</w:t>
            </w:r>
          </w:p>
        </w:tc>
        <w:tc>
          <w:tcPr>
            <w:tcW w:type="dxa" w:w="1474"/>
            <w:shd w:val="clear" w:color="auto" w:fill="1F4E79"/>
          </w:tcPr>
          <w:p>
            <w:pPr>
              <w:spacing w:after="0"/>
            </w:pPr>
            <w:r>
              <w:rPr>
                <w:b/>
                <w:color w:val="FFFFFF"/>
                <w:sz w:val="18"/>
              </w:rPr>
              <w:t>Satuan</w:t>
            </w:r>
          </w:p>
        </w:tc>
        <w:tc>
          <w:tcPr>
            <w:tcW w:type="dxa" w:w="1644"/>
            <w:shd w:val="clear" w:color="auto" w:fill="1F4E79"/>
          </w:tcPr>
          <w:p>
            <w:pPr>
              <w:spacing w:after="0"/>
            </w:pPr>
            <w:r>
              <w:rPr>
                <w:b/>
                <w:color w:val="FFFFFF"/>
                <w:sz w:val="18"/>
              </w:rPr>
              <w:t>Sumber</w:t>
            </w:r>
          </w:p>
        </w:tc>
        <w:tc>
          <w:tcPr>
            <w:tcW w:type="dxa" w:w="964"/>
            <w:shd w:val="clear" w:color="auto" w:fill="1F4E79"/>
          </w:tcPr>
          <w:p>
            <w:pPr>
              <w:spacing w:after="0"/>
            </w:pPr>
            <w:r>
              <w:rPr>
                <w:b/>
                <w:color w:val="FFFFFF"/>
                <w:sz w:val="18"/>
              </w:rPr>
              <w:t>Langkah</w:t>
            </w:r>
          </w:p>
        </w:tc>
      </w:tr>
      <w:tr>
        <w:tc>
          <w:tcPr>
            <w:tcW w:type="dxa" w:w="2211"/>
          </w:tcPr>
          <w:p>
            <w:pPr>
              <w:spacing w:after="0"/>
            </w:pPr>
            <w:r>
              <w:rPr>
                <w:sz w:val="18"/>
              </w:rPr>
              <w:t>Biaya obat per pasien per tahun</w:t>
            </w:r>
          </w:p>
        </w:tc>
        <w:tc>
          <w:tcPr>
            <w:tcW w:type="dxa" w:w="1304"/>
          </w:tcPr>
          <w:p>
            <w:pPr>
              <w:spacing w:after="0"/>
            </w:pPr>
            <w:r>
              <w:rPr>
                <w:sz w:val="18"/>
              </w:rPr>
              <w:t>Intervensi</w:t>
            </w:r>
          </w:p>
        </w:tc>
        <w:tc>
          <w:tcPr>
            <w:tcW w:type="dxa" w:w="907"/>
          </w:tcPr>
          <w:p>
            <w:pPr>
              <w:spacing w:after="0"/>
            </w:pPr>
            <w:r>
              <w:rPr>
                <w:sz w:val="18"/>
              </w:rPr>
              <w:t>Semua</w:t>
            </w:r>
          </w:p>
        </w:tc>
        <w:tc>
          <w:tcPr>
            <w:tcW w:type="dxa" w:w="1134"/>
          </w:tcPr>
          <w:p>
            <w:pPr>
              <w:spacing w:after="0"/>
            </w:pPr>
            <w:r>
              <w:rPr>
                <w:rFonts w:ascii="Consolas" w:hAnsi="Consolas" w:eastAsia="Consolas"/>
                <w:sz w:val="18"/>
              </w:rPr>
              <w:t>14400000</w:t>
            </w:r>
          </w:p>
        </w:tc>
        <w:tc>
          <w:tcPr>
            <w:tcW w:type="dxa" w:w="1474"/>
          </w:tcPr>
          <w:p>
            <w:pPr>
              <w:spacing w:after="0"/>
            </w:pPr>
            <w:r>
              <w:rPr>
                <w:sz w:val="18"/>
              </w:rPr>
              <w:t>IDR/pasien/tahun</w:t>
            </w:r>
          </w:p>
        </w:tc>
        <w:tc>
          <w:tcPr>
            <w:tcW w:type="dxa" w:w="1644"/>
          </w:tcPr>
          <w:p>
            <w:pPr>
              <w:spacing w:after="0"/>
            </w:pPr>
            <w:r>
              <w:rPr>
                <w:sz w:val="18"/>
              </w:rPr>
              <w:t>SRC-DEMO-01 Farmasi demo</w:t>
            </w:r>
          </w:p>
        </w:tc>
        <w:tc>
          <w:tcPr>
            <w:tcW w:type="dxa" w:w="964"/>
          </w:tcPr>
          <w:p>
            <w:pPr>
              <w:spacing w:after="0"/>
            </w:pPr>
            <w:r>
              <w:rPr>
                <w:sz w:val="18"/>
              </w:rPr>
              <w:t>11</w:t>
            </w:r>
          </w:p>
        </w:tc>
      </w:tr>
      <w:tr>
        <w:tc>
          <w:tcPr>
            <w:tcW w:type="dxa" w:w="2211"/>
          </w:tcPr>
          <w:p>
            <w:pPr>
              <w:spacing w:after="0"/>
            </w:pPr>
            <w:r>
              <w:rPr>
                <w:sz w:val="18"/>
              </w:rPr>
              <w:t>Biaya obat per pasien per tahun</w:t>
            </w:r>
          </w:p>
        </w:tc>
        <w:tc>
          <w:tcPr>
            <w:tcW w:type="dxa" w:w="1304"/>
          </w:tcPr>
          <w:p>
            <w:pPr>
              <w:spacing w:after="0"/>
            </w:pPr>
            <w:r>
              <w:rPr>
                <w:sz w:val="18"/>
              </w:rPr>
              <w:t>Komparator</w:t>
            </w:r>
          </w:p>
        </w:tc>
        <w:tc>
          <w:tcPr>
            <w:tcW w:type="dxa" w:w="907"/>
          </w:tcPr>
          <w:p>
            <w:pPr>
              <w:spacing w:after="0"/>
            </w:pPr>
            <w:r>
              <w:rPr>
                <w:sz w:val="18"/>
              </w:rPr>
              <w:t>Semua</w:t>
            </w:r>
          </w:p>
        </w:tc>
        <w:tc>
          <w:tcPr>
            <w:tcW w:type="dxa" w:w="1134"/>
          </w:tcPr>
          <w:p>
            <w:pPr>
              <w:spacing w:after="0"/>
            </w:pPr>
            <w:r>
              <w:rPr>
                <w:rFonts w:ascii="Consolas" w:hAnsi="Consolas" w:eastAsia="Consolas"/>
                <w:sz w:val="18"/>
              </w:rPr>
              <w:t>1200000</w:t>
            </w:r>
          </w:p>
        </w:tc>
        <w:tc>
          <w:tcPr>
            <w:tcW w:type="dxa" w:w="1474"/>
          </w:tcPr>
          <w:p>
            <w:pPr>
              <w:spacing w:after="0"/>
            </w:pPr>
            <w:r>
              <w:rPr>
                <w:sz w:val="18"/>
              </w:rPr>
              <w:t>IDR/pasien/tahun</w:t>
            </w:r>
          </w:p>
        </w:tc>
        <w:tc>
          <w:tcPr>
            <w:tcW w:type="dxa" w:w="1644"/>
          </w:tcPr>
          <w:p>
            <w:pPr>
              <w:spacing w:after="0"/>
            </w:pPr>
            <w:r>
              <w:rPr>
                <w:sz w:val="18"/>
              </w:rPr>
              <w:t>SRC-DEMO-01 Farmasi demo</w:t>
            </w:r>
          </w:p>
        </w:tc>
        <w:tc>
          <w:tcPr>
            <w:tcW w:type="dxa" w:w="964"/>
          </w:tcPr>
          <w:p>
            <w:pPr>
              <w:spacing w:after="0"/>
            </w:pPr>
            <w:r>
              <w:rPr>
                <w:sz w:val="18"/>
              </w:rPr>
              <w:t>12</w:t>
            </w:r>
          </w:p>
        </w:tc>
      </w:tr>
      <w:tr>
        <w:tc>
          <w:tcPr>
            <w:tcW w:type="dxa" w:w="2211"/>
          </w:tcPr>
          <w:p>
            <w:pPr>
              <w:spacing w:after="0"/>
            </w:pPr>
            <w:r>
              <w:rPr>
                <w:sz w:val="18"/>
              </w:rPr>
              <w:t>Probabilitas kejadian / rehospitalisasi</w:t>
            </w:r>
          </w:p>
        </w:tc>
        <w:tc>
          <w:tcPr>
            <w:tcW w:type="dxa" w:w="1304"/>
          </w:tcPr>
          <w:p>
            <w:pPr>
              <w:spacing w:after="0"/>
            </w:pPr>
            <w:r>
              <w:rPr>
                <w:sz w:val="18"/>
              </w:rPr>
              <w:t>Intervensi</w:t>
            </w:r>
          </w:p>
        </w:tc>
        <w:tc>
          <w:tcPr>
            <w:tcW w:type="dxa" w:w="907"/>
          </w:tcPr>
          <w:p>
            <w:pPr>
              <w:spacing w:after="0"/>
            </w:pPr>
            <w:r>
              <w:rPr>
                <w:sz w:val="18"/>
              </w:rPr>
              <w:t>Semua</w:t>
            </w:r>
          </w:p>
        </w:tc>
        <w:tc>
          <w:tcPr>
            <w:tcW w:type="dxa" w:w="1134"/>
          </w:tcPr>
          <w:p>
            <w:pPr>
              <w:spacing w:after="0"/>
            </w:pPr>
            <w:r>
              <w:rPr>
                <w:rFonts w:ascii="Consolas" w:hAnsi="Consolas" w:eastAsia="Consolas"/>
                <w:sz w:val="18"/>
              </w:rPr>
              <w:t>0.30</w:t>
            </w:r>
          </w:p>
        </w:tc>
        <w:tc>
          <w:tcPr>
            <w:tcW w:type="dxa" w:w="1474"/>
          </w:tcPr>
          <w:p>
            <w:pPr>
              <w:spacing w:after="0"/>
            </w:pPr>
            <w:r>
              <w:rPr>
                <w:sz w:val="18"/>
              </w:rPr>
              <w:t>proporsi/tahun</w:t>
            </w:r>
          </w:p>
        </w:tc>
        <w:tc>
          <w:tcPr>
            <w:tcW w:type="dxa" w:w="1644"/>
          </w:tcPr>
          <w:p>
            <w:pPr>
              <w:spacing w:after="0"/>
            </w:pPr>
            <w:r>
              <w:rPr>
                <w:sz w:val="18"/>
              </w:rPr>
              <w:t>SRC-DEMO-02 RWE demo</w:t>
            </w:r>
          </w:p>
        </w:tc>
        <w:tc>
          <w:tcPr>
            <w:tcW w:type="dxa" w:w="964"/>
          </w:tcPr>
          <w:p>
            <w:pPr>
              <w:spacing w:after="0"/>
            </w:pPr>
            <w:r>
              <w:rPr>
                <w:sz w:val="18"/>
              </w:rPr>
              <w:t>13</w:t>
            </w:r>
          </w:p>
        </w:tc>
      </w:tr>
      <w:tr>
        <w:tc>
          <w:tcPr>
            <w:tcW w:type="dxa" w:w="2211"/>
          </w:tcPr>
          <w:p>
            <w:pPr>
              <w:spacing w:after="0"/>
            </w:pPr>
            <w:r>
              <w:rPr>
                <w:sz w:val="18"/>
              </w:rPr>
              <w:t>Probabilitas kejadian / rehospitalisasi</w:t>
            </w:r>
          </w:p>
        </w:tc>
        <w:tc>
          <w:tcPr>
            <w:tcW w:type="dxa" w:w="1304"/>
          </w:tcPr>
          <w:p>
            <w:pPr>
              <w:spacing w:after="0"/>
            </w:pPr>
            <w:r>
              <w:rPr>
                <w:sz w:val="18"/>
              </w:rPr>
              <w:t>Komparator</w:t>
            </w:r>
          </w:p>
        </w:tc>
        <w:tc>
          <w:tcPr>
            <w:tcW w:type="dxa" w:w="907"/>
          </w:tcPr>
          <w:p>
            <w:pPr>
              <w:spacing w:after="0"/>
            </w:pPr>
            <w:r>
              <w:rPr>
                <w:sz w:val="18"/>
              </w:rPr>
              <w:t>Semua</w:t>
            </w:r>
          </w:p>
        </w:tc>
        <w:tc>
          <w:tcPr>
            <w:tcW w:type="dxa" w:w="1134"/>
          </w:tcPr>
          <w:p>
            <w:pPr>
              <w:spacing w:after="0"/>
            </w:pPr>
            <w:r>
              <w:rPr>
                <w:rFonts w:ascii="Consolas" w:hAnsi="Consolas" w:eastAsia="Consolas"/>
                <w:sz w:val="18"/>
              </w:rPr>
              <w:t>0.45</w:t>
            </w:r>
          </w:p>
        </w:tc>
        <w:tc>
          <w:tcPr>
            <w:tcW w:type="dxa" w:w="1474"/>
          </w:tcPr>
          <w:p>
            <w:pPr>
              <w:spacing w:after="0"/>
            </w:pPr>
            <w:r>
              <w:rPr>
                <w:sz w:val="18"/>
              </w:rPr>
              <w:t>proporsi/tahun</w:t>
            </w:r>
          </w:p>
        </w:tc>
        <w:tc>
          <w:tcPr>
            <w:tcW w:type="dxa" w:w="1644"/>
          </w:tcPr>
          <w:p>
            <w:pPr>
              <w:spacing w:after="0"/>
            </w:pPr>
            <w:r>
              <w:rPr>
                <w:sz w:val="18"/>
              </w:rPr>
              <w:t>SRC-DEMO-02 RWE demo</w:t>
            </w:r>
          </w:p>
        </w:tc>
        <w:tc>
          <w:tcPr>
            <w:tcW w:type="dxa" w:w="964"/>
          </w:tcPr>
          <w:p>
            <w:pPr>
              <w:spacing w:after="0"/>
            </w:pPr>
            <w:r>
              <w:rPr>
                <w:sz w:val="18"/>
              </w:rPr>
              <w:t>14</w:t>
            </w:r>
          </w:p>
        </w:tc>
      </w:tr>
      <w:tr>
        <w:tc>
          <w:tcPr>
            <w:tcW w:type="dxa" w:w="2211"/>
          </w:tcPr>
          <w:p>
            <w:pPr>
              <w:spacing w:after="0"/>
            </w:pPr>
            <w:r>
              <w:rPr>
                <w:sz w:val="18"/>
              </w:rPr>
              <w:t>Biaya per kejadian / rawat inap</w:t>
            </w:r>
          </w:p>
        </w:tc>
        <w:tc>
          <w:tcPr>
            <w:tcW w:type="dxa" w:w="1304"/>
          </w:tcPr>
          <w:p>
            <w:pPr>
              <w:spacing w:after="0"/>
            </w:pPr>
            <w:r>
              <w:rPr>
                <w:sz w:val="18"/>
              </w:rPr>
              <w:t>Bersama</w:t>
            </w:r>
          </w:p>
        </w:tc>
        <w:tc>
          <w:tcPr>
            <w:tcW w:type="dxa" w:w="907"/>
          </w:tcPr>
          <w:p>
            <w:pPr>
              <w:spacing w:after="0"/>
            </w:pPr>
            <w:r>
              <w:rPr>
                <w:sz w:val="18"/>
              </w:rPr>
              <w:t>Semua</w:t>
            </w:r>
          </w:p>
        </w:tc>
        <w:tc>
          <w:tcPr>
            <w:tcW w:type="dxa" w:w="1134"/>
          </w:tcPr>
          <w:p>
            <w:pPr>
              <w:spacing w:after="0"/>
            </w:pPr>
            <w:r>
              <w:rPr>
                <w:rFonts w:ascii="Consolas" w:hAnsi="Consolas" w:eastAsia="Consolas"/>
                <w:sz w:val="18"/>
              </w:rPr>
              <w:t>6000000</w:t>
            </w:r>
          </w:p>
        </w:tc>
        <w:tc>
          <w:tcPr>
            <w:tcW w:type="dxa" w:w="1474"/>
          </w:tcPr>
          <w:p>
            <w:pPr>
              <w:spacing w:after="0"/>
            </w:pPr>
            <w:r>
              <w:rPr>
                <w:sz w:val="18"/>
              </w:rPr>
              <w:t>IDR/event</w:t>
            </w:r>
          </w:p>
        </w:tc>
        <w:tc>
          <w:tcPr>
            <w:tcW w:type="dxa" w:w="1644"/>
          </w:tcPr>
          <w:p>
            <w:pPr>
              <w:spacing w:after="0"/>
            </w:pPr>
            <w:r>
              <w:rPr>
                <w:sz w:val="18"/>
              </w:rPr>
              <w:t>SRC-DEMO-03 Billing demo</w:t>
            </w:r>
          </w:p>
        </w:tc>
        <w:tc>
          <w:tcPr>
            <w:tcW w:type="dxa" w:w="964"/>
          </w:tcPr>
          <w:p>
            <w:pPr>
              <w:spacing w:after="0"/>
            </w:pPr>
            <w:r>
              <w:rPr>
                <w:sz w:val="18"/>
              </w:rPr>
              <w:t>15</w:t>
            </w:r>
          </w:p>
        </w:tc>
      </w:tr>
      <w:tr>
        <w:tc>
          <w:tcPr>
            <w:tcW w:type="dxa" w:w="2211"/>
          </w:tcPr>
          <w:p>
            <w:pPr>
              <w:spacing w:after="0"/>
            </w:pPr>
            <w:r>
              <w:rPr>
                <w:sz w:val="18"/>
              </w:rPr>
              <w:t>Utility dasar</w:t>
            </w:r>
          </w:p>
        </w:tc>
        <w:tc>
          <w:tcPr>
            <w:tcW w:type="dxa" w:w="1304"/>
          </w:tcPr>
          <w:p>
            <w:pPr>
              <w:spacing w:after="0"/>
            </w:pPr>
            <w:r>
              <w:rPr>
                <w:sz w:val="18"/>
              </w:rPr>
              <w:t>Intervensi</w:t>
            </w:r>
          </w:p>
        </w:tc>
        <w:tc>
          <w:tcPr>
            <w:tcW w:type="dxa" w:w="907"/>
          </w:tcPr>
          <w:p>
            <w:pPr>
              <w:spacing w:after="0"/>
            </w:pPr>
            <w:r>
              <w:rPr>
                <w:sz w:val="18"/>
              </w:rPr>
              <w:t>Semua</w:t>
            </w:r>
          </w:p>
        </w:tc>
        <w:tc>
          <w:tcPr>
            <w:tcW w:type="dxa" w:w="1134"/>
          </w:tcPr>
          <w:p>
            <w:pPr>
              <w:spacing w:after="0"/>
            </w:pPr>
            <w:r>
              <w:rPr>
                <w:rFonts w:ascii="Consolas" w:hAnsi="Consolas" w:eastAsia="Consolas"/>
                <w:sz w:val="18"/>
              </w:rPr>
              <w:t>0.78</w:t>
            </w:r>
          </w:p>
        </w:tc>
        <w:tc>
          <w:tcPr>
            <w:tcW w:type="dxa" w:w="1474"/>
          </w:tcPr>
          <w:p>
            <w:pPr>
              <w:spacing w:after="0"/>
            </w:pPr>
            <w:r>
              <w:rPr>
                <w:sz w:val="18"/>
              </w:rPr>
              <w:t>utility 0-1</w:t>
            </w:r>
          </w:p>
        </w:tc>
        <w:tc>
          <w:tcPr>
            <w:tcW w:type="dxa" w:w="1644"/>
          </w:tcPr>
          <w:p>
            <w:pPr>
              <w:spacing w:after="0"/>
            </w:pPr>
            <w:r>
              <w:rPr>
                <w:sz w:val="18"/>
              </w:rPr>
              <w:t>SRC-DEMO-04 Utility demo</w:t>
            </w:r>
          </w:p>
        </w:tc>
        <w:tc>
          <w:tcPr>
            <w:tcW w:type="dxa" w:w="964"/>
          </w:tcPr>
          <w:p>
            <w:pPr>
              <w:spacing w:after="0"/>
            </w:pPr>
            <w:r>
              <w:rPr>
                <w:sz w:val="18"/>
              </w:rPr>
              <w:t>16</w:t>
            </w:r>
          </w:p>
        </w:tc>
      </w:tr>
      <w:tr>
        <w:tc>
          <w:tcPr>
            <w:tcW w:type="dxa" w:w="2211"/>
          </w:tcPr>
          <w:p>
            <w:pPr>
              <w:spacing w:after="0"/>
            </w:pPr>
            <w:r>
              <w:rPr>
                <w:sz w:val="18"/>
              </w:rPr>
              <w:t>Utility dasar</w:t>
            </w:r>
          </w:p>
        </w:tc>
        <w:tc>
          <w:tcPr>
            <w:tcW w:type="dxa" w:w="1304"/>
          </w:tcPr>
          <w:p>
            <w:pPr>
              <w:spacing w:after="0"/>
            </w:pPr>
            <w:r>
              <w:rPr>
                <w:sz w:val="18"/>
              </w:rPr>
              <w:t>Komparator</w:t>
            </w:r>
          </w:p>
        </w:tc>
        <w:tc>
          <w:tcPr>
            <w:tcW w:type="dxa" w:w="907"/>
          </w:tcPr>
          <w:p>
            <w:pPr>
              <w:spacing w:after="0"/>
            </w:pPr>
            <w:r>
              <w:rPr>
                <w:sz w:val="18"/>
              </w:rPr>
              <w:t>Semua</w:t>
            </w:r>
          </w:p>
        </w:tc>
        <w:tc>
          <w:tcPr>
            <w:tcW w:type="dxa" w:w="1134"/>
          </w:tcPr>
          <w:p>
            <w:pPr>
              <w:spacing w:after="0"/>
            </w:pPr>
            <w:r>
              <w:rPr>
                <w:rFonts w:ascii="Consolas" w:hAnsi="Consolas" w:eastAsia="Consolas"/>
                <w:sz w:val="18"/>
              </w:rPr>
              <w:t>0.74</w:t>
            </w:r>
          </w:p>
        </w:tc>
        <w:tc>
          <w:tcPr>
            <w:tcW w:type="dxa" w:w="1474"/>
          </w:tcPr>
          <w:p>
            <w:pPr>
              <w:spacing w:after="0"/>
            </w:pPr>
            <w:r>
              <w:rPr>
                <w:sz w:val="18"/>
              </w:rPr>
              <w:t>utility 0-1</w:t>
            </w:r>
          </w:p>
        </w:tc>
        <w:tc>
          <w:tcPr>
            <w:tcW w:type="dxa" w:w="1644"/>
          </w:tcPr>
          <w:p>
            <w:pPr>
              <w:spacing w:after="0"/>
            </w:pPr>
            <w:r>
              <w:rPr>
                <w:sz w:val="18"/>
              </w:rPr>
              <w:t>SRC-DEMO-04 Utility demo</w:t>
            </w:r>
          </w:p>
        </w:tc>
        <w:tc>
          <w:tcPr>
            <w:tcW w:type="dxa" w:w="964"/>
          </w:tcPr>
          <w:p>
            <w:pPr>
              <w:spacing w:after="0"/>
            </w:pPr>
            <w:r>
              <w:rPr>
                <w:sz w:val="18"/>
              </w:rPr>
              <w:t>17</w:t>
            </w:r>
          </w:p>
        </w:tc>
      </w:tr>
      <w:tr>
        <w:tc>
          <w:tcPr>
            <w:tcW w:type="dxa" w:w="2211"/>
          </w:tcPr>
          <w:p>
            <w:pPr>
              <w:spacing w:after="0"/>
            </w:pPr>
            <w:r>
              <w:rPr>
                <w:sz w:val="18"/>
              </w:rPr>
              <w:t>Disutility kejadian</w:t>
            </w:r>
          </w:p>
        </w:tc>
        <w:tc>
          <w:tcPr>
            <w:tcW w:type="dxa" w:w="1304"/>
          </w:tcPr>
          <w:p>
            <w:pPr>
              <w:spacing w:after="0"/>
            </w:pPr>
            <w:r>
              <w:rPr>
                <w:sz w:val="18"/>
              </w:rPr>
              <w:t>Bersama</w:t>
            </w:r>
          </w:p>
        </w:tc>
        <w:tc>
          <w:tcPr>
            <w:tcW w:type="dxa" w:w="907"/>
          </w:tcPr>
          <w:p>
            <w:pPr>
              <w:spacing w:after="0"/>
            </w:pPr>
            <w:r>
              <w:rPr>
                <w:sz w:val="18"/>
              </w:rPr>
              <w:t>Semua</w:t>
            </w:r>
          </w:p>
        </w:tc>
        <w:tc>
          <w:tcPr>
            <w:tcW w:type="dxa" w:w="1134"/>
          </w:tcPr>
          <w:p>
            <w:pPr>
              <w:spacing w:after="0"/>
            </w:pPr>
            <w:r>
              <w:rPr>
                <w:rFonts w:ascii="Consolas" w:hAnsi="Consolas" w:eastAsia="Consolas"/>
                <w:sz w:val="18"/>
              </w:rPr>
              <w:t>0.10</w:t>
            </w:r>
          </w:p>
        </w:tc>
        <w:tc>
          <w:tcPr>
            <w:tcW w:type="dxa" w:w="1474"/>
          </w:tcPr>
          <w:p>
            <w:pPr>
              <w:spacing w:after="0"/>
            </w:pPr>
            <w:r>
              <w:rPr>
                <w:sz w:val="18"/>
              </w:rPr>
              <w:t>decrement/event</w:t>
            </w:r>
          </w:p>
        </w:tc>
        <w:tc>
          <w:tcPr>
            <w:tcW w:type="dxa" w:w="1644"/>
          </w:tcPr>
          <w:p>
            <w:pPr>
              <w:spacing w:after="0"/>
            </w:pPr>
            <w:r>
              <w:rPr>
                <w:sz w:val="18"/>
              </w:rPr>
              <w:t>SRC-DEMO-04 Utility demo</w:t>
            </w:r>
          </w:p>
        </w:tc>
        <w:tc>
          <w:tcPr>
            <w:tcW w:type="dxa" w:w="964"/>
          </w:tcPr>
          <w:p>
            <w:pPr>
              <w:spacing w:after="0"/>
            </w:pPr>
            <w:r>
              <w:rPr>
                <w:sz w:val="18"/>
              </w:rPr>
              <w:t>18</w:t>
            </w:r>
          </w:p>
        </w:tc>
      </w:tr>
      <w:tr>
        <w:tc>
          <w:tcPr>
            <w:tcW w:type="dxa" w:w="2211"/>
          </w:tcPr>
          <w:p>
            <w:pPr>
              <w:spacing w:after="0"/>
            </w:pPr>
            <w:r>
              <w:rPr>
                <w:sz w:val="18"/>
              </w:rPr>
              <w:t>Biaya tambahan lain</w:t>
            </w:r>
          </w:p>
        </w:tc>
        <w:tc>
          <w:tcPr>
            <w:tcW w:type="dxa" w:w="1304"/>
          </w:tcPr>
          <w:p>
            <w:pPr>
              <w:spacing w:after="0"/>
            </w:pPr>
            <w:r>
              <w:rPr>
                <w:sz w:val="18"/>
              </w:rPr>
              <w:t>Intervensi</w:t>
            </w:r>
          </w:p>
        </w:tc>
        <w:tc>
          <w:tcPr>
            <w:tcW w:type="dxa" w:w="907"/>
          </w:tcPr>
          <w:p>
            <w:pPr>
              <w:spacing w:after="0"/>
            </w:pPr>
            <w:r>
              <w:rPr>
                <w:sz w:val="18"/>
              </w:rPr>
              <w:t>Semua</w:t>
            </w:r>
          </w:p>
        </w:tc>
        <w:tc>
          <w:tcPr>
            <w:tcW w:type="dxa" w:w="1134"/>
          </w:tcPr>
          <w:p>
            <w:pPr>
              <w:spacing w:after="0"/>
            </w:pPr>
            <w:r>
              <w:rPr>
                <w:rFonts w:ascii="Consolas" w:hAnsi="Consolas" w:eastAsia="Consolas"/>
                <w:sz w:val="18"/>
              </w:rPr>
              <w:t>300000</w:t>
            </w:r>
          </w:p>
        </w:tc>
        <w:tc>
          <w:tcPr>
            <w:tcW w:type="dxa" w:w="1474"/>
          </w:tcPr>
          <w:p>
            <w:pPr>
              <w:spacing w:after="0"/>
            </w:pPr>
            <w:r>
              <w:rPr>
                <w:sz w:val="18"/>
              </w:rPr>
              <w:t>IDR/pasien/tahun</w:t>
            </w:r>
          </w:p>
        </w:tc>
        <w:tc>
          <w:tcPr>
            <w:tcW w:type="dxa" w:w="1644"/>
          </w:tcPr>
          <w:p>
            <w:pPr>
              <w:spacing w:after="0"/>
            </w:pPr>
            <w:r>
              <w:rPr>
                <w:sz w:val="18"/>
              </w:rPr>
              <w:t>Monitoring demo</w:t>
            </w:r>
          </w:p>
        </w:tc>
        <w:tc>
          <w:tcPr>
            <w:tcW w:type="dxa" w:w="964"/>
          </w:tcPr>
          <w:p>
            <w:pPr>
              <w:spacing w:after="0"/>
            </w:pPr>
            <w:r>
              <w:rPr>
                <w:sz w:val="18"/>
              </w:rPr>
              <w:t>19</w:t>
            </w:r>
          </w:p>
        </w:tc>
      </w:tr>
      <w:tr>
        <w:tc>
          <w:tcPr>
            <w:tcW w:type="dxa" w:w="2211"/>
          </w:tcPr>
          <w:p>
            <w:pPr>
              <w:spacing w:after="0"/>
            </w:pPr>
            <w:r>
              <w:rPr>
                <w:sz w:val="18"/>
              </w:rPr>
              <w:t>Biaya tambahan lain</w:t>
            </w:r>
          </w:p>
        </w:tc>
        <w:tc>
          <w:tcPr>
            <w:tcW w:type="dxa" w:w="1304"/>
          </w:tcPr>
          <w:p>
            <w:pPr>
              <w:spacing w:after="0"/>
            </w:pPr>
            <w:r>
              <w:rPr>
                <w:sz w:val="18"/>
              </w:rPr>
              <w:t>Komparator</w:t>
            </w:r>
          </w:p>
        </w:tc>
        <w:tc>
          <w:tcPr>
            <w:tcW w:type="dxa" w:w="907"/>
          </w:tcPr>
          <w:p>
            <w:pPr>
              <w:spacing w:after="0"/>
            </w:pPr>
            <w:r>
              <w:rPr>
                <w:sz w:val="18"/>
              </w:rPr>
              <w:t>Semua</w:t>
            </w:r>
          </w:p>
        </w:tc>
        <w:tc>
          <w:tcPr>
            <w:tcW w:type="dxa" w:w="1134"/>
          </w:tcPr>
          <w:p>
            <w:pPr>
              <w:spacing w:after="0"/>
            </w:pPr>
            <w:r>
              <w:rPr>
                <w:rFonts w:ascii="Consolas" w:hAnsi="Consolas" w:eastAsia="Consolas"/>
                <w:sz w:val="18"/>
              </w:rPr>
              <w:t>200000</w:t>
            </w:r>
          </w:p>
        </w:tc>
        <w:tc>
          <w:tcPr>
            <w:tcW w:type="dxa" w:w="1474"/>
          </w:tcPr>
          <w:p>
            <w:pPr>
              <w:spacing w:after="0"/>
            </w:pPr>
            <w:r>
              <w:rPr>
                <w:sz w:val="18"/>
              </w:rPr>
              <w:t>IDR/pasien/tahun</w:t>
            </w:r>
          </w:p>
        </w:tc>
        <w:tc>
          <w:tcPr>
            <w:tcW w:type="dxa" w:w="1644"/>
          </w:tcPr>
          <w:p>
            <w:pPr>
              <w:spacing w:after="0"/>
            </w:pPr>
            <w:r>
              <w:rPr>
                <w:sz w:val="18"/>
              </w:rPr>
              <w:t>Monitoring demo</w:t>
            </w:r>
          </w:p>
        </w:tc>
        <w:tc>
          <w:tcPr>
            <w:tcW w:type="dxa" w:w="964"/>
          </w:tcPr>
          <w:p>
            <w:pPr>
              <w:spacing w:after="0"/>
            </w:pPr>
            <w:r>
              <w:rPr>
                <w:sz w:val="18"/>
              </w:rPr>
              <w:t>20</w:t>
            </w:r>
          </w:p>
        </w:tc>
      </w:tr>
      <w:tr>
        <w:tc>
          <w:tcPr>
            <w:tcW w:type="dxa" w:w="2211"/>
          </w:tcPr>
          <w:p>
            <w:pPr>
              <w:spacing w:after="0"/>
            </w:pPr>
            <w:r>
              <w:rPr>
                <w:sz w:val="18"/>
              </w:rPr>
              <w:t>Jumlah populasi eligible</w:t>
            </w:r>
          </w:p>
        </w:tc>
        <w:tc>
          <w:tcPr>
            <w:tcW w:type="dxa" w:w="1304"/>
          </w:tcPr>
          <w:p>
            <w:pPr>
              <w:spacing w:after="0"/>
            </w:pPr>
            <w:r>
              <w:rPr>
                <w:sz w:val="18"/>
              </w:rPr>
              <w:t>Bersama</w:t>
            </w:r>
          </w:p>
        </w:tc>
        <w:tc>
          <w:tcPr>
            <w:tcW w:type="dxa" w:w="907"/>
          </w:tcPr>
          <w:p>
            <w:pPr>
              <w:spacing w:after="0"/>
            </w:pPr>
            <w:r>
              <w:rPr>
                <w:sz w:val="18"/>
              </w:rPr>
              <w:t>Tahun 1</w:t>
            </w:r>
          </w:p>
        </w:tc>
        <w:tc>
          <w:tcPr>
            <w:tcW w:type="dxa" w:w="1134"/>
          </w:tcPr>
          <w:p>
            <w:pPr>
              <w:spacing w:after="0"/>
            </w:pPr>
            <w:r>
              <w:rPr>
                <w:rFonts w:ascii="Consolas" w:hAnsi="Consolas" w:eastAsia="Consolas"/>
                <w:sz w:val="18"/>
              </w:rPr>
              <w:t>200</w:t>
            </w:r>
          </w:p>
        </w:tc>
        <w:tc>
          <w:tcPr>
            <w:tcW w:type="dxa" w:w="1474"/>
          </w:tcPr>
          <w:p>
            <w:pPr>
              <w:spacing w:after="0"/>
            </w:pPr>
            <w:r>
              <w:rPr>
                <w:sz w:val="18"/>
              </w:rPr>
              <w:t>pasien/tahun</w:t>
            </w:r>
          </w:p>
        </w:tc>
        <w:tc>
          <w:tcPr>
            <w:tcW w:type="dxa" w:w="1644"/>
          </w:tcPr>
          <w:p>
            <w:pPr>
              <w:spacing w:after="0"/>
            </w:pPr>
            <w:r>
              <w:rPr>
                <w:sz w:val="18"/>
              </w:rPr>
              <w:t>SRC-DEMO-05 SIMRS demo</w:t>
            </w:r>
          </w:p>
        </w:tc>
        <w:tc>
          <w:tcPr>
            <w:tcW w:type="dxa" w:w="964"/>
          </w:tcPr>
          <w:p>
            <w:pPr>
              <w:spacing w:after="0"/>
            </w:pPr>
            <w:r>
              <w:rPr>
                <w:sz w:val="18"/>
              </w:rPr>
              <w:t>26</w:t>
            </w:r>
          </w:p>
        </w:tc>
      </w:tr>
      <w:tr>
        <w:tc>
          <w:tcPr>
            <w:tcW w:type="dxa" w:w="2211"/>
          </w:tcPr>
          <w:p>
            <w:pPr>
              <w:spacing w:after="0"/>
            </w:pPr>
            <w:r>
              <w:rPr>
                <w:sz w:val="18"/>
              </w:rPr>
              <w:t>Jumlah populasi eligible</w:t>
            </w:r>
          </w:p>
        </w:tc>
        <w:tc>
          <w:tcPr>
            <w:tcW w:type="dxa" w:w="1304"/>
          </w:tcPr>
          <w:p>
            <w:pPr>
              <w:spacing w:after="0"/>
            </w:pPr>
            <w:r>
              <w:rPr>
                <w:sz w:val="18"/>
              </w:rPr>
              <w:t>Bersama</w:t>
            </w:r>
          </w:p>
        </w:tc>
        <w:tc>
          <w:tcPr>
            <w:tcW w:type="dxa" w:w="907"/>
          </w:tcPr>
          <w:p>
            <w:pPr>
              <w:spacing w:after="0"/>
            </w:pPr>
            <w:r>
              <w:rPr>
                <w:sz w:val="18"/>
              </w:rPr>
              <w:t>Tahun 2</w:t>
            </w:r>
          </w:p>
        </w:tc>
        <w:tc>
          <w:tcPr>
            <w:tcW w:type="dxa" w:w="1134"/>
          </w:tcPr>
          <w:p>
            <w:pPr>
              <w:spacing w:after="0"/>
            </w:pPr>
            <w:r>
              <w:rPr>
                <w:rFonts w:ascii="Consolas" w:hAnsi="Consolas" w:eastAsia="Consolas"/>
                <w:sz w:val="18"/>
              </w:rPr>
              <w:t>220</w:t>
            </w:r>
          </w:p>
        </w:tc>
        <w:tc>
          <w:tcPr>
            <w:tcW w:type="dxa" w:w="1474"/>
          </w:tcPr>
          <w:p>
            <w:pPr>
              <w:spacing w:after="0"/>
            </w:pPr>
            <w:r>
              <w:rPr>
                <w:sz w:val="18"/>
              </w:rPr>
              <w:t>pasien/tahun</w:t>
            </w:r>
          </w:p>
        </w:tc>
        <w:tc>
          <w:tcPr>
            <w:tcW w:type="dxa" w:w="1644"/>
          </w:tcPr>
          <w:p>
            <w:pPr>
              <w:spacing w:after="0"/>
            </w:pPr>
            <w:r>
              <w:rPr>
                <w:sz w:val="18"/>
              </w:rPr>
              <w:t>SRC-DEMO-05 SIMRS demo</w:t>
            </w:r>
          </w:p>
        </w:tc>
        <w:tc>
          <w:tcPr>
            <w:tcW w:type="dxa" w:w="964"/>
          </w:tcPr>
          <w:p>
            <w:pPr>
              <w:spacing w:after="0"/>
            </w:pPr>
            <w:r>
              <w:rPr>
                <w:sz w:val="18"/>
              </w:rPr>
              <w:t>27</w:t>
            </w:r>
          </w:p>
        </w:tc>
      </w:tr>
      <w:tr>
        <w:tc>
          <w:tcPr>
            <w:tcW w:type="dxa" w:w="2211"/>
          </w:tcPr>
          <w:p>
            <w:pPr>
              <w:spacing w:after="0"/>
            </w:pPr>
            <w:r>
              <w:rPr>
                <w:sz w:val="18"/>
              </w:rPr>
              <w:t>Jumlah populasi eligible</w:t>
            </w:r>
          </w:p>
        </w:tc>
        <w:tc>
          <w:tcPr>
            <w:tcW w:type="dxa" w:w="1304"/>
          </w:tcPr>
          <w:p>
            <w:pPr>
              <w:spacing w:after="0"/>
            </w:pPr>
            <w:r>
              <w:rPr>
                <w:sz w:val="18"/>
              </w:rPr>
              <w:t>Bersama</w:t>
            </w:r>
          </w:p>
        </w:tc>
        <w:tc>
          <w:tcPr>
            <w:tcW w:type="dxa" w:w="907"/>
          </w:tcPr>
          <w:p>
            <w:pPr>
              <w:spacing w:after="0"/>
            </w:pPr>
            <w:r>
              <w:rPr>
                <w:sz w:val="18"/>
              </w:rPr>
              <w:t>Tahun 3</w:t>
            </w:r>
          </w:p>
        </w:tc>
        <w:tc>
          <w:tcPr>
            <w:tcW w:type="dxa" w:w="1134"/>
          </w:tcPr>
          <w:p>
            <w:pPr>
              <w:spacing w:after="0"/>
            </w:pPr>
            <w:r>
              <w:rPr>
                <w:rFonts w:ascii="Consolas" w:hAnsi="Consolas" w:eastAsia="Consolas"/>
                <w:sz w:val="18"/>
              </w:rPr>
              <w:t>240</w:t>
            </w:r>
          </w:p>
        </w:tc>
        <w:tc>
          <w:tcPr>
            <w:tcW w:type="dxa" w:w="1474"/>
          </w:tcPr>
          <w:p>
            <w:pPr>
              <w:spacing w:after="0"/>
            </w:pPr>
            <w:r>
              <w:rPr>
                <w:sz w:val="18"/>
              </w:rPr>
              <w:t>pasien/tahun</w:t>
            </w:r>
          </w:p>
        </w:tc>
        <w:tc>
          <w:tcPr>
            <w:tcW w:type="dxa" w:w="1644"/>
          </w:tcPr>
          <w:p>
            <w:pPr>
              <w:spacing w:after="0"/>
            </w:pPr>
            <w:r>
              <w:rPr>
                <w:sz w:val="18"/>
              </w:rPr>
              <w:t>SRC-DEMO-05 SIMRS demo</w:t>
            </w:r>
          </w:p>
        </w:tc>
        <w:tc>
          <w:tcPr>
            <w:tcW w:type="dxa" w:w="964"/>
          </w:tcPr>
          <w:p>
            <w:pPr>
              <w:spacing w:after="0"/>
            </w:pPr>
            <w:r>
              <w:rPr>
                <w:sz w:val="18"/>
              </w:rPr>
              <w:t>28</w:t>
            </w:r>
          </w:p>
        </w:tc>
      </w:tr>
      <w:tr>
        <w:tc>
          <w:tcPr>
            <w:tcW w:type="dxa" w:w="2211"/>
          </w:tcPr>
          <w:p>
            <w:pPr>
              <w:spacing w:after="0"/>
            </w:pPr>
            <w:r>
              <w:rPr>
                <w:sz w:val="18"/>
              </w:rPr>
              <w:t>Uptake</w:t>
            </w:r>
          </w:p>
        </w:tc>
        <w:tc>
          <w:tcPr>
            <w:tcW w:type="dxa" w:w="1304"/>
          </w:tcPr>
          <w:p>
            <w:pPr>
              <w:spacing w:after="0"/>
            </w:pPr>
            <w:r>
              <w:rPr>
                <w:sz w:val="18"/>
              </w:rPr>
              <w:t>Bersama</w:t>
            </w:r>
          </w:p>
        </w:tc>
        <w:tc>
          <w:tcPr>
            <w:tcW w:type="dxa" w:w="907"/>
          </w:tcPr>
          <w:p>
            <w:pPr>
              <w:spacing w:after="0"/>
            </w:pPr>
            <w:r>
              <w:rPr>
                <w:sz w:val="18"/>
              </w:rPr>
              <w:t>Tahun 1</w:t>
            </w:r>
          </w:p>
        </w:tc>
        <w:tc>
          <w:tcPr>
            <w:tcW w:type="dxa" w:w="1134"/>
          </w:tcPr>
          <w:p>
            <w:pPr>
              <w:spacing w:after="0"/>
            </w:pPr>
            <w:r>
              <w:rPr>
                <w:rFonts w:ascii="Consolas" w:hAnsi="Consolas" w:eastAsia="Consolas"/>
                <w:sz w:val="18"/>
              </w:rPr>
              <w:t>0.20</w:t>
            </w:r>
          </w:p>
        </w:tc>
        <w:tc>
          <w:tcPr>
            <w:tcW w:type="dxa" w:w="1474"/>
          </w:tcPr>
          <w:p>
            <w:pPr>
              <w:spacing w:after="0"/>
            </w:pPr>
            <w:r>
              <w:rPr>
                <w:sz w:val="18"/>
              </w:rPr>
              <w:t>proporsi</w:t>
            </w:r>
          </w:p>
        </w:tc>
        <w:tc>
          <w:tcPr>
            <w:tcW w:type="dxa" w:w="1644"/>
          </w:tcPr>
          <w:p>
            <w:pPr>
              <w:spacing w:after="0"/>
            </w:pPr>
            <w:r>
              <w:rPr>
                <w:sz w:val="18"/>
              </w:rPr>
              <w:t>SRC-DEMO-06 Protokol latihan</w:t>
            </w:r>
          </w:p>
        </w:tc>
        <w:tc>
          <w:tcPr>
            <w:tcW w:type="dxa" w:w="964"/>
          </w:tcPr>
          <w:p>
            <w:pPr>
              <w:spacing w:after="0"/>
            </w:pPr>
            <w:r>
              <w:rPr>
                <w:sz w:val="18"/>
              </w:rPr>
              <w:t>29</w:t>
            </w:r>
          </w:p>
        </w:tc>
      </w:tr>
      <w:tr>
        <w:tc>
          <w:tcPr>
            <w:tcW w:type="dxa" w:w="2211"/>
          </w:tcPr>
          <w:p>
            <w:pPr>
              <w:spacing w:after="0"/>
            </w:pPr>
            <w:r>
              <w:rPr>
                <w:sz w:val="18"/>
              </w:rPr>
              <w:t>Uptake</w:t>
            </w:r>
          </w:p>
        </w:tc>
        <w:tc>
          <w:tcPr>
            <w:tcW w:type="dxa" w:w="1304"/>
          </w:tcPr>
          <w:p>
            <w:pPr>
              <w:spacing w:after="0"/>
            </w:pPr>
            <w:r>
              <w:rPr>
                <w:sz w:val="18"/>
              </w:rPr>
              <w:t>Bersama</w:t>
            </w:r>
          </w:p>
        </w:tc>
        <w:tc>
          <w:tcPr>
            <w:tcW w:type="dxa" w:w="907"/>
          </w:tcPr>
          <w:p>
            <w:pPr>
              <w:spacing w:after="0"/>
            </w:pPr>
            <w:r>
              <w:rPr>
                <w:sz w:val="18"/>
              </w:rPr>
              <w:t>Tahun 2</w:t>
            </w:r>
          </w:p>
        </w:tc>
        <w:tc>
          <w:tcPr>
            <w:tcW w:type="dxa" w:w="1134"/>
          </w:tcPr>
          <w:p>
            <w:pPr>
              <w:spacing w:after="0"/>
            </w:pPr>
            <w:r>
              <w:rPr>
                <w:rFonts w:ascii="Consolas" w:hAnsi="Consolas" w:eastAsia="Consolas"/>
                <w:sz w:val="18"/>
              </w:rPr>
              <w:t>0.35</w:t>
            </w:r>
          </w:p>
        </w:tc>
        <w:tc>
          <w:tcPr>
            <w:tcW w:type="dxa" w:w="1474"/>
          </w:tcPr>
          <w:p>
            <w:pPr>
              <w:spacing w:after="0"/>
            </w:pPr>
            <w:r>
              <w:rPr>
                <w:sz w:val="18"/>
              </w:rPr>
              <w:t>proporsi</w:t>
            </w:r>
          </w:p>
        </w:tc>
        <w:tc>
          <w:tcPr>
            <w:tcW w:type="dxa" w:w="1644"/>
          </w:tcPr>
          <w:p>
            <w:pPr>
              <w:spacing w:after="0"/>
            </w:pPr>
            <w:r>
              <w:rPr>
                <w:sz w:val="18"/>
              </w:rPr>
              <w:t>SRC-DEMO-06 Protokol latihan</w:t>
            </w:r>
          </w:p>
        </w:tc>
        <w:tc>
          <w:tcPr>
            <w:tcW w:type="dxa" w:w="964"/>
          </w:tcPr>
          <w:p>
            <w:pPr>
              <w:spacing w:after="0"/>
            </w:pPr>
            <w:r>
              <w:rPr>
                <w:sz w:val="18"/>
              </w:rPr>
              <w:t>30</w:t>
            </w:r>
          </w:p>
        </w:tc>
      </w:tr>
      <w:tr>
        <w:tc>
          <w:tcPr>
            <w:tcW w:type="dxa" w:w="2211"/>
          </w:tcPr>
          <w:p>
            <w:pPr>
              <w:spacing w:after="0"/>
            </w:pPr>
            <w:r>
              <w:rPr>
                <w:sz w:val="18"/>
              </w:rPr>
              <w:t>Uptake</w:t>
            </w:r>
          </w:p>
        </w:tc>
        <w:tc>
          <w:tcPr>
            <w:tcW w:type="dxa" w:w="1304"/>
          </w:tcPr>
          <w:p>
            <w:pPr>
              <w:spacing w:after="0"/>
            </w:pPr>
            <w:r>
              <w:rPr>
                <w:sz w:val="18"/>
              </w:rPr>
              <w:t>Bersama</w:t>
            </w:r>
          </w:p>
        </w:tc>
        <w:tc>
          <w:tcPr>
            <w:tcW w:type="dxa" w:w="907"/>
          </w:tcPr>
          <w:p>
            <w:pPr>
              <w:spacing w:after="0"/>
            </w:pPr>
            <w:r>
              <w:rPr>
                <w:sz w:val="18"/>
              </w:rPr>
              <w:t>Tahun 3</w:t>
            </w:r>
          </w:p>
        </w:tc>
        <w:tc>
          <w:tcPr>
            <w:tcW w:type="dxa" w:w="1134"/>
          </w:tcPr>
          <w:p>
            <w:pPr>
              <w:spacing w:after="0"/>
            </w:pPr>
            <w:r>
              <w:rPr>
                <w:rFonts w:ascii="Consolas" w:hAnsi="Consolas" w:eastAsia="Consolas"/>
                <w:sz w:val="18"/>
              </w:rPr>
              <w:t>0.50</w:t>
            </w:r>
          </w:p>
        </w:tc>
        <w:tc>
          <w:tcPr>
            <w:tcW w:type="dxa" w:w="1474"/>
          </w:tcPr>
          <w:p>
            <w:pPr>
              <w:spacing w:after="0"/>
            </w:pPr>
            <w:r>
              <w:rPr>
                <w:sz w:val="18"/>
              </w:rPr>
              <w:t>proporsi</w:t>
            </w:r>
          </w:p>
        </w:tc>
        <w:tc>
          <w:tcPr>
            <w:tcW w:type="dxa" w:w="1644"/>
          </w:tcPr>
          <w:p>
            <w:pPr>
              <w:spacing w:after="0"/>
            </w:pPr>
            <w:r>
              <w:rPr>
                <w:sz w:val="18"/>
              </w:rPr>
              <w:t>SRC-DEMO-06 Protokol latihan</w:t>
            </w:r>
          </w:p>
        </w:tc>
        <w:tc>
          <w:tcPr>
            <w:tcW w:type="dxa" w:w="964"/>
          </w:tcPr>
          <w:p>
            <w:pPr>
              <w:spacing w:after="0"/>
            </w:pPr>
            <w:r>
              <w:rPr>
                <w:sz w:val="18"/>
              </w:rPr>
              <w:t>31</w:t>
            </w:r>
          </w:p>
        </w:tc>
      </w:tr>
    </w:tbl>
    <w:p>
      <w:pPr>
        <w:spacing w:after="0"/>
      </w:pP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FFF3D6"/>
          </w:tcPr>
          <w:p>
            <w:pPr>
              <w:spacing w:after="40"/>
            </w:pPr>
            <w:r>
              <w:rPr>
                <w:b/>
                <w:sz w:val="20"/>
              </w:rPr>
              <w:t>Empat hal yang sering keliru</w:t>
            </w:r>
          </w:p>
          <w:p>
            <w:pPr>
              <w:spacing w:after="40"/>
            </w:pPr>
            <w:r>
              <w:rPr>
                <w:b/>
                <w:sz w:val="20"/>
              </w:rPr>
              <w:t>Biaya obat diisi per tahun.</w:t>
            </w:r>
            <w:r>
              <w:rPr>
                <w:sz w:val="20"/>
              </w:rPr>
              <w:t xml:space="preserve"> Paket menulis biaya per bulan (Rp1.200.000 dan Rp100.000), sedangkan isian dashboard adalah biaya per pasien per tahun. Kalikan 12: </w:t>
            </w:r>
            <w:r>
              <w:rPr>
                <w:rFonts w:ascii="Consolas" w:hAnsi="Consolas" w:eastAsia="Consolas"/>
                <w:sz w:val="20"/>
              </w:rPr>
              <w:t>14400000</w:t>
            </w:r>
            <w:r>
              <w:rPr>
                <w:sz w:val="20"/>
              </w:rPr>
              <w:t xml:space="preserve"> dan </w:t>
            </w:r>
            <w:r>
              <w:rPr>
                <w:rFonts w:ascii="Consolas" w:hAnsi="Consolas" w:eastAsia="Consolas"/>
                <w:sz w:val="20"/>
              </w:rPr>
              <w:t>1200000</w:t>
            </w:r>
            <w:r>
              <w:rPr>
                <w:sz w:val="20"/>
              </w:rPr>
              <w:t>.</w:t>
            </w:r>
          </w:p>
          <w:p>
            <w:pPr>
              <w:spacing w:after="40"/>
            </w:pPr>
            <w:r>
              <w:rPr>
                <w:b/>
                <w:sz w:val="20"/>
              </w:rPr>
              <w:t>Proporsi ditulis 0-1, bukan persen.</w:t>
            </w:r>
            <w:r>
              <w:rPr>
                <w:sz w:val="20"/>
              </w:rPr>
              <w:t xml:space="preserve"> Probabilitas 30% diketik </w:t>
            </w:r>
            <w:r>
              <w:rPr>
                <w:rFonts w:ascii="Consolas" w:hAnsi="Consolas" w:eastAsia="Consolas"/>
                <w:sz w:val="20"/>
              </w:rPr>
              <w:t>0.30</w:t>
            </w:r>
            <w:r>
              <w:rPr>
                <w:sz w:val="20"/>
              </w:rPr>
              <w:t xml:space="preserve">, bukan </w:t>
            </w:r>
            <w:r>
              <w:rPr>
                <w:rFonts w:ascii="Consolas" w:hAnsi="Consolas" w:eastAsia="Consolas"/>
                <w:sz w:val="20"/>
              </w:rPr>
              <w:t>30</w:t>
            </w:r>
            <w:r>
              <w:rPr>
                <w:sz w:val="20"/>
              </w:rPr>
              <w:t xml:space="preserve">. Isian yang wajib 0-1 diberi tanda </w:t>
            </w:r>
            <w:r>
              <w:rPr>
                <w:b/>
                <w:sz w:val="20"/>
              </w:rPr>
              <w:t>0-1</w:t>
            </w:r>
            <w:r>
              <w:rPr>
                <w:sz w:val="20"/>
              </w:rPr>
              <w:t xml:space="preserve"> di sisi kanan. Nilai seperti 30 ditolak saat disimpan dan barisnya ditandai merah.</w:t>
            </w:r>
          </w:p>
          <w:p>
            <w:pPr>
              <w:spacing w:after="40"/>
            </w:pPr>
            <w:r>
              <w:rPr>
                <w:b/>
                <w:sz w:val="20"/>
              </w:rPr>
              <w:t>Bersama</w:t>
            </w:r>
            <w:r>
              <w:rPr>
                <w:sz w:val="20"/>
              </w:rPr>
              <w:t xml:space="preserve"> berarti satu nilai dipakai kedua lengan. Biaya per kejadian dan disutility diisi sekali dengan alternatif </w:t>
            </w:r>
            <w:r>
              <w:rPr>
                <w:b/>
                <w:sz w:val="20"/>
              </w:rPr>
              <w:t>Bersama</w:t>
            </w:r>
            <w:r>
              <w:rPr>
                <w:sz w:val="20"/>
              </w:rPr>
              <w:t>, tidak perlu diketik dua kali.</w:t>
            </w:r>
          </w:p>
          <w:p>
            <w:pPr>
              <w:spacing w:after="40"/>
            </w:pPr>
            <w:r>
              <w:rPr>
                <w:b/>
                <w:sz w:val="20"/>
              </w:rPr>
              <w:t>Market share tidak diisi.</w:t>
            </w:r>
            <w:r>
              <w:rPr>
                <w:sz w:val="20"/>
              </w:rPr>
              <w:t xml:space="preserve"> Lihat kotak peringatan pada Bab 4.</w:t>
            </w:r>
          </w:p>
        </w:tc>
      </w:tr>
    </w:tbl>
    <w:p>
      <w:pPr>
        <w:spacing w:after="0"/>
      </w:pP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Status dan peringatan oranye</w:t>
            </w:r>
          </w:p>
          <w:p>
            <w:pPr>
              <w:spacing w:after="40"/>
            </w:pPr>
            <w:r>
              <w:rPr>
                <w:sz w:val="20"/>
              </w:rPr>
              <w:t xml:space="preserve">Kolom </w:t>
            </w:r>
            <w:r>
              <w:rPr>
                <w:b/>
                <w:sz w:val="20"/>
              </w:rPr>
              <w:t>Status</w:t>
            </w:r>
            <w:r>
              <w:rPr>
                <w:sz w:val="20"/>
              </w:rPr>
              <w:t xml:space="preserve"> dibiarkan </w:t>
            </w:r>
            <w:r>
              <w:rPr>
                <w:b/>
                <w:sz w:val="20"/>
              </w:rPr>
              <w:t>Assumption</w:t>
            </w:r>
            <w:r>
              <w:rPr>
                <w:sz w:val="20"/>
              </w:rPr>
              <w:t xml:space="preserve"> karena seluruh data paket adalah data sintetis. Dashboard lalu menampilkan peringatan bahwa parameter masih berstatus proxy atau asumsi. Untuk kasus latihan, peringatan itu memang seharusnya muncul.</w:t>
            </w:r>
          </w:p>
        </w:tc>
      </w:tr>
    </w:tbl>
    <w:p>
      <w:pPr>
        <w:spacing w:after="0"/>
      </w:pPr>
    </w:p>
    <w:p>
      <w:pPr>
        <w:keepNext/>
        <w:spacing w:after="40"/>
        <w:jc w:val="center"/>
      </w:pPr>
      <w:r>
        <w:drawing>
          <wp:inline xmlns:a="http://schemas.openxmlformats.org/drawingml/2006/main" xmlns:pic="http://schemas.openxmlformats.org/drawingml/2006/picture">
            <wp:extent cx="6120000" cy="2496127"/>
            <wp:docPr id="9" name="Picture 9"/>
            <wp:cNvGraphicFramePr>
              <a:graphicFrameLocks noChangeAspect="1"/>
            </wp:cNvGraphicFramePr>
            <a:graphic>
              <a:graphicData uri="http://schemas.openxmlformats.org/drawingml/2006/picture">
                <pic:pic>
                  <pic:nvPicPr>
                    <pic:cNvPr id="0" name="08-ekonomi-tambah-parameter-9.png"/>
                    <pic:cNvPicPr/>
                  </pic:nvPicPr>
                  <pic:blipFill>
                    <a:blip r:embed="rId18"/>
                    <a:stretch>
                      <a:fillRect/>
                    </a:stretch>
                  </pic:blipFill>
                  <pic:spPr>
                    <a:xfrm>
                      <a:off x="0" y="0"/>
                      <a:ext cx="6120000" cy="2496127"/>
                    </a:xfrm>
                    <a:prstGeom prst="rect"/>
                  </pic:spPr>
                </pic:pic>
              </a:graphicData>
            </a:graphic>
          </wp:inline>
        </w:drawing>
      </w:r>
    </w:p>
    <w:p>
      <w:pPr>
        <w:spacing w:after="200"/>
        <w:jc w:val="center"/>
      </w:pPr>
      <w:r>
        <w:rPr>
          <w:b/>
          <w:color w:val="595959"/>
          <w:sz w:val="18"/>
        </w:rPr>
        <w:t>Gambar 9.</w:t>
      </w:r>
      <w:r>
        <w:rPr>
          <w:color w:val="595959"/>
          <w:sz w:val="18"/>
        </w:rPr>
        <w:t xml:space="preserve"> Baris pertama setelah klik Tambah, dengan nilai, satuan dan sumber terisi.</w:t>
      </w:r>
    </w:p>
    <w:p>
      <w:pPr>
        <w:keepNext/>
        <w:spacing w:after="40"/>
        <w:jc w:val="center"/>
      </w:pPr>
      <w:r>
        <w:drawing>
          <wp:inline xmlns:a="http://schemas.openxmlformats.org/drawingml/2006/main" xmlns:pic="http://schemas.openxmlformats.org/drawingml/2006/picture">
            <wp:extent cx="6120000" cy="6493521"/>
            <wp:docPr id="10" name="Picture 10"/>
            <wp:cNvGraphicFramePr>
              <a:graphicFrameLocks noChangeAspect="1"/>
            </wp:cNvGraphicFramePr>
            <a:graphic>
              <a:graphicData uri="http://schemas.openxmlformats.org/drawingml/2006/picture">
                <pic:pic>
                  <pic:nvPicPr>
                    <pic:cNvPr id="0" name="09-ekonomi-registri-10.png"/>
                    <pic:cNvPicPr/>
                  </pic:nvPicPr>
                  <pic:blipFill>
                    <a:blip r:embed="rId19"/>
                    <a:stretch>
                      <a:fillRect/>
                    </a:stretch>
                  </pic:blipFill>
                  <pic:spPr>
                    <a:xfrm>
                      <a:off x="0" y="0"/>
                      <a:ext cx="6120000" cy="6493521"/>
                    </a:xfrm>
                    <a:prstGeom prst="rect"/>
                  </pic:spPr>
                </pic:pic>
              </a:graphicData>
            </a:graphic>
          </wp:inline>
        </w:drawing>
      </w:r>
    </w:p>
    <w:p>
      <w:pPr>
        <w:spacing w:after="200"/>
        <w:jc w:val="center"/>
      </w:pPr>
      <w:r>
        <w:rPr>
          <w:b/>
          <w:color w:val="595959"/>
          <w:sz w:val="18"/>
        </w:rPr>
        <w:t>Gambar 10.</w:t>
      </w:r>
      <w:r>
        <w:rPr>
          <w:color w:val="595959"/>
          <w:sz w:val="18"/>
        </w:rPr>
        <w:t xml:space="preserve"> Registri Parameter lengkap, sebelum disimpan.</w:t>
      </w:r>
    </w:p>
    <w:p>
      <w:pPr>
        <w:pStyle w:val="Heading2"/>
      </w:pPr>
      <w:r>
        <w:t>3.3 Menyimpan dan menghitung</w:t>
      </w:r>
    </w:p>
    <w:p>
      <w:pPr>
        <w:tabs>
          <w:tab w:pos="425" w:val="left"/>
        </w:tabs>
        <w:spacing w:after="60"/>
        <w:ind w:left="425" w:hanging="425"/>
      </w:pPr>
      <w:r>
        <w:rPr/>
        <w:t>1.</w:t>
        <w:tab/>
        <w:t xml:space="preserve">Klik </w:t>
      </w:r>
      <w:r>
        <w:rPr>
          <w:b/>
        </w:rPr>
        <w:t>Simpan Parameter</w:t>
      </w:r>
      <w:r>
        <w:rPr/>
        <w:t xml:space="preserve">. Bila ada baris yang ditolak, alasannya tampil di bawah isian </w:t>
      </w:r>
      <w:r>
        <w:rPr>
          <w:b/>
        </w:rPr>
        <w:t>Nilai</w:t>
      </w:r>
      <w:r>
        <w:rPr/>
        <w:t xml:space="preserve"> baris tersebut dan tidak ada baris yang tersimpan sampai semuanya benar.</w:t>
      </w:r>
    </w:p>
    <w:p>
      <w:pPr>
        <w:tabs>
          <w:tab w:pos="425" w:val="left"/>
        </w:tabs>
        <w:spacing w:after="60"/>
        <w:ind w:left="425" w:hanging="425"/>
      </w:pPr>
      <w:r>
        <w:rPr/>
        <w:t>2.</w:t>
        <w:tab/>
        <w:t xml:space="preserve">Klik </w:t>
      </w:r>
      <w:r>
        <w:rPr>
          <w:b/>
        </w:rPr>
        <w:t>Hitung</w:t>
      </w:r>
      <w:r>
        <w:rPr/>
        <w:t xml:space="preserve">. Bila masih ada perubahan yang belum disimpan, tombol itu berbunyi </w:t>
      </w:r>
      <w:r>
        <w:rPr>
          <w:b/>
        </w:rPr>
        <w:t>Simpan &amp; Hitung</w:t>
      </w:r>
      <w:r>
        <w:rPr/>
        <w:t xml:space="preserve"> dan mengerjakan keduanya.</w:t>
      </w:r>
    </w:p>
    <w:p>
      <w:pPr>
        <w:tabs>
          <w:tab w:pos="425" w:val="left"/>
        </w:tabs>
        <w:spacing w:after="60"/>
        <w:ind w:left="425" w:hanging="425"/>
      </w:pPr>
      <w:r>
        <w:rPr/>
        <w:t>3.</w:t>
        <w:tab/>
        <w:t xml:space="preserve">Kartu </w:t>
      </w:r>
      <w:r>
        <w:rPr>
          <w:b/>
        </w:rPr>
        <w:t>Hasil Deterministik (Cost-Utility)</w:t>
      </w:r>
      <w:r>
        <w:rPr/>
        <w:t xml:space="preserve"> muncul di bagian atas.</w:t>
      </w:r>
    </w:p>
    <w:p>
      <w:pPr>
        <w:keepNext/>
        <w:spacing w:after="40"/>
        <w:jc w:val="center"/>
      </w:pPr>
      <w:r>
        <w:drawing>
          <wp:inline xmlns:a="http://schemas.openxmlformats.org/drawingml/2006/main" xmlns:pic="http://schemas.openxmlformats.org/drawingml/2006/picture">
            <wp:extent cx="6120000" cy="3031268"/>
            <wp:docPr id="11" name="Picture 11"/>
            <wp:cNvGraphicFramePr>
              <a:graphicFrameLocks noChangeAspect="1"/>
            </wp:cNvGraphicFramePr>
            <a:graphic>
              <a:graphicData uri="http://schemas.openxmlformats.org/drawingml/2006/picture">
                <pic:pic>
                  <pic:nvPicPr>
                    <pic:cNvPr id="0" name="10-ekonomi-hasil-11.png"/>
                    <pic:cNvPicPr/>
                  </pic:nvPicPr>
                  <pic:blipFill>
                    <a:blip r:embed="rId20"/>
                    <a:stretch>
                      <a:fillRect/>
                    </a:stretch>
                  </pic:blipFill>
                  <pic:spPr>
                    <a:xfrm>
                      <a:off x="0" y="0"/>
                      <a:ext cx="6120000" cy="3031268"/>
                    </a:xfrm>
                    <a:prstGeom prst="rect"/>
                  </pic:spPr>
                </pic:pic>
              </a:graphicData>
            </a:graphic>
          </wp:inline>
        </w:drawing>
      </w:r>
    </w:p>
    <w:p>
      <w:pPr>
        <w:spacing w:after="200"/>
        <w:jc w:val="center"/>
      </w:pPr>
      <w:r>
        <w:rPr>
          <w:b/>
          <w:color w:val="595959"/>
          <w:sz w:val="18"/>
        </w:rPr>
        <w:t>Gambar 11.</w:t>
      </w:r>
      <w:r>
        <w:rPr>
          <w:color w:val="595959"/>
          <w:sz w:val="18"/>
        </w:rPr>
        <w:t xml:space="preserve"> Hasil deterministik kasus latihan.</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6F4EA"/>
          </w:tcPr>
          <w:p>
            <w:pPr>
              <w:spacing w:after="40"/>
            </w:pPr>
            <w:r>
              <w:rPr>
                <w:b/>
                <w:sz w:val="20"/>
              </w:rPr>
              <w:t>Cocokkan dengan kunci (langkah 24)</w:t>
            </w:r>
          </w:p>
          <w:p>
            <w:pPr>
              <w:spacing w:after="40"/>
            </w:pPr>
            <w:r>
              <w:rPr>
                <w:sz w:val="20"/>
              </w:rPr>
              <w:t>Total cost Rp16.500.000 vs Rp4.100.000; QALY 0,750 vs 0,695.</w:t>
            </w:r>
          </w:p>
          <w:p>
            <w:pPr>
              <w:spacing w:after="40"/>
            </w:pPr>
            <w:r>
              <w:rPr>
                <w:sz w:val="20"/>
              </w:rPr>
              <w:t>Incremental cost Rp12.400.000; incremental QALY 0,055; ICER Rp225.454.545,45 per QALY; INB Rp4.100.000.</w:t>
            </w:r>
          </w:p>
          <w:p>
            <w:pPr>
              <w:spacing w:after="40"/>
            </w:pPr>
            <w:r>
              <w:rPr>
                <w:sz w:val="20"/>
              </w:rPr>
              <w:t>ICER berada di bawah WTP Rp300 juta dan INB positif, sehingga label hasilnya COST-EFFECTIVE. Paket menegaskan bahwa keputusan tidak berhenti di sini: lanjutkan ke BIA dan PSA.</w:t>
            </w:r>
          </w:p>
        </w:tc>
      </w:tr>
    </w:tbl>
    <w:p>
      <w:pPr>
        <w:spacing w:after="0"/>
      </w:pPr>
    </w:p>
    <w:p>
      <w:r>
        <w:br w:type="page"/>
      </w:r>
    </w:p>
    <w:p>
      <w:pPr>
        <w:pStyle w:val="Heading1"/>
      </w:pPr>
      <w:r>
        <w:t>4. Menu 3 - BIA</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Analis HTA     </w:t>
            </w:r>
            <w:r>
              <w:rPr>
                <w:b/>
                <w:sz w:val="20"/>
              </w:rPr>
              <w:t>Langkah paket:</w:t>
            </w:r>
            <w:r>
              <w:rPr>
                <w:sz w:val="20"/>
              </w:rPr>
              <w:t xml:space="preserve"> 25-34</w:t>
            </w:r>
          </w:p>
        </w:tc>
      </w:tr>
    </w:tbl>
    <w:p>
      <w:pPr>
        <w:spacing w:after="0"/>
      </w:pPr>
    </w:p>
    <w:p>
      <w:r>
        <w:rPr/>
        <w:t xml:space="preserve">BIA menghitung tambahan beban anggaran rumah sakit per tahun, setelah dikurangi penghematan dari kejadian yang dicegah (cost offset). Inputnya sudah diketik di menu Analisis Ekonomi: </w:t>
      </w:r>
      <w:r>
        <w:rPr>
          <w:b/>
        </w:rPr>
        <w:t>Horizon BIA</w:t>
      </w:r>
      <w:r>
        <w:rPr/>
        <w:t xml:space="preserve"> dan </w:t>
      </w:r>
      <w:r>
        <w:rPr>
          <w:b/>
        </w:rPr>
        <w:t>Anggaran tahunan baseline</w:t>
      </w:r>
      <w:r>
        <w:rPr/>
        <w:t xml:space="preserve"> pada parameter model, serta </w:t>
      </w:r>
      <w:r>
        <w:rPr>
          <w:b/>
        </w:rPr>
        <w:t>Jumlah populasi eligible</w:t>
      </w:r>
      <w:r>
        <w:rPr/>
        <w:t xml:space="preserve"> dan </w:t>
      </w:r>
      <w:r>
        <w:rPr>
          <w:b/>
        </w:rPr>
        <w:t>Uptake</w:t>
      </w:r>
      <w:r>
        <w:rPr/>
        <w:t xml:space="preserve"> untuk Tahun 1 sampai Tahun 3 pada registri parameter.</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Baris per tahun</w:t>
            </w:r>
          </w:p>
          <w:p>
            <w:pPr>
              <w:spacing w:after="40"/>
            </w:pPr>
            <w:r>
              <w:rPr>
                <w:sz w:val="20"/>
              </w:rPr>
              <w:t xml:space="preserve">Pilihan </w:t>
            </w:r>
            <w:r>
              <w:rPr>
                <w:b/>
                <w:sz w:val="20"/>
              </w:rPr>
              <w:t>Tahun 1</w:t>
            </w:r>
            <w:r>
              <w:rPr>
                <w:sz w:val="20"/>
              </w:rPr>
              <w:t xml:space="preserve">, </w:t>
            </w:r>
            <w:r>
              <w:rPr>
                <w:b/>
                <w:sz w:val="20"/>
              </w:rPr>
              <w:t>Tahun 2</w:t>
            </w:r>
            <w:r>
              <w:rPr>
                <w:sz w:val="20"/>
              </w:rPr>
              <w:t xml:space="preserve"> dan </w:t>
            </w:r>
            <w:r>
              <w:rPr>
                <w:b/>
                <w:sz w:val="20"/>
              </w:rPr>
              <w:t>Tahun 3</w:t>
            </w:r>
            <w:r>
              <w:rPr>
                <w:sz w:val="20"/>
              </w:rPr>
              <w:t xml:space="preserve"> pada </w:t>
            </w:r>
            <w:r>
              <w:rPr>
                <w:b/>
                <w:sz w:val="20"/>
              </w:rPr>
              <w:t>Tambah parameter</w:t>
            </w:r>
            <w:r>
              <w:rPr>
                <w:sz w:val="20"/>
              </w:rPr>
              <w:t xml:space="preserve"> baru tersedia setelah </w:t>
            </w:r>
            <w:r>
              <w:rPr>
                <w:b/>
                <w:sz w:val="20"/>
              </w:rPr>
              <w:t>Horizon BIA</w:t>
            </w:r>
            <w:r>
              <w:rPr>
                <w:sz w:val="20"/>
              </w:rPr>
              <w:t xml:space="preserve"> diisi 3. Baris per tahun diberi label TAHUN 1, TAHUN 2, TAHUN 3 di tabel.</w:t>
            </w:r>
          </w:p>
        </w:tc>
      </w:tr>
    </w:tbl>
    <w:p>
      <w:pPr>
        <w:spacing w:after="0"/>
      </w:pP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FFF3D6"/>
          </w:tcPr>
          <w:p>
            <w:pPr>
              <w:spacing w:after="40"/>
            </w:pPr>
            <w:r>
              <w:rPr>
                <w:b/>
                <w:sz w:val="20"/>
              </w:rPr>
              <w:t>Market share baseline (langkah 32): jangan diisi</w:t>
            </w:r>
          </w:p>
          <w:p>
            <w:pPr>
              <w:spacing w:after="40"/>
            </w:pPr>
            <w:r>
              <w:rPr>
                <w:sz w:val="20"/>
              </w:rPr>
              <w:t xml:space="preserve">Paket menulis market share baseline ARNI = 0, artinya ARNI belum dipakai. Parameter </w:t>
            </w:r>
            <w:r>
              <w:rPr>
                <w:b/>
                <w:sz w:val="20"/>
              </w:rPr>
              <w:t>Market share</w:t>
            </w:r>
            <w:r>
              <w:rPr>
                <w:sz w:val="20"/>
              </w:rPr>
              <w:t xml:space="preserve"> di dashboard bermakna lain: pengali jumlah pasien (pasien = eligible x uptake x market share) yang bernilai 1 bila tidak diisi. Mengisinya dengan 0 membuat jumlah pasien, dan seluruh BIA, menjadi nol.</w:t>
            </w:r>
          </w:p>
        </w:tc>
      </w:tr>
    </w:tbl>
    <w:p>
      <w:pPr>
        <w:spacing w:after="0"/>
      </w:pPr>
    </w:p>
    <w:p>
      <w:pPr>
        <w:tabs>
          <w:tab w:pos="425" w:val="left"/>
        </w:tabs>
        <w:spacing w:after="60"/>
        <w:ind w:left="425" w:hanging="425"/>
      </w:pPr>
      <w:r>
        <w:rPr/>
        <w:t>1.</w:t>
        <w:tab/>
        <w:t xml:space="preserve">Buka tab </w:t>
      </w:r>
      <w:r>
        <w:rPr>
          <w:b/>
        </w:rPr>
        <w:t>BIA</w:t>
      </w:r>
      <w:r>
        <w:rPr/>
        <w:t>.</w:t>
      </w:r>
    </w:p>
    <w:p>
      <w:pPr>
        <w:tabs>
          <w:tab w:pos="425" w:val="left"/>
        </w:tabs>
        <w:spacing w:after="60"/>
        <w:ind w:left="425" w:hanging="425"/>
      </w:pPr>
      <w:r>
        <w:rPr/>
        <w:t>2.</w:t>
        <w:tab/>
        <w:t xml:space="preserve">Klik </w:t>
      </w:r>
      <w:r>
        <w:rPr>
          <w:b/>
        </w:rPr>
        <w:t>Hitung BIA</w:t>
      </w:r>
      <w:r>
        <w:rPr/>
        <w:t>.</w:t>
      </w:r>
    </w:p>
    <w:p>
      <w:pPr>
        <w:tabs>
          <w:tab w:pos="425" w:val="left"/>
        </w:tabs>
        <w:spacing w:after="60"/>
        <w:ind w:left="425" w:hanging="425"/>
      </w:pPr>
      <w:r>
        <w:rPr/>
        <w:t>3.</w:t>
        <w:tab/>
        <w:t xml:space="preserve">Kartu </w:t>
      </w:r>
      <w:r>
        <w:rPr>
          <w:b/>
        </w:rPr>
        <w:t>Dampak Anggaran (dengan cost offset)</w:t>
      </w:r>
      <w:r>
        <w:rPr/>
        <w:t xml:space="preserve"> menampilkan rincian per tahun.</w:t>
      </w:r>
    </w:p>
    <w:p>
      <w:pPr>
        <w:keepNext/>
        <w:spacing w:after="40"/>
        <w:jc w:val="center"/>
      </w:pPr>
      <w:r>
        <w:drawing>
          <wp:inline xmlns:a="http://schemas.openxmlformats.org/drawingml/2006/main" xmlns:pic="http://schemas.openxmlformats.org/drawingml/2006/picture">
            <wp:extent cx="5913043" cy="2887120"/>
            <wp:docPr id="12" name="Picture 12"/>
            <wp:cNvGraphicFramePr>
              <a:graphicFrameLocks noChangeAspect="1"/>
            </wp:cNvGraphicFramePr>
            <a:graphic>
              <a:graphicData uri="http://schemas.openxmlformats.org/drawingml/2006/picture">
                <pic:pic>
                  <pic:nvPicPr>
                    <pic:cNvPr id="0" name="12-bia-hasil-12.png"/>
                    <pic:cNvPicPr/>
                  </pic:nvPicPr>
                  <pic:blipFill>
                    <a:blip r:embed="rId21"/>
                    <a:stretch>
                      <a:fillRect/>
                    </a:stretch>
                  </pic:blipFill>
                  <pic:spPr>
                    <a:xfrm>
                      <a:off x="0" y="0"/>
                      <a:ext cx="5913043" cy="2887120"/>
                    </a:xfrm>
                    <a:prstGeom prst="rect"/>
                  </pic:spPr>
                </pic:pic>
              </a:graphicData>
            </a:graphic>
          </wp:inline>
        </w:drawing>
      </w:r>
    </w:p>
    <w:p>
      <w:pPr>
        <w:spacing w:after="200"/>
        <w:jc w:val="center"/>
      </w:pPr>
      <w:r>
        <w:rPr>
          <w:b/>
          <w:color w:val="595959"/>
          <w:sz w:val="18"/>
        </w:rPr>
        <w:t>Gambar 12.</w:t>
      </w:r>
      <w:r>
        <w:rPr>
          <w:color w:val="595959"/>
          <w:sz w:val="18"/>
        </w:rPr>
        <w:t xml:space="preserve"> Hasil BIA tiga tahun.</w:t>
      </w:r>
    </w:p>
    <w:p>
      <w:pPr>
        <w:keepNext/>
        <w:spacing w:after="60"/>
      </w:pPr>
      <w:r>
        <w:rPr>
          <w:b/>
          <w:sz w:val="19"/>
        </w:rPr>
        <w:t>Tabel 6.</w:t>
      </w:r>
      <w:r>
        <w:rPr>
          <w:sz w:val="19"/>
        </w:rPr>
        <w:t xml:space="preserve"> Hasil BIA dibanding kunci (langkah 34)</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361"/>
            <w:shd w:val="clear" w:color="auto" w:fill="1F4E79"/>
          </w:tcPr>
          <w:p>
            <w:pPr>
              <w:spacing w:after="0"/>
            </w:pPr>
            <w:r>
              <w:rPr>
                <w:b/>
                <w:color w:val="FFFFFF"/>
                <w:sz w:val="18"/>
              </w:rPr>
              <w:t>Periode</w:t>
            </w:r>
          </w:p>
        </w:tc>
        <w:tc>
          <w:tcPr>
            <w:tcW w:type="dxa" w:w="1361"/>
            <w:shd w:val="clear" w:color="auto" w:fill="1F4E79"/>
          </w:tcPr>
          <w:p>
            <w:pPr>
              <w:spacing w:after="0"/>
            </w:pPr>
            <w:r>
              <w:rPr>
                <w:b/>
                <w:color w:val="FFFFFF"/>
                <w:sz w:val="18"/>
              </w:rPr>
              <w:t>Pasien ARNI</w:t>
            </w:r>
          </w:p>
        </w:tc>
        <w:tc>
          <w:tcPr>
            <w:tcW w:type="dxa" w:w="2041"/>
            <w:shd w:val="clear" w:color="auto" w:fill="1F4E79"/>
          </w:tcPr>
          <w:p>
            <w:pPr>
              <w:spacing w:after="0"/>
            </w:pPr>
            <w:r>
              <w:rPr>
                <w:b/>
                <w:color w:val="FFFFFF"/>
                <w:sz w:val="18"/>
              </w:rPr>
              <w:t>Dampak bersih</w:t>
            </w:r>
          </w:p>
        </w:tc>
        <w:tc>
          <w:tcPr>
            <w:tcW w:type="dxa" w:w="1361"/>
            <w:shd w:val="clear" w:color="auto" w:fill="1F4E79"/>
          </w:tcPr>
          <w:p>
            <w:pPr>
              <w:spacing w:after="0"/>
            </w:pPr>
            <w:r>
              <w:rPr>
                <w:b/>
                <w:color w:val="FFFFFF"/>
                <w:sz w:val="18"/>
              </w:rPr>
              <w:t>% anggaran</w:t>
            </w:r>
          </w:p>
        </w:tc>
        <w:tc>
          <w:tcPr>
            <w:tcW w:type="dxa" w:w="2041"/>
            <w:shd w:val="clear" w:color="auto" w:fill="1F4E79"/>
          </w:tcPr>
          <w:p>
            <w:pPr>
              <w:spacing w:after="0"/>
            </w:pPr>
            <w:r>
              <w:rPr>
                <w:b/>
                <w:color w:val="FFFFFF"/>
                <w:sz w:val="18"/>
              </w:rPr>
              <w:t>Kunci instruktur</w:t>
            </w:r>
          </w:p>
        </w:tc>
        <w:tc>
          <w:tcPr>
            <w:tcW w:type="dxa" w:w="1474"/>
            <w:shd w:val="clear" w:color="auto" w:fill="1F4E79"/>
          </w:tcPr>
          <w:p>
            <w:pPr>
              <w:spacing w:after="0"/>
            </w:pPr>
            <w:r>
              <w:rPr>
                <w:b/>
                <w:color w:val="FFFFFF"/>
                <w:sz w:val="18"/>
              </w:rPr>
              <w:t>Status</w:t>
            </w:r>
          </w:p>
        </w:tc>
      </w:tr>
      <w:tr>
        <w:tc>
          <w:tcPr>
            <w:tcW w:type="dxa" w:w="1361"/>
          </w:tcPr>
          <w:p>
            <w:pPr>
              <w:spacing w:after="0"/>
            </w:pPr>
            <w:r>
              <w:rPr>
                <w:sz w:val="18"/>
              </w:rPr>
              <w:t>Tahun 1</w:t>
            </w:r>
          </w:p>
        </w:tc>
        <w:tc>
          <w:tcPr>
            <w:tcW w:type="dxa" w:w="1361"/>
          </w:tcPr>
          <w:p>
            <w:pPr>
              <w:spacing w:after="0"/>
            </w:pPr>
            <w:r>
              <w:rPr>
                <w:sz w:val="18"/>
              </w:rPr>
              <w:t>40</w:t>
            </w:r>
          </w:p>
        </w:tc>
        <w:tc>
          <w:tcPr>
            <w:tcW w:type="dxa" w:w="2041"/>
          </w:tcPr>
          <w:p>
            <w:pPr>
              <w:spacing w:after="0"/>
            </w:pPr>
            <w:r>
              <w:rPr>
                <w:sz w:val="18"/>
              </w:rPr>
              <w:t>Rp496.000.000</w:t>
            </w:r>
          </w:p>
        </w:tc>
        <w:tc>
          <w:tcPr>
            <w:tcW w:type="dxa" w:w="1361"/>
          </w:tcPr>
          <w:p>
            <w:pPr>
              <w:spacing w:after="0"/>
            </w:pPr>
            <w:r>
              <w:rPr>
                <w:sz w:val="18"/>
              </w:rPr>
              <w:t>2,48%</w:t>
            </w:r>
          </w:p>
        </w:tc>
        <w:tc>
          <w:tcPr>
            <w:tcW w:type="dxa" w:w="2041"/>
          </w:tcPr>
          <w:p>
            <w:pPr>
              <w:spacing w:after="0"/>
            </w:pPr>
            <w:r>
              <w:rPr>
                <w:sz w:val="18"/>
              </w:rPr>
              <w:t>Rp496.000.000</w:t>
            </w:r>
          </w:p>
        </w:tc>
        <w:tc>
          <w:tcPr>
            <w:tcW w:type="dxa" w:w="1474"/>
          </w:tcPr>
          <w:p>
            <w:pPr>
              <w:spacing w:after="0"/>
            </w:pPr>
            <w:r>
              <w:rPr>
                <w:sz w:val="18"/>
              </w:rPr>
              <w:t>Sesuai</w:t>
            </w:r>
          </w:p>
        </w:tc>
      </w:tr>
      <w:tr>
        <w:tc>
          <w:tcPr>
            <w:tcW w:type="dxa" w:w="1361"/>
          </w:tcPr>
          <w:p>
            <w:pPr>
              <w:spacing w:after="0"/>
            </w:pPr>
            <w:r>
              <w:rPr>
                <w:sz w:val="18"/>
              </w:rPr>
              <w:t>Tahun 2</w:t>
            </w:r>
          </w:p>
        </w:tc>
        <w:tc>
          <w:tcPr>
            <w:tcW w:type="dxa" w:w="1361"/>
          </w:tcPr>
          <w:p>
            <w:pPr>
              <w:spacing w:after="0"/>
            </w:pPr>
            <w:r>
              <w:rPr>
                <w:sz w:val="18"/>
              </w:rPr>
              <w:t>77</w:t>
            </w:r>
          </w:p>
        </w:tc>
        <w:tc>
          <w:tcPr>
            <w:tcW w:type="dxa" w:w="2041"/>
          </w:tcPr>
          <w:p>
            <w:pPr>
              <w:spacing w:after="0"/>
            </w:pPr>
            <w:r>
              <w:rPr>
                <w:sz w:val="18"/>
              </w:rPr>
              <w:t>Rp954.800.000</w:t>
            </w:r>
          </w:p>
        </w:tc>
        <w:tc>
          <w:tcPr>
            <w:tcW w:type="dxa" w:w="1361"/>
          </w:tcPr>
          <w:p>
            <w:pPr>
              <w:spacing w:after="0"/>
            </w:pPr>
            <w:r>
              <w:rPr>
                <w:sz w:val="18"/>
              </w:rPr>
              <w:t>4,77%</w:t>
            </w:r>
          </w:p>
        </w:tc>
        <w:tc>
          <w:tcPr>
            <w:tcW w:type="dxa" w:w="2041"/>
          </w:tcPr>
          <w:p>
            <w:pPr>
              <w:spacing w:after="0"/>
            </w:pPr>
            <w:r>
              <w:rPr>
                <w:sz w:val="18"/>
              </w:rPr>
              <w:t>Rp954.800.000</w:t>
            </w:r>
          </w:p>
        </w:tc>
        <w:tc>
          <w:tcPr>
            <w:tcW w:type="dxa" w:w="1474"/>
          </w:tcPr>
          <w:p>
            <w:pPr>
              <w:spacing w:after="0"/>
            </w:pPr>
            <w:r>
              <w:rPr>
                <w:sz w:val="18"/>
              </w:rPr>
              <w:t>Sesuai</w:t>
            </w:r>
          </w:p>
        </w:tc>
      </w:tr>
      <w:tr>
        <w:tc>
          <w:tcPr>
            <w:tcW w:type="dxa" w:w="1361"/>
          </w:tcPr>
          <w:p>
            <w:pPr>
              <w:spacing w:after="0"/>
            </w:pPr>
            <w:r>
              <w:rPr>
                <w:sz w:val="18"/>
              </w:rPr>
              <w:t>Tahun 3</w:t>
            </w:r>
          </w:p>
        </w:tc>
        <w:tc>
          <w:tcPr>
            <w:tcW w:type="dxa" w:w="1361"/>
          </w:tcPr>
          <w:p>
            <w:pPr>
              <w:spacing w:after="0"/>
            </w:pPr>
            <w:r>
              <w:rPr>
                <w:sz w:val="18"/>
              </w:rPr>
              <w:t>120</w:t>
            </w:r>
          </w:p>
        </w:tc>
        <w:tc>
          <w:tcPr>
            <w:tcW w:type="dxa" w:w="2041"/>
          </w:tcPr>
          <w:p>
            <w:pPr>
              <w:spacing w:after="0"/>
            </w:pPr>
            <w:r>
              <w:rPr>
                <w:sz w:val="18"/>
              </w:rPr>
              <w:t>Rp1.488.000.000</w:t>
            </w:r>
          </w:p>
        </w:tc>
        <w:tc>
          <w:tcPr>
            <w:tcW w:type="dxa" w:w="1361"/>
          </w:tcPr>
          <w:p>
            <w:pPr>
              <w:spacing w:after="0"/>
            </w:pPr>
            <w:r>
              <w:rPr>
                <w:sz w:val="18"/>
              </w:rPr>
              <w:t>7,44%</w:t>
            </w:r>
          </w:p>
        </w:tc>
        <w:tc>
          <w:tcPr>
            <w:tcW w:type="dxa" w:w="2041"/>
          </w:tcPr>
          <w:p>
            <w:pPr>
              <w:spacing w:after="0"/>
            </w:pPr>
            <w:r>
              <w:rPr>
                <w:sz w:val="18"/>
              </w:rPr>
              <w:t>Rp1.488.000.000</w:t>
            </w:r>
          </w:p>
        </w:tc>
        <w:tc>
          <w:tcPr>
            <w:tcW w:type="dxa" w:w="1474"/>
          </w:tcPr>
          <w:p>
            <w:pPr>
              <w:spacing w:after="0"/>
            </w:pPr>
            <w:r>
              <w:rPr>
                <w:sz w:val="18"/>
              </w:rPr>
              <w:t>Sesuai</w:t>
            </w:r>
          </w:p>
        </w:tc>
      </w:tr>
      <w:tr>
        <w:tc>
          <w:tcPr>
            <w:tcW w:type="dxa" w:w="1361"/>
          </w:tcPr>
          <w:p>
            <w:pPr>
              <w:spacing w:after="0"/>
            </w:pPr>
            <w:r>
              <w:rPr>
                <w:sz w:val="18"/>
              </w:rPr>
              <w:t>Kumulatif</w:t>
            </w:r>
          </w:p>
        </w:tc>
        <w:tc>
          <w:tcPr>
            <w:tcW w:type="dxa" w:w="1361"/>
          </w:tcPr>
          <w:p>
            <w:pPr>
              <w:spacing w:after="0"/>
            </w:pPr>
            <w:r>
              <w:rPr>
                <w:sz w:val="18"/>
              </w:rPr>
              <w:t>-</w:t>
            </w:r>
          </w:p>
        </w:tc>
        <w:tc>
          <w:tcPr>
            <w:tcW w:type="dxa" w:w="2041"/>
          </w:tcPr>
          <w:p>
            <w:pPr>
              <w:spacing w:after="0"/>
            </w:pPr>
            <w:r>
              <w:rPr>
                <w:sz w:val="18"/>
              </w:rPr>
              <w:t>Rp2.938.800.000</w:t>
            </w:r>
          </w:p>
        </w:tc>
        <w:tc>
          <w:tcPr>
            <w:tcW w:type="dxa" w:w="1361"/>
          </w:tcPr>
          <w:p>
            <w:pPr>
              <w:spacing w:after="0"/>
            </w:pPr>
            <w:r>
              <w:rPr>
                <w:sz w:val="18"/>
              </w:rPr>
              <w:t>4,90%</w:t>
            </w:r>
          </w:p>
        </w:tc>
        <w:tc>
          <w:tcPr>
            <w:tcW w:type="dxa" w:w="2041"/>
          </w:tcPr>
          <w:p>
            <w:pPr>
              <w:spacing w:after="0"/>
            </w:pPr>
            <w:r>
              <w:rPr>
                <w:sz w:val="18"/>
              </w:rPr>
              <w:t>Rp2.938.800.000</w:t>
            </w:r>
          </w:p>
        </w:tc>
        <w:tc>
          <w:tcPr>
            <w:tcW w:type="dxa" w:w="1474"/>
          </w:tcPr>
          <w:p>
            <w:pPr>
              <w:spacing w:after="0"/>
            </w:pPr>
            <w:r>
              <w:rPr>
                <w:sz w:val="18"/>
              </w:rPr>
              <w:t>Sesuai</w:t>
            </w:r>
          </w:p>
        </w:tc>
      </w:tr>
    </w:tbl>
    <w:p>
      <w:pPr>
        <w:spacing w:after="0"/>
      </w:pPr>
    </w:p>
    <w:p>
      <w:r>
        <w:rPr/>
        <w:t xml:space="preserve">Persen anggaran pada baris kumulatif dihitung terhadap anggaran tiga tahun. Label </w:t>
      </w:r>
      <w:r>
        <w:rPr>
          <w:b/>
        </w:rPr>
        <w:t>SIGNIFIKAN</w:t>
      </w:r>
      <w:r>
        <w:rPr/>
        <w:t xml:space="preserve"> dan </w:t>
      </w:r>
      <w:r>
        <w:rPr>
          <w:b/>
        </w:rPr>
        <w:t>Skor anggaran</w:t>
      </w:r>
      <w:r>
        <w:rPr/>
        <w:t xml:space="preserve"> pada kartu dipakai lagi di menu Rekomendasi. Pesan paket untuk bagian ini: intervensi dapat tampak cost-effective tetapi tetap menambah anggaran, sehingga keterjangkauan harus dibahas tersendiri.</w:t>
      </w:r>
    </w:p>
    <w:p>
      <w:r>
        <w:br w:type="page"/>
      </w:r>
    </w:p>
    <w:p>
      <w:pPr>
        <w:pStyle w:val="Heading1"/>
      </w:pPr>
      <w:r>
        <w:t>5. Menu 4 - PSA</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Analis HTA     </w:t>
            </w:r>
            <w:r>
              <w:rPr>
                <w:b/>
                <w:sz w:val="20"/>
              </w:rPr>
              <w:t>Langkah paket:</w:t>
            </w:r>
            <w:r>
              <w:rPr>
                <w:sz w:val="20"/>
              </w:rPr>
              <w:t xml:space="preserve"> 35-40</w:t>
            </w:r>
          </w:p>
        </w:tc>
      </w:tr>
    </w:tbl>
    <w:p>
      <w:pPr>
        <w:spacing w:after="0"/>
      </w:pPr>
    </w:p>
    <w:p>
      <w:r>
        <w:rPr/>
        <w:t>PSA mengulang perhitungan ribuan kali dengan parameter yang diambil acak dari distribusinya, untuk melihat seberapa yakin hasil cost-effective itu. Ada dua bagian: mengatur distribusi tiap parameter, lalu menjalankan simulasinya.</w:t>
      </w:r>
    </w:p>
    <w:p>
      <w:pPr>
        <w:pStyle w:val="Heading2"/>
      </w:pPr>
      <w:r>
        <w:t>5.1 Mengatur distribusi (langkah 37-39)</w:t>
      </w:r>
    </w:p>
    <w:p>
      <w:r>
        <w:rPr/>
        <w:t xml:space="preserve">Kartu </w:t>
      </w:r>
      <w:r>
        <w:rPr>
          <w:b/>
        </w:rPr>
        <w:t>Distribusi Parameter PSA</w:t>
      </w:r>
      <w:r>
        <w:rPr/>
        <w:t xml:space="preserve"> memuat sepuluh parameter yang disampel. Pada kasus baru semuanya berstatus </w:t>
      </w:r>
      <w:r>
        <w:rPr>
          <w:b/>
        </w:rPr>
        <w:t>Tetap (tidak disampel)</w:t>
      </w:r>
      <w:r>
        <w:rPr/>
        <w:t xml:space="preserve">. Untuk tiap baris, pilih </w:t>
      </w:r>
      <w:r>
        <w:rPr>
          <w:b/>
        </w:rPr>
        <w:t>Distribusi</w:t>
      </w:r>
      <w:r>
        <w:rPr/>
        <w:t xml:space="preserve">, lalu isi salah satu: kolom </w:t>
      </w:r>
      <w:r>
        <w:rPr>
          <w:b/>
        </w:rPr>
        <w:t>SE / SD</w:t>
      </w:r>
      <w:r>
        <w:rPr/>
        <w:t xml:space="preserve">, atau </w:t>
      </w:r>
      <w:r>
        <w:rPr>
          <w:b/>
        </w:rPr>
        <w:t>Parameter 1</w:t>
      </w:r>
      <w:r>
        <w:rPr/>
        <w:t xml:space="preserve"> dan </w:t>
      </w:r>
      <w:r>
        <w:rPr>
          <w:b/>
        </w:rPr>
        <w:t>Parameter 2</w:t>
      </w:r>
      <w:r>
        <w:rPr/>
        <w:t xml:space="preserve"> secara langsung.</w:t>
      </w:r>
    </w:p>
    <w:p>
      <w:pPr>
        <w:keepNext/>
        <w:spacing w:after="60"/>
      </w:pPr>
      <w:r>
        <w:rPr>
          <w:b/>
          <w:sz w:val="19"/>
        </w:rPr>
        <w:t>Tabel 7.</w:t>
      </w:r>
      <w:r>
        <w:rPr>
          <w:sz w:val="19"/>
        </w:rPr>
        <w:t xml:space="preserve"> Distribusi sesuai sheet 05_PSA paket</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3515"/>
            <w:shd w:val="clear" w:color="auto" w:fill="1F4E79"/>
          </w:tcPr>
          <w:p>
            <w:pPr>
              <w:spacing w:after="0"/>
            </w:pPr>
            <w:r>
              <w:rPr>
                <w:b/>
                <w:color w:val="FFFFFF"/>
                <w:sz w:val="18"/>
              </w:rPr>
              <w:t>Baris</w:t>
            </w:r>
          </w:p>
        </w:tc>
        <w:tc>
          <w:tcPr>
            <w:tcW w:type="dxa" w:w="1134"/>
            <w:shd w:val="clear" w:color="auto" w:fill="1F4E79"/>
          </w:tcPr>
          <w:p>
            <w:pPr>
              <w:spacing w:after="0"/>
            </w:pPr>
            <w:r>
              <w:rPr>
                <w:b/>
                <w:color w:val="FFFFFF"/>
                <w:sz w:val="18"/>
              </w:rPr>
              <w:t>Distribusi</w:t>
            </w:r>
          </w:p>
        </w:tc>
        <w:tc>
          <w:tcPr>
            <w:tcW w:type="dxa" w:w="2608"/>
            <w:shd w:val="clear" w:color="auto" w:fill="1F4E79"/>
          </w:tcPr>
          <w:p>
            <w:pPr>
              <w:spacing w:after="0"/>
            </w:pPr>
            <w:r>
              <w:rPr>
                <w:b/>
                <w:color w:val="FFFFFF"/>
                <w:sz w:val="18"/>
              </w:rPr>
              <w:t>Yang diketik</w:t>
            </w:r>
          </w:p>
        </w:tc>
        <w:tc>
          <w:tcPr>
            <w:tcW w:type="dxa" w:w="2381"/>
            <w:shd w:val="clear" w:color="auto" w:fill="1F4E79"/>
          </w:tcPr>
          <w:p>
            <w:pPr>
              <w:spacing w:after="0"/>
            </w:pPr>
            <w:r>
              <w:rPr>
                <w:b/>
                <w:color w:val="FFFFFF"/>
                <w:sz w:val="18"/>
              </w:rPr>
              <w:t>Terisi otomatis</w:t>
            </w:r>
          </w:p>
        </w:tc>
      </w:tr>
      <w:tr>
        <w:tc>
          <w:tcPr>
            <w:tcW w:type="dxa" w:w="3515"/>
          </w:tcPr>
          <w:p>
            <w:pPr>
              <w:spacing w:after="0"/>
            </w:pPr>
            <w:r>
              <w:rPr>
                <w:sz w:val="18"/>
              </w:rPr>
              <w:t>Biaya obat (Intervensi, Komparator); Biaya per kejadian; Biaya tambahan lain (Intervensi, Komparator)</w:t>
            </w:r>
          </w:p>
        </w:tc>
        <w:tc>
          <w:tcPr>
            <w:tcW w:type="dxa" w:w="1134"/>
          </w:tcPr>
          <w:p>
            <w:pPr>
              <w:spacing w:after="0"/>
            </w:pPr>
            <w:r>
              <w:rPr>
                <w:sz w:val="18"/>
              </w:rPr>
              <w:t>Gamma</w:t>
            </w:r>
          </w:p>
        </w:tc>
        <w:tc>
          <w:tcPr>
            <w:tcW w:type="dxa" w:w="2608"/>
          </w:tcPr>
          <w:p>
            <w:pPr>
              <w:spacing w:after="0"/>
            </w:pPr>
            <w:r>
              <w:rPr>
                <w:sz w:val="18"/>
              </w:rPr>
              <w:t xml:space="preserve">SE / SD: </w:t>
            </w:r>
            <w:r>
              <w:rPr>
                <w:rFonts w:ascii="Consolas" w:hAnsi="Consolas" w:eastAsia="Consolas"/>
                <w:sz w:val="18"/>
              </w:rPr>
              <w:t>10%</w:t>
            </w:r>
          </w:p>
        </w:tc>
        <w:tc>
          <w:tcPr>
            <w:tcW w:type="dxa" w:w="2381"/>
          </w:tcPr>
          <w:p>
            <w:pPr>
              <w:spacing w:after="0"/>
            </w:pPr>
            <w:r>
              <w:rPr>
                <w:sz w:val="18"/>
              </w:rPr>
              <w:t>shape 100; scale = nilai dasar / 100</w:t>
            </w:r>
          </w:p>
        </w:tc>
      </w:tr>
      <w:tr>
        <w:tc>
          <w:tcPr>
            <w:tcW w:type="dxa" w:w="3515"/>
          </w:tcPr>
          <w:p>
            <w:pPr>
              <w:spacing w:after="0"/>
            </w:pPr>
            <w:r>
              <w:rPr>
                <w:sz w:val="18"/>
              </w:rPr>
              <w:t>Probabilitas kejadian - Intervensi</w:t>
            </w:r>
          </w:p>
        </w:tc>
        <w:tc>
          <w:tcPr>
            <w:tcW w:type="dxa" w:w="1134"/>
          </w:tcPr>
          <w:p>
            <w:pPr>
              <w:spacing w:after="0"/>
            </w:pPr>
            <w:r>
              <w:rPr>
                <w:sz w:val="18"/>
              </w:rPr>
              <w:t>Beta</w:t>
            </w:r>
          </w:p>
        </w:tc>
        <w:tc>
          <w:tcPr>
            <w:tcW w:type="dxa" w:w="2608"/>
          </w:tcPr>
          <w:p>
            <w:pPr>
              <w:spacing w:after="0"/>
            </w:pPr>
            <w:r>
              <w:rPr>
                <w:sz w:val="18"/>
              </w:rPr>
              <w:t xml:space="preserve">Parameter 1: </w:t>
            </w:r>
            <w:r>
              <w:rPr>
                <w:rFonts w:ascii="Consolas" w:hAnsi="Consolas" w:eastAsia="Consolas"/>
                <w:sz w:val="18"/>
              </w:rPr>
              <w:t>60</w:t>
            </w:r>
            <w:r>
              <w:rPr>
                <w:sz w:val="18"/>
              </w:rPr>
              <w:t xml:space="preserve">; Parameter 2: </w:t>
            </w:r>
            <w:r>
              <w:rPr>
                <w:rFonts w:ascii="Consolas" w:hAnsi="Consolas" w:eastAsia="Consolas"/>
                <w:sz w:val="18"/>
              </w:rPr>
              <w:t>140</w:t>
            </w:r>
          </w:p>
        </w:tc>
        <w:tc>
          <w:tcPr>
            <w:tcW w:type="dxa" w:w="2381"/>
          </w:tcPr>
          <w:p>
            <w:pPr>
              <w:spacing w:after="0"/>
            </w:pPr>
            <w:r>
              <w:rPr>
                <w:sz w:val="18"/>
              </w:rPr>
              <w:t>SE / SD 0.032323</w:t>
            </w:r>
          </w:p>
        </w:tc>
      </w:tr>
      <w:tr>
        <w:tc>
          <w:tcPr>
            <w:tcW w:type="dxa" w:w="3515"/>
          </w:tcPr>
          <w:p>
            <w:pPr>
              <w:spacing w:after="0"/>
            </w:pPr>
            <w:r>
              <w:rPr>
                <w:sz w:val="18"/>
              </w:rPr>
              <w:t>Probabilitas kejadian - Komparator</w:t>
            </w:r>
          </w:p>
        </w:tc>
        <w:tc>
          <w:tcPr>
            <w:tcW w:type="dxa" w:w="1134"/>
          </w:tcPr>
          <w:p>
            <w:pPr>
              <w:spacing w:after="0"/>
            </w:pPr>
            <w:r>
              <w:rPr>
                <w:sz w:val="18"/>
              </w:rPr>
              <w:t>Beta</w:t>
            </w:r>
          </w:p>
        </w:tc>
        <w:tc>
          <w:tcPr>
            <w:tcW w:type="dxa" w:w="2608"/>
          </w:tcPr>
          <w:p>
            <w:pPr>
              <w:spacing w:after="0"/>
            </w:pPr>
            <w:r>
              <w:rPr>
                <w:sz w:val="18"/>
              </w:rPr>
              <w:t xml:space="preserve">Parameter 1: </w:t>
            </w:r>
            <w:r>
              <w:rPr>
                <w:rFonts w:ascii="Consolas" w:hAnsi="Consolas" w:eastAsia="Consolas"/>
                <w:sz w:val="18"/>
              </w:rPr>
              <w:t>90</w:t>
            </w:r>
            <w:r>
              <w:rPr>
                <w:sz w:val="18"/>
              </w:rPr>
              <w:t xml:space="preserve">; Parameter 2: </w:t>
            </w:r>
            <w:r>
              <w:rPr>
                <w:rFonts w:ascii="Consolas" w:hAnsi="Consolas" w:eastAsia="Consolas"/>
                <w:sz w:val="18"/>
              </w:rPr>
              <w:t>110</w:t>
            </w:r>
          </w:p>
        </w:tc>
        <w:tc>
          <w:tcPr>
            <w:tcW w:type="dxa" w:w="2381"/>
          </w:tcPr>
          <w:p>
            <w:pPr>
              <w:spacing w:after="0"/>
            </w:pPr>
            <w:r>
              <w:rPr>
                <w:sz w:val="18"/>
              </w:rPr>
              <w:t>SE / SD 0.0350905</w:t>
            </w:r>
          </w:p>
        </w:tc>
      </w:tr>
      <w:tr>
        <w:tc>
          <w:tcPr>
            <w:tcW w:type="dxa" w:w="3515"/>
          </w:tcPr>
          <w:p>
            <w:pPr>
              <w:spacing w:after="0"/>
            </w:pPr>
            <w:r>
              <w:rPr>
                <w:sz w:val="18"/>
              </w:rPr>
              <w:t>Utility dasar - Intervensi</w:t>
            </w:r>
          </w:p>
        </w:tc>
        <w:tc>
          <w:tcPr>
            <w:tcW w:type="dxa" w:w="1134"/>
          </w:tcPr>
          <w:p>
            <w:pPr>
              <w:spacing w:after="0"/>
            </w:pPr>
            <w:r>
              <w:rPr>
                <w:sz w:val="18"/>
              </w:rPr>
              <w:t>Beta</w:t>
            </w:r>
          </w:p>
        </w:tc>
        <w:tc>
          <w:tcPr>
            <w:tcW w:type="dxa" w:w="2608"/>
          </w:tcPr>
          <w:p>
            <w:pPr>
              <w:spacing w:after="0"/>
            </w:pPr>
            <w:r>
              <w:rPr>
                <w:sz w:val="18"/>
              </w:rPr>
              <w:t xml:space="preserve">SE / SD: </w:t>
            </w:r>
            <w:r>
              <w:rPr>
                <w:rFonts w:ascii="Consolas" w:hAnsi="Consolas" w:eastAsia="Consolas"/>
                <w:sz w:val="18"/>
              </w:rPr>
              <w:t>0,06</w:t>
            </w:r>
          </w:p>
        </w:tc>
        <w:tc>
          <w:tcPr>
            <w:tcW w:type="dxa" w:w="2381"/>
          </w:tcPr>
          <w:p>
            <w:pPr>
              <w:spacing w:after="0"/>
            </w:pPr>
            <w:r>
              <w:rPr>
                <w:sz w:val="18"/>
              </w:rPr>
              <w:t>alpha 36.4; beta 10.2666666667</w:t>
            </w:r>
          </w:p>
        </w:tc>
      </w:tr>
      <w:tr>
        <w:tc>
          <w:tcPr>
            <w:tcW w:type="dxa" w:w="3515"/>
          </w:tcPr>
          <w:p>
            <w:pPr>
              <w:spacing w:after="0"/>
            </w:pPr>
            <w:r>
              <w:rPr>
                <w:sz w:val="18"/>
              </w:rPr>
              <w:t>Utility dasar - Komparator</w:t>
            </w:r>
          </w:p>
        </w:tc>
        <w:tc>
          <w:tcPr>
            <w:tcW w:type="dxa" w:w="1134"/>
          </w:tcPr>
          <w:p>
            <w:pPr>
              <w:spacing w:after="0"/>
            </w:pPr>
            <w:r>
              <w:rPr>
                <w:sz w:val="18"/>
              </w:rPr>
              <w:t>Beta</w:t>
            </w:r>
          </w:p>
        </w:tc>
        <w:tc>
          <w:tcPr>
            <w:tcW w:type="dxa" w:w="2608"/>
          </w:tcPr>
          <w:p>
            <w:pPr>
              <w:spacing w:after="0"/>
            </w:pPr>
            <w:r>
              <w:rPr>
                <w:sz w:val="18"/>
              </w:rPr>
              <w:t xml:space="preserve">SE / SD: </w:t>
            </w:r>
            <w:r>
              <w:rPr>
                <w:rFonts w:ascii="Consolas" w:hAnsi="Consolas" w:eastAsia="Consolas"/>
                <w:sz w:val="18"/>
              </w:rPr>
              <w:t>0,06</w:t>
            </w:r>
          </w:p>
        </w:tc>
        <w:tc>
          <w:tcPr>
            <w:tcW w:type="dxa" w:w="2381"/>
          </w:tcPr>
          <w:p>
            <w:pPr>
              <w:spacing w:after="0"/>
            </w:pPr>
            <w:r>
              <w:rPr>
                <w:sz w:val="18"/>
              </w:rPr>
              <w:t>alpha 38.8088888889; beta 13.6355555556</w:t>
            </w:r>
          </w:p>
        </w:tc>
      </w:tr>
      <w:tr>
        <w:tc>
          <w:tcPr>
            <w:tcW w:type="dxa" w:w="3515"/>
          </w:tcPr>
          <w:p>
            <w:pPr>
              <w:spacing w:after="0"/>
            </w:pPr>
            <w:r>
              <w:rPr>
                <w:sz w:val="18"/>
              </w:rPr>
              <w:t>Disutility kejadian</w:t>
            </w:r>
          </w:p>
        </w:tc>
        <w:tc>
          <w:tcPr>
            <w:tcW w:type="dxa" w:w="1134"/>
          </w:tcPr>
          <w:p>
            <w:pPr>
              <w:spacing w:after="0"/>
            </w:pPr>
            <w:r>
              <w:rPr>
                <w:sz w:val="18"/>
              </w:rPr>
              <w:t>Beta</w:t>
            </w:r>
          </w:p>
        </w:tc>
        <w:tc>
          <w:tcPr>
            <w:tcW w:type="dxa" w:w="2608"/>
          </w:tcPr>
          <w:p>
            <w:pPr>
              <w:spacing w:after="0"/>
            </w:pPr>
            <w:r>
              <w:rPr>
                <w:sz w:val="18"/>
              </w:rPr>
              <w:t xml:space="preserve">SE / SD: </w:t>
            </w:r>
            <w:r>
              <w:rPr>
                <w:rFonts w:ascii="Consolas" w:hAnsi="Consolas" w:eastAsia="Consolas"/>
                <w:sz w:val="18"/>
              </w:rPr>
              <w:t>0,03</w:t>
            </w:r>
          </w:p>
        </w:tc>
        <w:tc>
          <w:tcPr>
            <w:tcW w:type="dxa" w:w="2381"/>
          </w:tcPr>
          <w:p>
            <w:pPr>
              <w:spacing w:after="0"/>
            </w:pPr>
            <w:r>
              <w:rPr>
                <w:sz w:val="18"/>
              </w:rPr>
              <w:t>alpha 9.9; beta 89.1</w:t>
            </w:r>
          </w:p>
        </w:tc>
      </w:tr>
    </w:tbl>
    <w:p>
      <w:pPr>
        <w:spacing w:after="0"/>
      </w:pPr>
    </w:p>
    <w:p>
      <w:pPr>
        <w:tabs>
          <w:tab w:pos="425" w:val="left"/>
        </w:tabs>
        <w:spacing w:after="60"/>
        <w:ind w:left="425" w:hanging="425"/>
      </w:pPr>
      <w:r>
        <w:rPr/>
        <w:t>1.</w:t>
        <w:tab/>
        <w:t xml:space="preserve">Buka tab </w:t>
      </w:r>
      <w:r>
        <w:rPr>
          <w:b/>
        </w:rPr>
        <w:t>PSA</w:t>
      </w:r>
      <w:r>
        <w:rPr/>
        <w:t xml:space="preserve"> dan gulir ke kartu </w:t>
      </w:r>
      <w:r>
        <w:rPr>
          <w:b/>
        </w:rPr>
        <w:t>Distribusi Parameter PSA</w:t>
      </w:r>
      <w:r>
        <w:rPr/>
        <w:t>.</w:t>
      </w:r>
    </w:p>
    <w:p>
      <w:pPr>
        <w:tabs>
          <w:tab w:pos="425" w:val="left"/>
        </w:tabs>
        <w:spacing w:after="60"/>
        <w:ind w:left="425" w:hanging="425"/>
      </w:pPr>
      <w:r>
        <w:rPr/>
        <w:t>2.</w:t>
        <w:tab/>
        <w:t>Isi kesepuluh baris sesuai Tabel di atas.</w:t>
      </w:r>
    </w:p>
    <w:p>
      <w:pPr>
        <w:tabs>
          <w:tab w:pos="425" w:val="left"/>
        </w:tabs>
        <w:spacing w:after="60"/>
        <w:ind w:left="425" w:hanging="425"/>
      </w:pPr>
      <w:r>
        <w:rPr/>
        <w:t>3.</w:t>
        <w:tab/>
        <w:t xml:space="preserve">Periksa kolom </w:t>
      </w:r>
      <w:r>
        <w:rPr>
          <w:b/>
        </w:rPr>
        <w:t>Mean distribusi</w:t>
      </w:r>
      <w:r>
        <w:rPr/>
        <w:t xml:space="preserve">: nilainya harus sama dengan </w:t>
      </w:r>
      <w:r>
        <w:rPr>
          <w:b/>
        </w:rPr>
        <w:t>Nilai dasar</w:t>
      </w:r>
      <w:r>
        <w:rPr/>
        <w:t>.</w:t>
      </w:r>
    </w:p>
    <w:p>
      <w:pPr>
        <w:tabs>
          <w:tab w:pos="425" w:val="left"/>
        </w:tabs>
        <w:spacing w:after="60"/>
        <w:ind w:left="425" w:hanging="425"/>
      </w:pPr>
      <w:r>
        <w:rPr/>
        <w:t>4.</w:t>
        <w:tab/>
        <w:t xml:space="preserve">Klik </w:t>
      </w:r>
      <w:r>
        <w:rPr>
          <w:b/>
        </w:rPr>
        <w:t>Simpan Distribusi</w:t>
      </w:r>
      <w:r>
        <w:rPr/>
        <w:t>.</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FFF3D6"/>
          </w:tcPr>
          <w:p>
            <w:pPr>
              <w:spacing w:after="40"/>
            </w:pPr>
            <w:r>
              <w:rPr>
                <w:b/>
                <w:sz w:val="20"/>
              </w:rPr>
              <w:t>Mengapa mengetik 10% dan bukan angka SE dari paket</w:t>
            </w:r>
          </w:p>
          <w:p>
            <w:pPr>
              <w:spacing w:after="40"/>
            </w:pPr>
            <w:r>
              <w:rPr>
                <w:sz w:val="20"/>
              </w:rPr>
              <w:t xml:space="preserve">Paket menulis SE biaya obat per bulan (120.000 untuk ARNI), sedangkan nilai dasar di dashboard per tahun. Mengetik 120000 berarti SE hanya 0,83% dari nilai dasar. Mengetik </w:t>
            </w:r>
            <w:r>
              <w:rPr>
                <w:rFonts w:ascii="Consolas" w:hAnsi="Consolas" w:eastAsia="Consolas"/>
                <w:sz w:val="20"/>
              </w:rPr>
              <w:t>10%</w:t>
            </w:r>
            <w:r>
              <w:rPr>
                <w:sz w:val="20"/>
              </w:rPr>
              <w:t xml:space="preserve"> selalu benar karena dihitung dari nilai dasar yang tersimpan.</w:t>
            </w:r>
          </w:p>
          <w:p>
            <w:pPr>
              <w:spacing w:after="40"/>
            </w:pPr>
            <w:r>
              <w:rPr>
                <w:sz w:val="20"/>
              </w:rPr>
              <w:t xml:space="preserve">Baris kecil di bawah isian SE / SD menampilkan nilai yang terbaca, misalnya "= 1.440.000 (10% nilai dasar)". Bacalah baris itu: titik adalah tanda desimal, sehingga </w:t>
            </w:r>
            <w:r>
              <w:rPr>
                <w:rFonts w:ascii="Consolas" w:hAnsi="Consolas" w:eastAsia="Consolas"/>
                <w:sz w:val="20"/>
              </w:rPr>
              <w:t>600.000</w:t>
            </w:r>
            <w:r>
              <w:rPr>
                <w:sz w:val="20"/>
              </w:rPr>
              <w:t xml:space="preserve"> terbaca sebagai 600.</w:t>
            </w:r>
          </w:p>
          <w:p>
            <w:pPr>
              <w:spacing w:after="40"/>
            </w:pPr>
            <w:r>
              <w:rPr>
                <w:sz w:val="20"/>
              </w:rPr>
              <w:t>Beta hanya tersedia untuk probabilitas, utility dan disutility. Gamma dan Log-normal hanya tersedia untuk biaya.</w:t>
            </w:r>
          </w:p>
        </w:tc>
      </w:tr>
    </w:tbl>
    <w:p>
      <w:pPr>
        <w:spacing w:after="0"/>
      </w:pPr>
    </w:p>
    <w:p>
      <w:pPr>
        <w:keepNext/>
        <w:spacing w:after="40"/>
        <w:jc w:val="center"/>
      </w:pPr>
      <w:r>
        <w:drawing>
          <wp:inline xmlns:a="http://schemas.openxmlformats.org/drawingml/2006/main" xmlns:pic="http://schemas.openxmlformats.org/drawingml/2006/picture">
            <wp:extent cx="4924652" cy="3962264"/>
            <wp:docPr id="13" name="Picture 13"/>
            <wp:cNvGraphicFramePr>
              <a:graphicFrameLocks noChangeAspect="1"/>
            </wp:cNvGraphicFramePr>
            <a:graphic>
              <a:graphicData uri="http://schemas.openxmlformats.org/drawingml/2006/picture">
                <pic:pic>
                  <pic:nvPicPr>
                    <pic:cNvPr id="0" name="13-psa-awal-13.png"/>
                    <pic:cNvPicPr/>
                  </pic:nvPicPr>
                  <pic:blipFill>
                    <a:blip r:embed="rId22"/>
                    <a:stretch>
                      <a:fillRect/>
                    </a:stretch>
                  </pic:blipFill>
                  <pic:spPr>
                    <a:xfrm>
                      <a:off x="0" y="0"/>
                      <a:ext cx="4924652" cy="3962264"/>
                    </a:xfrm>
                    <a:prstGeom prst="rect"/>
                  </pic:spPr>
                </pic:pic>
              </a:graphicData>
            </a:graphic>
          </wp:inline>
        </w:drawing>
      </w:r>
    </w:p>
    <w:p>
      <w:pPr>
        <w:spacing w:after="200"/>
        <w:jc w:val="center"/>
      </w:pPr>
      <w:r>
        <w:rPr>
          <w:b/>
          <w:color w:val="595959"/>
          <w:sz w:val="18"/>
        </w:rPr>
        <w:t>Gambar 13.</w:t>
      </w:r>
      <w:r>
        <w:rPr>
          <w:color w:val="595959"/>
          <w:sz w:val="18"/>
        </w:rPr>
        <w:t xml:space="preserve"> Kartu distribusi pada kasus baru: semua parameter masih Tetap.</w:t>
      </w:r>
    </w:p>
    <w:p>
      <w:pPr>
        <w:keepNext/>
        <w:spacing w:after="40"/>
        <w:jc w:val="center"/>
      </w:pPr>
      <w:r>
        <w:drawing>
          <wp:inline xmlns:a="http://schemas.openxmlformats.org/drawingml/2006/main" xmlns:pic="http://schemas.openxmlformats.org/drawingml/2006/picture">
            <wp:extent cx="6120000" cy="5398099"/>
            <wp:docPr id="14" name="Picture 14"/>
            <wp:cNvGraphicFramePr>
              <a:graphicFrameLocks noChangeAspect="1"/>
            </wp:cNvGraphicFramePr>
            <a:graphic>
              <a:graphicData uri="http://schemas.openxmlformats.org/drawingml/2006/picture">
                <pic:pic>
                  <pic:nvPicPr>
                    <pic:cNvPr id="0" name="14-psa-distribusi-14.png"/>
                    <pic:cNvPicPr/>
                  </pic:nvPicPr>
                  <pic:blipFill>
                    <a:blip r:embed="rId23"/>
                    <a:stretch>
                      <a:fillRect/>
                    </a:stretch>
                  </pic:blipFill>
                  <pic:spPr>
                    <a:xfrm>
                      <a:off x="0" y="0"/>
                      <a:ext cx="6120000" cy="5398099"/>
                    </a:xfrm>
                    <a:prstGeom prst="rect"/>
                  </pic:spPr>
                </pic:pic>
              </a:graphicData>
            </a:graphic>
          </wp:inline>
        </w:drawing>
      </w:r>
    </w:p>
    <w:p>
      <w:pPr>
        <w:spacing w:after="200"/>
        <w:jc w:val="center"/>
      </w:pPr>
      <w:r>
        <w:rPr>
          <w:b/>
          <w:color w:val="595959"/>
          <w:sz w:val="18"/>
        </w:rPr>
        <w:t>Gambar 14.</w:t>
      </w:r>
      <w:r>
        <w:rPr>
          <w:color w:val="595959"/>
          <w:sz w:val="18"/>
        </w:rPr>
        <w:t xml:space="preserve"> Kesepuluh distribusi terisi, sebelum disimpan.</w:t>
      </w:r>
    </w:p>
    <w:p>
      <w:pPr>
        <w:pStyle w:val="Heading2"/>
      </w:pPr>
      <w:r>
        <w:t>5.2 Menjalankan PSA (langkah 35, 36 dan 40)</w:t>
      </w:r>
    </w:p>
    <w:p>
      <w:pPr>
        <w:tabs>
          <w:tab w:pos="425" w:val="left"/>
        </w:tabs>
        <w:spacing w:after="60"/>
        <w:ind w:left="425" w:hanging="425"/>
      </w:pPr>
      <w:r>
        <w:rPr/>
        <w:t>1.</w:t>
        <w:tab/>
        <w:t xml:space="preserve">Pada kartu </w:t>
      </w:r>
      <w:r>
        <w:rPr>
          <w:b/>
        </w:rPr>
        <w:t>Jalankan PSA</w:t>
      </w:r>
      <w:r>
        <w:rPr/>
        <w:t xml:space="preserve">, isi </w:t>
      </w:r>
      <w:r>
        <w:rPr>
          <w:b/>
        </w:rPr>
        <w:t>Iterasi</w:t>
      </w:r>
      <w:r>
        <w:rPr/>
        <w:t xml:space="preserve"> </w:t>
      </w:r>
      <w:r>
        <w:rPr>
          <w:rFonts w:ascii="Consolas" w:hAnsi="Consolas" w:eastAsia="Consolas"/>
        </w:rPr>
        <w:t>5000</w:t>
      </w:r>
      <w:r>
        <w:rPr/>
        <w:t xml:space="preserve"> dan </w:t>
      </w:r>
      <w:r>
        <w:rPr>
          <w:b/>
        </w:rPr>
        <w:t>Seed</w:t>
      </w:r>
      <w:r>
        <w:rPr/>
        <w:t xml:space="preserve"> </w:t>
      </w:r>
      <w:r>
        <w:rPr>
          <w:rFonts w:ascii="Consolas" w:hAnsi="Consolas" w:eastAsia="Consolas"/>
        </w:rPr>
        <w:t>42</w:t>
      </w:r>
      <w:r>
        <w:rPr/>
        <w:t>.</w:t>
      </w:r>
    </w:p>
    <w:p>
      <w:pPr>
        <w:tabs>
          <w:tab w:pos="425" w:val="left"/>
        </w:tabs>
        <w:spacing w:after="60"/>
        <w:ind w:left="425" w:hanging="425"/>
      </w:pPr>
      <w:r>
        <w:rPr/>
        <w:t>2.</w:t>
        <w:tab/>
        <w:t xml:space="preserve">Klik </w:t>
      </w:r>
      <w:r>
        <w:rPr>
          <w:b/>
        </w:rPr>
        <w:t>Hitung PSA</w:t>
      </w:r>
      <w:r>
        <w:rPr/>
        <w:t>. Tombol ini tidak aktif selama ada perubahan distribusi yang belum disimpan.</w:t>
      </w:r>
    </w:p>
    <w:p>
      <w:pPr>
        <w:tabs>
          <w:tab w:pos="425" w:val="left"/>
        </w:tabs>
        <w:spacing w:after="60"/>
        <w:ind w:left="425" w:hanging="425"/>
      </w:pPr>
      <w:r>
        <w:rPr/>
        <w:t>3.</w:t>
        <w:tab/>
        <w:t>Ringkasan hasil, bidang cost-effectiveness dan kurva CEAC tampil di bagian atas tab.</w:t>
      </w:r>
    </w:p>
    <w:p>
      <w:pPr>
        <w:keepNext/>
        <w:spacing w:after="40"/>
        <w:jc w:val="center"/>
      </w:pPr>
      <w:r>
        <w:drawing>
          <wp:inline xmlns:a="http://schemas.openxmlformats.org/drawingml/2006/main" xmlns:pic="http://schemas.openxmlformats.org/drawingml/2006/picture">
            <wp:extent cx="6120000" cy="513592"/>
            <wp:docPr id="15" name="Picture 15"/>
            <wp:cNvGraphicFramePr>
              <a:graphicFrameLocks noChangeAspect="1"/>
            </wp:cNvGraphicFramePr>
            <a:graphic>
              <a:graphicData uri="http://schemas.openxmlformats.org/drawingml/2006/picture">
                <pic:pic>
                  <pic:nvPicPr>
                    <pic:cNvPr id="0" name="15-psa-jalankan-15.png"/>
                    <pic:cNvPicPr/>
                  </pic:nvPicPr>
                  <pic:blipFill>
                    <a:blip r:embed="rId24"/>
                    <a:stretch>
                      <a:fillRect/>
                    </a:stretch>
                  </pic:blipFill>
                  <pic:spPr>
                    <a:xfrm>
                      <a:off x="0" y="0"/>
                      <a:ext cx="6120000" cy="513592"/>
                    </a:xfrm>
                    <a:prstGeom prst="rect"/>
                  </pic:spPr>
                </pic:pic>
              </a:graphicData>
            </a:graphic>
          </wp:inline>
        </w:drawing>
      </w:r>
    </w:p>
    <w:p>
      <w:pPr>
        <w:spacing w:after="200"/>
        <w:jc w:val="center"/>
      </w:pPr>
      <w:r>
        <w:rPr>
          <w:b/>
          <w:color w:val="595959"/>
          <w:sz w:val="18"/>
        </w:rPr>
        <w:t>Gambar 15.</w:t>
      </w:r>
      <w:r>
        <w:rPr>
          <w:color w:val="595959"/>
          <w:sz w:val="18"/>
        </w:rPr>
        <w:t xml:space="preserve"> Pengaturan iterasi dan seed.</w:t>
      </w:r>
    </w:p>
    <w:p>
      <w:pPr>
        <w:keepNext/>
        <w:spacing w:after="40"/>
        <w:jc w:val="center"/>
      </w:pPr>
      <w:r>
        <w:drawing>
          <wp:inline xmlns:a="http://schemas.openxmlformats.org/drawingml/2006/main" xmlns:pic="http://schemas.openxmlformats.org/drawingml/2006/picture">
            <wp:extent cx="6050847" cy="3785330"/>
            <wp:docPr id="16" name="Picture 16"/>
            <wp:cNvGraphicFramePr>
              <a:graphicFrameLocks noChangeAspect="1"/>
            </wp:cNvGraphicFramePr>
            <a:graphic>
              <a:graphicData uri="http://schemas.openxmlformats.org/drawingml/2006/picture">
                <pic:pic>
                  <pic:nvPicPr>
                    <pic:cNvPr id="0" name="16-psa-hasil-16.png"/>
                    <pic:cNvPicPr/>
                  </pic:nvPicPr>
                  <pic:blipFill>
                    <a:blip r:embed="rId25"/>
                    <a:stretch>
                      <a:fillRect/>
                    </a:stretch>
                  </pic:blipFill>
                  <pic:spPr>
                    <a:xfrm>
                      <a:off x="0" y="0"/>
                      <a:ext cx="6050847" cy="3785330"/>
                    </a:xfrm>
                    <a:prstGeom prst="rect"/>
                  </pic:spPr>
                </pic:pic>
              </a:graphicData>
            </a:graphic>
          </wp:inline>
        </w:drawing>
      </w:r>
    </w:p>
    <w:p>
      <w:pPr>
        <w:spacing w:after="200"/>
        <w:jc w:val="center"/>
      </w:pPr>
      <w:r>
        <w:rPr>
          <w:b/>
          <w:color w:val="595959"/>
          <w:sz w:val="18"/>
        </w:rPr>
        <w:t>Gambar 16.</w:t>
      </w:r>
      <w:r>
        <w:rPr>
          <w:color w:val="595959"/>
          <w:sz w:val="18"/>
        </w:rPr>
        <w:t xml:space="preserve"> Hasil PSA: ringkasan, bidang cost-effectiveness, dan CEAC.</w:t>
      </w:r>
    </w:p>
    <w:p>
      <w:pPr>
        <w:keepNext/>
        <w:spacing w:after="60"/>
      </w:pPr>
      <w:r>
        <w:rPr>
          <w:b/>
          <w:sz w:val="19"/>
        </w:rPr>
        <w:t>Tabel 8.</w:t>
      </w:r>
      <w:r>
        <w:rPr>
          <w:sz w:val="19"/>
        </w:rPr>
        <w:t xml:space="preserve"> Hasil PSA dibanding kunci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3742"/>
            <w:shd w:val="clear" w:color="auto" w:fill="1F4E79"/>
          </w:tcPr>
          <w:p>
            <w:pPr>
              <w:spacing w:after="0"/>
            </w:pPr>
            <w:r>
              <w:rPr>
                <w:b/>
                <w:color w:val="FFFFFF"/>
                <w:sz w:val="18"/>
              </w:rPr>
              <w:t>Keluaran</w:t>
            </w:r>
          </w:p>
        </w:tc>
        <w:tc>
          <w:tcPr>
            <w:tcW w:type="dxa" w:w="1928"/>
            <w:shd w:val="clear" w:color="auto" w:fill="1F4E79"/>
          </w:tcPr>
          <w:p>
            <w:pPr>
              <w:spacing w:after="0"/>
            </w:pPr>
            <w:r>
              <w:rPr>
                <w:b/>
                <w:color w:val="FFFFFF"/>
                <w:sz w:val="18"/>
              </w:rPr>
              <w:t>Dashboard</w:t>
            </w:r>
          </w:p>
        </w:tc>
        <w:tc>
          <w:tcPr>
            <w:tcW w:type="dxa" w:w="1928"/>
            <w:shd w:val="clear" w:color="auto" w:fill="1F4E79"/>
          </w:tcPr>
          <w:p>
            <w:pPr>
              <w:spacing w:after="0"/>
            </w:pPr>
            <w:r>
              <w:rPr>
                <w:b/>
                <w:color w:val="FFFFFF"/>
                <w:sz w:val="18"/>
              </w:rPr>
              <w:t>Kunci instruktur</w:t>
            </w:r>
          </w:p>
        </w:tc>
        <w:tc>
          <w:tcPr>
            <w:tcW w:type="dxa" w:w="2041"/>
            <w:shd w:val="clear" w:color="auto" w:fill="1F4E79"/>
          </w:tcPr>
          <w:p>
            <w:pPr>
              <w:spacing w:after="0"/>
            </w:pPr>
            <w:r>
              <w:rPr>
                <w:b/>
                <w:color w:val="FFFFFF"/>
                <w:sz w:val="18"/>
              </w:rPr>
              <w:t>Status</w:t>
            </w:r>
          </w:p>
        </w:tc>
      </w:tr>
      <w:tr>
        <w:tc>
          <w:tcPr>
            <w:tcW w:type="dxa" w:w="3742"/>
          </w:tcPr>
          <w:p>
            <w:pPr>
              <w:spacing w:after="0"/>
            </w:pPr>
            <w:r>
              <w:rPr>
                <w:sz w:val="18"/>
              </w:rPr>
              <w:t>Probabilitas cost-effective pada WTP Rp300 juta</w:t>
            </w:r>
          </w:p>
        </w:tc>
        <w:tc>
          <w:tcPr>
            <w:tcW w:type="dxa" w:w="1928"/>
          </w:tcPr>
          <w:p>
            <w:pPr>
              <w:spacing w:after="0"/>
            </w:pPr>
            <w:r>
              <w:rPr>
                <w:sz w:val="18"/>
              </w:rPr>
              <w:t>56,02%</w:t>
            </w:r>
          </w:p>
        </w:tc>
        <w:tc>
          <w:tcPr>
            <w:tcW w:type="dxa" w:w="1928"/>
          </w:tcPr>
          <w:p>
            <w:pPr>
              <w:spacing w:after="0"/>
            </w:pPr>
            <w:r>
              <w:rPr>
                <w:sz w:val="18"/>
              </w:rPr>
              <w:t>56,34%</w:t>
            </w:r>
          </w:p>
        </w:tc>
        <w:tc>
          <w:tcPr>
            <w:tcW w:type="dxa" w:w="2041"/>
          </w:tcPr>
          <w:p>
            <w:pPr>
              <w:spacing w:after="0"/>
            </w:pPr>
            <w:r>
              <w:rPr>
                <w:sz w:val="18"/>
              </w:rPr>
              <w:t>Dalam toleransi</w:t>
            </w:r>
          </w:p>
        </w:tc>
      </w:tr>
      <w:tr>
        <w:tc>
          <w:tcPr>
            <w:tcW w:type="dxa" w:w="3742"/>
          </w:tcPr>
          <w:p>
            <w:pPr>
              <w:spacing w:after="0"/>
            </w:pPr>
            <w:r>
              <w:rPr>
                <w:sz w:val="18"/>
              </w:rPr>
              <w:t>Rata-rata incremental cost</w:t>
            </w:r>
          </w:p>
        </w:tc>
        <w:tc>
          <w:tcPr>
            <w:tcW w:type="dxa" w:w="1928"/>
          </w:tcPr>
          <w:p>
            <w:pPr>
              <w:spacing w:after="0"/>
            </w:pPr>
            <w:r>
              <w:rPr>
                <w:sz w:val="18"/>
              </w:rPr>
              <w:t>Rp12.414.195</w:t>
            </w:r>
          </w:p>
        </w:tc>
        <w:tc>
          <w:tcPr>
            <w:tcW w:type="dxa" w:w="1928"/>
          </w:tcPr>
          <w:p>
            <w:pPr>
              <w:spacing w:after="0"/>
            </w:pPr>
            <w:r>
              <w:rPr>
                <w:sz w:val="18"/>
              </w:rPr>
              <w:t>Rp12.407.194</w:t>
            </w:r>
          </w:p>
        </w:tc>
        <w:tc>
          <w:tcPr>
            <w:tcW w:type="dxa" w:w="2041"/>
          </w:tcPr>
          <w:p>
            <w:pPr>
              <w:spacing w:after="0"/>
            </w:pPr>
            <w:r>
              <w:rPr>
                <w:sz w:val="18"/>
              </w:rPr>
              <w:t>Dalam toleransi</w:t>
            </w:r>
          </w:p>
        </w:tc>
      </w:tr>
      <w:tr>
        <w:tc>
          <w:tcPr>
            <w:tcW w:type="dxa" w:w="3742"/>
          </w:tcPr>
          <w:p>
            <w:pPr>
              <w:spacing w:after="0"/>
            </w:pPr>
            <w:r>
              <w:rPr>
                <w:sz w:val="18"/>
              </w:rPr>
              <w:t>Rata-rata incremental QALY</w:t>
            </w:r>
          </w:p>
        </w:tc>
        <w:tc>
          <w:tcPr>
            <w:tcW w:type="dxa" w:w="1928"/>
          </w:tcPr>
          <w:p>
            <w:pPr>
              <w:spacing w:after="0"/>
            </w:pPr>
            <w:r>
              <w:rPr>
                <w:sz w:val="18"/>
              </w:rPr>
              <w:t>0,0540</w:t>
            </w:r>
          </w:p>
        </w:tc>
        <w:tc>
          <w:tcPr>
            <w:tcW w:type="dxa" w:w="1928"/>
          </w:tcPr>
          <w:p>
            <w:pPr>
              <w:spacing w:after="0"/>
            </w:pPr>
            <w:r>
              <w:rPr>
                <w:sz w:val="18"/>
              </w:rPr>
              <w:t>0,0546</w:t>
            </w:r>
          </w:p>
        </w:tc>
        <w:tc>
          <w:tcPr>
            <w:tcW w:type="dxa" w:w="2041"/>
          </w:tcPr>
          <w:p>
            <w:pPr>
              <w:spacing w:after="0"/>
            </w:pPr>
            <w:r>
              <w:rPr>
                <w:sz w:val="18"/>
              </w:rPr>
              <w:t>Dalam toleransi</w:t>
            </w:r>
          </w:p>
        </w:tc>
      </w:tr>
    </w:tbl>
    <w:p>
      <w:pPr>
        <w:spacing w:after="0"/>
      </w:pPr>
    </w:p>
    <w:p>
      <w:r>
        <w:rPr/>
        <w:t>Angka PSA tidak harus persis sama dengan kunci, karena pembangkit bilangan acak dashboard berbeda dari yang dipakai menyusun paket. Paket sendiri menyebut selisih beberapa poin masih wajar. Yang harus sama adalah input, arah dan tafsirannya: hasil deterministik tampak menguntungkan, tetapi peluang cost-effective hanya sekitar 56%. Dengan seed yang sama, dashboard selalu memberi angka yang sama.</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Bila parameter diubah setelah PSA dijalankan</w:t>
            </w:r>
          </w:p>
          <w:p>
            <w:pPr>
              <w:spacing w:after="40"/>
            </w:pPr>
            <w:r>
              <w:rPr>
                <w:sz w:val="20"/>
              </w:rPr>
              <w:t xml:space="preserve">Tab PSA menampilkan peringatan </w:t>
            </w:r>
            <w:r>
              <w:rPr>
                <w:b/>
                <w:sz w:val="20"/>
              </w:rPr>
              <w:t>Hasil PSA ini tidak lagi sesuai input</w:t>
            </w:r>
            <w:r>
              <w:rPr>
                <w:sz w:val="20"/>
              </w:rPr>
              <w:t>. Jalankan ulang PSA. Contohnya ada pada latihan revisi di Bab 10.</w:t>
            </w:r>
          </w:p>
        </w:tc>
      </w:tr>
    </w:tbl>
    <w:p>
      <w:pPr>
        <w:spacing w:after="0"/>
      </w:pPr>
    </w:p>
    <w:p>
      <w:r>
        <w:br w:type="page"/>
      </w:r>
    </w:p>
    <w:p>
      <w:pPr>
        <w:pStyle w:val="Heading1"/>
      </w:pPr>
      <w:r>
        <w:t>6. Menu 5 - EtD</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Analis HTA (referensi), lalu Anggota KFT (penilaian)     </w:t>
            </w:r>
            <w:r>
              <w:rPr>
                <w:b/>
                <w:sz w:val="20"/>
              </w:rPr>
              <w:t>Langkah paket:</w:t>
            </w:r>
            <w:r>
              <w:rPr>
                <w:sz w:val="20"/>
              </w:rPr>
              <w:t xml:space="preserve"> 41-49</w:t>
            </w:r>
          </w:p>
        </w:tc>
      </w:tr>
    </w:tbl>
    <w:p>
      <w:pPr>
        <w:spacing w:after="0"/>
      </w:pPr>
    </w:p>
    <w:p>
      <w:r>
        <w:rPr/>
        <w:t>Evidence-to-Decision (EtD) menimbang bukti pada sembilan domain GRADE. Analis HTA menyiapkan daftar referensi; Anggota KFT memberi penilaian untuk tiap domain. Analis HTA dapat melihat penilaian tetapi tidak dapat mengisinya.</w:t>
      </w:r>
    </w:p>
    <w:p>
      <w:pPr>
        <w:pStyle w:val="Heading2"/>
      </w:pPr>
      <w:r>
        <w:t>6.1 Referensi (Analis HTA)</w:t>
      </w:r>
    </w:p>
    <w:p>
      <w:pPr>
        <w:tabs>
          <w:tab w:pos="425" w:val="left"/>
        </w:tabs>
        <w:spacing w:after="60"/>
        <w:ind w:left="425" w:hanging="425"/>
      </w:pPr>
      <w:r>
        <w:rPr/>
        <w:t>1.</w:t>
        <w:tab/>
        <w:t xml:space="preserve">Buka tab </w:t>
      </w:r>
      <w:r>
        <w:rPr>
          <w:b/>
        </w:rPr>
        <w:t>EtD (9 domain)</w:t>
      </w:r>
      <w:r>
        <w:rPr/>
        <w:t xml:space="preserve">. Pada kartu </w:t>
      </w:r>
      <w:r>
        <w:rPr>
          <w:b/>
        </w:rPr>
        <w:t>Referensi Bukti</w:t>
      </w:r>
      <w:r>
        <w:rPr/>
        <w:t xml:space="preserve">, klik </w:t>
      </w:r>
      <w:r>
        <w:rPr>
          <w:b/>
        </w:rPr>
        <w:t>Tambah Referensi</w:t>
      </w:r>
      <w:r>
        <w:rPr/>
        <w:t>.</w:t>
      </w:r>
    </w:p>
    <w:p>
      <w:pPr>
        <w:tabs>
          <w:tab w:pos="425" w:val="left"/>
        </w:tabs>
        <w:spacing w:after="60"/>
        <w:ind w:left="425" w:hanging="425"/>
      </w:pPr>
      <w:r>
        <w:rPr/>
        <w:t>2.</w:t>
        <w:tab/>
        <w:t xml:space="preserve">Pilih </w:t>
      </w:r>
      <w:r>
        <w:rPr>
          <w:b/>
        </w:rPr>
        <w:t>Jenis</w:t>
      </w:r>
      <w:r>
        <w:rPr/>
        <w:t xml:space="preserve">, isi </w:t>
      </w:r>
      <w:r>
        <w:rPr>
          <w:b/>
        </w:rPr>
        <w:t>Sitasi (format bebas)</w:t>
      </w:r>
      <w:r>
        <w:rPr/>
        <w:t xml:space="preserve">, </w:t>
      </w:r>
      <w:r>
        <w:rPr>
          <w:b/>
        </w:rPr>
        <w:t>Tahun</w:t>
      </w:r>
      <w:r>
        <w:rPr/>
        <w:t xml:space="preserve"> dan </w:t>
      </w:r>
      <w:r>
        <w:rPr>
          <w:b/>
        </w:rPr>
        <w:t>Ringkasan bukti</w:t>
      </w:r>
      <w:r>
        <w:rPr/>
        <w:t xml:space="preserve">, lalu klik </w:t>
      </w:r>
      <w:r>
        <w:rPr>
          <w:b/>
        </w:rPr>
        <w:t>Tambah</w:t>
      </w:r>
      <w:r>
        <w:rPr/>
        <w:t>.</w:t>
      </w:r>
    </w:p>
    <w:p>
      <w:pPr>
        <w:tabs>
          <w:tab w:pos="425" w:val="left"/>
        </w:tabs>
        <w:spacing w:after="60"/>
        <w:ind w:left="425" w:hanging="425"/>
      </w:pPr>
      <w:r>
        <w:rPr/>
        <w:t>3.</w:t>
        <w:tab/>
        <w:t>Ulangi untuk keenam sumber pada sheet 12_SOURCE_REGISTER paket.</w:t>
      </w:r>
    </w:p>
    <w:p>
      <w:pPr>
        <w:keepNext/>
        <w:spacing w:after="60"/>
      </w:pPr>
      <w:r>
        <w:rPr>
          <w:b/>
          <w:sz w:val="19"/>
        </w:rPr>
        <w:t>Tabel 9.</w:t>
      </w:r>
      <w:r>
        <w:rPr>
          <w:sz w:val="19"/>
        </w:rPr>
        <w:t xml:space="preserve"> Enam referensi kasus latihan (jenis: Protokol institusi, tahun 2026)</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2"/>
            <w:shd w:val="clear" w:color="auto" w:fill="1F4E79"/>
          </w:tcPr>
          <w:p>
            <w:pPr>
              <w:spacing w:after="0"/>
            </w:pPr>
            <w:r>
              <w:rPr>
                <w:b/>
                <w:color w:val="FFFFFF"/>
                <w:sz w:val="18"/>
              </w:rPr>
              <w:t>Sitasi</w:t>
            </w:r>
          </w:p>
        </w:tc>
        <w:tc>
          <w:tcPr>
            <w:tcW w:type="dxa" w:w="6236"/>
            <w:shd w:val="clear" w:color="auto" w:fill="1F4E79"/>
          </w:tcPr>
          <w:p>
            <w:pPr>
              <w:spacing w:after="0"/>
            </w:pPr>
            <w:r>
              <w:rPr>
                <w:b/>
                <w:color w:val="FFFFFF"/>
                <w:sz w:val="18"/>
              </w:rPr>
              <w:t>Ringkasan bukti</w:t>
            </w:r>
          </w:p>
        </w:tc>
      </w:tr>
      <w:tr>
        <w:tc>
          <w:tcPr>
            <w:tcW w:type="dxa" w:w="3402"/>
          </w:tcPr>
          <w:p>
            <w:pPr>
              <w:spacing w:after="0"/>
            </w:pPr>
            <w:r>
              <w:rPr>
                <w:sz w:val="18"/>
              </w:rPr>
              <w:t>SRC-DEMO-01 Farmasi demo (sintetis, 2026)</w:t>
            </w:r>
          </w:p>
        </w:tc>
        <w:tc>
          <w:tcPr>
            <w:tcW w:type="dxa" w:w="6236"/>
          </w:tcPr>
          <w:p>
            <w:pPr>
              <w:spacing w:after="0"/>
            </w:pPr>
            <w:r>
              <w:rPr>
                <w:sz w:val="18"/>
              </w:rPr>
              <w:t>Harga ARNI dan ramipril. Harga latihan saja; bukan harga aktual RS/e-catalogue.</w:t>
            </w:r>
          </w:p>
        </w:tc>
      </w:tr>
      <w:tr>
        <w:tc>
          <w:tcPr>
            <w:tcW w:type="dxa" w:w="3402"/>
          </w:tcPr>
          <w:p>
            <w:pPr>
              <w:spacing w:after="0"/>
            </w:pPr>
            <w:r>
              <w:rPr>
                <w:sz w:val="18"/>
              </w:rPr>
              <w:t>SRC-DEMO-02 RWE demo (sintetis, 2026)</w:t>
            </w:r>
          </w:p>
        </w:tc>
        <w:tc>
          <w:tcPr>
            <w:tcW w:type="dxa" w:w="6236"/>
          </w:tcPr>
          <w:p>
            <w:pPr>
              <w:spacing w:after="0"/>
            </w:pPr>
            <w:r>
              <w:rPr>
                <w:sz w:val="18"/>
              </w:rPr>
              <w:t>Probabilitas rehospitalisasi 0,30 vs 0,45 per tahun. Bukan data pasien nyata.</w:t>
            </w:r>
          </w:p>
        </w:tc>
      </w:tr>
      <w:tr>
        <w:tc>
          <w:tcPr>
            <w:tcW w:type="dxa" w:w="3402"/>
          </w:tcPr>
          <w:p>
            <w:pPr>
              <w:spacing w:after="0"/>
            </w:pPr>
            <w:r>
              <w:rPr>
                <w:sz w:val="18"/>
              </w:rPr>
              <w:t>SRC-DEMO-03 Billing demo (sintetis, 2026)</w:t>
            </w:r>
          </w:p>
        </w:tc>
        <w:tc>
          <w:tcPr>
            <w:tcW w:type="dxa" w:w="6236"/>
          </w:tcPr>
          <w:p>
            <w:pPr>
              <w:spacing w:after="0"/>
            </w:pPr>
            <w:r>
              <w:rPr>
                <w:sz w:val="18"/>
              </w:rPr>
              <w:t>Biaya rehospitalisasi Rp6.000.000/event. Bukan tarif aktual.</w:t>
            </w:r>
          </w:p>
        </w:tc>
      </w:tr>
      <w:tr>
        <w:tc>
          <w:tcPr>
            <w:tcW w:type="dxa" w:w="3402"/>
          </w:tcPr>
          <w:p>
            <w:pPr>
              <w:spacing w:after="0"/>
            </w:pPr>
            <w:r>
              <w:rPr>
                <w:sz w:val="18"/>
              </w:rPr>
              <w:t>SRC-DEMO-04 Utility demo (sintetis, 2026)</w:t>
            </w:r>
          </w:p>
        </w:tc>
        <w:tc>
          <w:tcPr>
            <w:tcW w:type="dxa" w:w="6236"/>
          </w:tcPr>
          <w:p>
            <w:pPr>
              <w:spacing w:after="0"/>
            </w:pPr>
            <w:r>
              <w:rPr>
                <w:sz w:val="18"/>
              </w:rPr>
              <w:t>Utility 0,78 dan 0,74; disutility 0,10. Bukan EQ-5D aktual.</w:t>
            </w:r>
          </w:p>
        </w:tc>
      </w:tr>
      <w:tr>
        <w:tc>
          <w:tcPr>
            <w:tcW w:type="dxa" w:w="3402"/>
          </w:tcPr>
          <w:p>
            <w:pPr>
              <w:spacing w:after="0"/>
            </w:pPr>
            <w:r>
              <w:rPr>
                <w:sz w:val="18"/>
              </w:rPr>
              <w:t>SRC-DEMO-05 SIMRS demo (sintetis, 2026)</w:t>
            </w:r>
          </w:p>
        </w:tc>
        <w:tc>
          <w:tcPr>
            <w:tcW w:type="dxa" w:w="6236"/>
          </w:tcPr>
          <w:p>
            <w:pPr>
              <w:spacing w:after="0"/>
            </w:pPr>
            <w:r>
              <w:rPr>
                <w:sz w:val="18"/>
              </w:rPr>
              <w:t>Eligible population 200/220/240 pasien/tahun. Bukan volume nyata RS.</w:t>
            </w:r>
          </w:p>
        </w:tc>
      </w:tr>
      <w:tr>
        <w:tc>
          <w:tcPr>
            <w:tcW w:type="dxa" w:w="3402"/>
          </w:tcPr>
          <w:p>
            <w:pPr>
              <w:spacing w:after="0"/>
            </w:pPr>
            <w:r>
              <w:rPr>
                <w:sz w:val="18"/>
              </w:rPr>
              <w:t>SRC-DEMO-06 Protokol latihan (asumsi, 2026)</w:t>
            </w:r>
          </w:p>
        </w:tc>
        <w:tc>
          <w:tcPr>
            <w:tcW w:type="dxa" w:w="6236"/>
          </w:tcPr>
          <w:p>
            <w:pPr>
              <w:spacing w:after="0"/>
            </w:pPr>
            <w:r>
              <w:rPr>
                <w:sz w:val="18"/>
              </w:rPr>
              <w:t>Perspektif, horizon, WTP, uptake, seed. Ditentukan untuk tujuan pembelajaran.</w:t>
            </w:r>
          </w:p>
        </w:tc>
      </w:tr>
    </w:tbl>
    <w:p>
      <w:pPr>
        <w:spacing w:after="0"/>
      </w:pPr>
    </w:p>
    <w:p>
      <w:pPr>
        <w:keepNext/>
        <w:spacing w:after="40"/>
        <w:jc w:val="center"/>
      </w:pPr>
      <w:r>
        <w:drawing>
          <wp:inline xmlns:a="http://schemas.openxmlformats.org/drawingml/2006/main" xmlns:pic="http://schemas.openxmlformats.org/drawingml/2006/picture">
            <wp:extent cx="3697590" cy="3958876"/>
            <wp:docPr id="17" name="Picture 17"/>
            <wp:cNvGraphicFramePr>
              <a:graphicFrameLocks noChangeAspect="1"/>
            </wp:cNvGraphicFramePr>
            <a:graphic>
              <a:graphicData uri="http://schemas.openxmlformats.org/drawingml/2006/picture">
                <pic:pic>
                  <pic:nvPicPr>
                    <pic:cNvPr id="0" name="17-etd-referensi-form-17.png"/>
                    <pic:cNvPicPr/>
                  </pic:nvPicPr>
                  <pic:blipFill>
                    <a:blip r:embed="rId26"/>
                    <a:stretch>
                      <a:fillRect/>
                    </a:stretch>
                  </pic:blipFill>
                  <pic:spPr>
                    <a:xfrm>
                      <a:off x="0" y="0"/>
                      <a:ext cx="3697590" cy="3958876"/>
                    </a:xfrm>
                    <a:prstGeom prst="rect"/>
                  </pic:spPr>
                </pic:pic>
              </a:graphicData>
            </a:graphic>
          </wp:inline>
        </w:drawing>
      </w:r>
    </w:p>
    <w:p>
      <w:pPr>
        <w:spacing w:after="200"/>
        <w:jc w:val="center"/>
      </w:pPr>
      <w:r>
        <w:rPr>
          <w:b/>
          <w:color w:val="595959"/>
          <w:sz w:val="18"/>
        </w:rPr>
        <w:t>Gambar 17.</w:t>
      </w:r>
      <w:r>
        <w:rPr>
          <w:color w:val="595959"/>
          <w:sz w:val="18"/>
        </w:rPr>
        <w:t xml:space="preserve"> Formulir Tambah Referensi.</w:t>
      </w:r>
    </w:p>
    <w:p>
      <w:pPr>
        <w:keepNext/>
        <w:spacing w:after="40"/>
        <w:jc w:val="center"/>
      </w:pPr>
      <w:r>
        <w:drawing>
          <wp:inline xmlns:a="http://schemas.openxmlformats.org/drawingml/2006/main" xmlns:pic="http://schemas.openxmlformats.org/drawingml/2006/picture">
            <wp:extent cx="6120000" cy="2215986"/>
            <wp:docPr id="18" name="Picture 18"/>
            <wp:cNvGraphicFramePr>
              <a:graphicFrameLocks noChangeAspect="1"/>
            </wp:cNvGraphicFramePr>
            <a:graphic>
              <a:graphicData uri="http://schemas.openxmlformats.org/drawingml/2006/picture">
                <pic:pic>
                  <pic:nvPicPr>
                    <pic:cNvPr id="0" name="18-etd-referensi-18.png"/>
                    <pic:cNvPicPr/>
                  </pic:nvPicPr>
                  <pic:blipFill>
                    <a:blip r:embed="rId27"/>
                    <a:stretch>
                      <a:fillRect/>
                    </a:stretch>
                  </pic:blipFill>
                  <pic:spPr>
                    <a:xfrm>
                      <a:off x="0" y="0"/>
                      <a:ext cx="6120000" cy="2215986"/>
                    </a:xfrm>
                    <a:prstGeom prst="rect"/>
                  </pic:spPr>
                </pic:pic>
              </a:graphicData>
            </a:graphic>
          </wp:inline>
        </w:drawing>
      </w:r>
    </w:p>
    <w:p>
      <w:pPr>
        <w:spacing w:after="200"/>
        <w:jc w:val="center"/>
      </w:pPr>
      <w:r>
        <w:rPr>
          <w:b/>
          <w:color w:val="595959"/>
          <w:sz w:val="18"/>
        </w:rPr>
        <w:t>Gambar 18.</w:t>
      </w:r>
      <w:r>
        <w:rPr>
          <w:color w:val="595959"/>
          <w:sz w:val="18"/>
        </w:rPr>
        <w:t xml:space="preserve"> Daftar referensi setelah keenam sumber ditambahkan.</w:t>
      </w:r>
    </w:p>
    <w:p>
      <w:pPr>
        <w:pStyle w:val="Heading2"/>
      </w:pPr>
      <w:r>
        <w:t>6.2 Penilaian sembilan domain (Anggota KFT)</w:t>
      </w:r>
    </w:p>
    <w:p>
      <w:r>
        <w:rPr/>
        <w:t xml:space="preserve">Keluar dari akun Analis HTA dan masuk sebagai Anggota KFT. Tiap domain berupa satu pertanyaan yang dijawab pada skala lima pilihan, dari </w:t>
      </w:r>
      <w:r>
        <w:rPr>
          <w:b/>
        </w:rPr>
        <w:t>Tidak</w:t>
      </w:r>
      <w:r>
        <w:rPr/>
        <w:t xml:space="preserve"> sampai </w:t>
      </w:r>
      <w:r>
        <w:rPr>
          <w:b/>
        </w:rPr>
        <w:t>Ya</w:t>
      </w:r>
      <w:r>
        <w:rPr/>
        <w:t xml:space="preserve">, ditambah </w:t>
      </w:r>
      <w:r>
        <w:rPr>
          <w:b/>
        </w:rPr>
        <w:t>Kepastian bukti (GRADE)</w:t>
      </w:r>
      <w:r>
        <w:rPr/>
        <w:t>, referensi pendukung, dan pertimbangan tertulis. Penilaian baru dapat disimpan bila ada minimal satu referensi atau satu pertimbangan.</w:t>
      </w:r>
    </w:p>
    <w:p>
      <w:r>
        <w:rPr/>
        <w:t xml:space="preserve">Paket memberi judgement dengan istilah yang berbeda untuk tiap domain dan meminta pengguna memilih opsi dashboard yang paling dekat. Tabel berikut adalah padanan yang dipakai dalam panduan ini. Kepastian diisi </w:t>
      </w:r>
      <w:r>
        <w:rPr>
          <w:b/>
        </w:rPr>
        <w:t>Sedang</w:t>
      </w:r>
      <w:r>
        <w:rPr/>
        <w:t xml:space="preserve"> pada semua domain, mengikuti satu-satunya penilaian kepastian pada paket (Certainty of evidence: Moderate).</w:t>
      </w:r>
    </w:p>
    <w:p>
      <w:pPr>
        <w:keepNext/>
        <w:spacing w:after="60"/>
      </w:pPr>
      <w:r>
        <w:rPr>
          <w:b/>
          <w:sz w:val="19"/>
        </w:rPr>
        <w:t>Tabel 10.</w:t>
      </w:r>
      <w:r>
        <w:rPr>
          <w:sz w:val="19"/>
        </w:rPr>
        <w:t xml:space="preserve"> Padanan judgement paket (sheet 06_ETD) ke pilihan dashboard</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154"/>
            <w:shd w:val="clear" w:color="auto" w:fill="1F4E79"/>
          </w:tcPr>
          <w:p>
            <w:pPr>
              <w:spacing w:after="0"/>
            </w:pPr>
            <w:r>
              <w:rPr>
                <w:b/>
                <w:color w:val="FFFFFF"/>
                <w:sz w:val="18"/>
              </w:rPr>
              <w:t>Domain di dashboard</w:t>
            </w:r>
          </w:p>
        </w:tc>
        <w:tc>
          <w:tcPr>
            <w:tcW w:type="dxa" w:w="1531"/>
            <w:shd w:val="clear" w:color="auto" w:fill="1F4E79"/>
          </w:tcPr>
          <w:p>
            <w:pPr>
              <w:spacing w:after="0"/>
            </w:pPr>
            <w:r>
              <w:rPr>
                <w:b/>
                <w:color w:val="FFFFFF"/>
                <w:sz w:val="18"/>
              </w:rPr>
              <w:t>Judgement paket</w:t>
            </w:r>
          </w:p>
        </w:tc>
        <w:tc>
          <w:tcPr>
            <w:tcW w:type="dxa" w:w="1304"/>
            <w:shd w:val="clear" w:color="auto" w:fill="1F4E79"/>
          </w:tcPr>
          <w:p>
            <w:pPr>
              <w:spacing w:after="0"/>
            </w:pPr>
            <w:r>
              <w:rPr>
                <w:b/>
                <w:color w:val="FFFFFF"/>
                <w:sz w:val="18"/>
              </w:rPr>
              <w:t>Pilihan</w:t>
            </w:r>
          </w:p>
        </w:tc>
        <w:tc>
          <w:tcPr>
            <w:tcW w:type="dxa" w:w="1474"/>
            <w:shd w:val="clear" w:color="auto" w:fill="1F4E79"/>
          </w:tcPr>
          <w:p>
            <w:pPr>
              <w:spacing w:after="0"/>
            </w:pPr>
            <w:r>
              <w:rPr>
                <w:b/>
                <w:color w:val="FFFFFF"/>
                <w:sz w:val="18"/>
              </w:rPr>
              <w:t>Referensi</w:t>
            </w:r>
          </w:p>
        </w:tc>
        <w:tc>
          <w:tcPr>
            <w:tcW w:type="dxa" w:w="3175"/>
            <w:shd w:val="clear" w:color="auto" w:fill="1F4E79"/>
          </w:tcPr>
          <w:p>
            <w:pPr>
              <w:spacing w:after="0"/>
            </w:pPr>
            <w:r>
              <w:rPr>
                <w:b/>
                <w:color w:val="FFFFFF"/>
                <w:sz w:val="18"/>
              </w:rPr>
              <w:t>Pertimbangan (narasi)</w:t>
            </w:r>
          </w:p>
        </w:tc>
      </w:tr>
      <w:tr>
        <w:tc>
          <w:tcPr>
            <w:tcW w:type="dxa" w:w="2154"/>
          </w:tcPr>
          <w:p>
            <w:pPr>
              <w:spacing w:after="0"/>
            </w:pPr>
            <w:r>
              <w:rPr>
                <w:sz w:val="18"/>
              </w:rPr>
              <w:t>1. Masalah (Problem)</w:t>
            </w:r>
          </w:p>
        </w:tc>
        <w:tc>
          <w:tcPr>
            <w:tcW w:type="dxa" w:w="1531"/>
          </w:tcPr>
          <w:p>
            <w:pPr>
              <w:spacing w:after="0"/>
            </w:pPr>
            <w:r>
              <w:rPr>
                <w:sz w:val="18"/>
              </w:rPr>
              <w:t>High</w:t>
            </w:r>
          </w:p>
        </w:tc>
        <w:tc>
          <w:tcPr>
            <w:tcW w:type="dxa" w:w="1304"/>
          </w:tcPr>
          <w:p>
            <w:pPr>
              <w:spacing w:after="0"/>
            </w:pPr>
            <w:r>
              <w:rPr>
                <w:b/>
                <w:sz w:val="18"/>
              </w:rPr>
              <w:t>Ya</w:t>
            </w:r>
          </w:p>
        </w:tc>
        <w:tc>
          <w:tcPr>
            <w:tcW w:type="dxa" w:w="1474"/>
          </w:tcPr>
          <w:p>
            <w:pPr>
              <w:spacing w:after="0"/>
            </w:pPr>
            <w:r>
              <w:rPr>
                <w:sz w:val="18"/>
              </w:rPr>
              <w:t>SRC-DEMO-02</w:t>
            </w:r>
          </w:p>
        </w:tc>
        <w:tc>
          <w:tcPr>
            <w:tcW w:type="dxa" w:w="3175"/>
          </w:tcPr>
          <w:p>
            <w:pPr>
              <w:spacing w:after="0"/>
            </w:pPr>
            <w:r>
              <w:rPr>
                <w:sz w:val="18"/>
              </w:rPr>
              <w:t>HFrEF dan rehospitalisasi merupakan masalah klinis/biaya yang penting dalam kasus latihan.</w:t>
            </w:r>
          </w:p>
        </w:tc>
      </w:tr>
      <w:tr>
        <w:tc>
          <w:tcPr>
            <w:tcW w:type="dxa" w:w="2154"/>
          </w:tcPr>
          <w:p>
            <w:pPr>
              <w:spacing w:after="0"/>
            </w:pPr>
            <w:r>
              <w:rPr>
                <w:sz w:val="18"/>
              </w:rPr>
              <w:t>2. Efek yang Diinginkan</w:t>
            </w:r>
          </w:p>
        </w:tc>
        <w:tc>
          <w:tcPr>
            <w:tcW w:type="dxa" w:w="1531"/>
          </w:tcPr>
          <w:p>
            <w:pPr>
              <w:spacing w:after="0"/>
            </w:pPr>
            <w:r>
              <w:rPr>
                <w:sz w:val="18"/>
              </w:rPr>
              <w:t>Favorable</w:t>
            </w:r>
          </w:p>
        </w:tc>
        <w:tc>
          <w:tcPr>
            <w:tcW w:type="dxa" w:w="1304"/>
          </w:tcPr>
          <w:p>
            <w:pPr>
              <w:spacing w:after="0"/>
            </w:pPr>
            <w:r>
              <w:rPr>
                <w:b/>
                <w:sz w:val="18"/>
              </w:rPr>
              <w:t>Mungkin ya</w:t>
            </w:r>
          </w:p>
        </w:tc>
        <w:tc>
          <w:tcPr>
            <w:tcW w:type="dxa" w:w="1474"/>
          </w:tcPr>
          <w:p>
            <w:pPr>
              <w:spacing w:after="0"/>
            </w:pPr>
            <w:r>
              <w:rPr>
                <w:sz w:val="18"/>
              </w:rPr>
              <w:t>SRC-DEMO-02, SRC-DEMO-04</w:t>
            </w:r>
          </w:p>
        </w:tc>
        <w:tc>
          <w:tcPr>
            <w:tcW w:type="dxa" w:w="3175"/>
          </w:tcPr>
          <w:p>
            <w:pPr>
              <w:spacing w:after="0"/>
            </w:pPr>
            <w:r>
              <w:rPr>
                <w:sz w:val="18"/>
              </w:rPr>
              <w:t>Intervensi menurunkan event dan meningkatkan QALY dibanding komparator.</w:t>
            </w:r>
          </w:p>
        </w:tc>
      </w:tr>
      <w:tr>
        <w:tc>
          <w:tcPr>
            <w:tcW w:type="dxa" w:w="2154"/>
          </w:tcPr>
          <w:p>
            <w:pPr>
              <w:spacing w:after="0"/>
            </w:pPr>
            <w:r>
              <w:rPr>
                <w:sz w:val="18"/>
              </w:rPr>
              <w:t>3. Efek yang Tidak Diinginkan</w:t>
            </w:r>
          </w:p>
        </w:tc>
        <w:tc>
          <w:tcPr>
            <w:tcW w:type="dxa" w:w="1531"/>
          </w:tcPr>
          <w:p>
            <w:pPr>
              <w:spacing w:after="0"/>
            </w:pPr>
            <w:r>
              <w:rPr>
                <w:sz w:val="18"/>
              </w:rPr>
              <w:t>Acceptable with monitoring</w:t>
            </w:r>
          </w:p>
        </w:tc>
        <w:tc>
          <w:tcPr>
            <w:tcW w:type="dxa" w:w="1304"/>
          </w:tcPr>
          <w:p>
            <w:pPr>
              <w:spacing w:after="0"/>
            </w:pPr>
            <w:r>
              <w:rPr>
                <w:b/>
                <w:sz w:val="18"/>
              </w:rPr>
              <w:t>Mungkin ya</w:t>
            </w:r>
          </w:p>
        </w:tc>
        <w:tc>
          <w:tcPr>
            <w:tcW w:type="dxa" w:w="1474"/>
          </w:tcPr>
          <w:p>
            <w:pPr>
              <w:spacing w:after="0"/>
            </w:pPr>
            <w:r>
              <w:rPr>
                <w:sz w:val="18"/>
              </w:rPr>
              <w:t>-</w:t>
            </w:r>
          </w:p>
        </w:tc>
        <w:tc>
          <w:tcPr>
            <w:tcW w:type="dxa" w:w="3175"/>
          </w:tcPr>
          <w:p>
            <w:pPr>
              <w:spacing w:after="0"/>
            </w:pPr>
            <w:r>
              <w:rPr>
                <w:sz w:val="18"/>
              </w:rPr>
              <w:t>Risiko dalam latihan dianggap dapat dikelola dengan pemantauan.</w:t>
            </w:r>
          </w:p>
        </w:tc>
      </w:tr>
      <w:tr>
        <w:tc>
          <w:tcPr>
            <w:tcW w:type="dxa" w:w="2154"/>
          </w:tcPr>
          <w:p>
            <w:pPr>
              <w:spacing w:after="0"/>
            </w:pPr>
            <w:r>
              <w:rPr>
                <w:sz w:val="18"/>
              </w:rPr>
              <w:t>4. Kepastian Bukti</w:t>
            </w:r>
          </w:p>
        </w:tc>
        <w:tc>
          <w:tcPr>
            <w:tcW w:type="dxa" w:w="1531"/>
          </w:tcPr>
          <w:p>
            <w:pPr>
              <w:spacing w:after="0"/>
            </w:pPr>
            <w:r>
              <w:rPr>
                <w:sz w:val="18"/>
              </w:rPr>
              <w:t>Moderate</w:t>
            </w:r>
          </w:p>
        </w:tc>
        <w:tc>
          <w:tcPr>
            <w:tcW w:type="dxa" w:w="1304"/>
          </w:tcPr>
          <w:p>
            <w:pPr>
              <w:spacing w:after="0"/>
            </w:pPr>
            <w:r>
              <w:rPr>
                <w:b/>
                <w:sz w:val="18"/>
              </w:rPr>
              <w:t>Mungkin ya</w:t>
            </w:r>
          </w:p>
        </w:tc>
        <w:tc>
          <w:tcPr>
            <w:tcW w:type="dxa" w:w="1474"/>
          </w:tcPr>
          <w:p>
            <w:pPr>
              <w:spacing w:after="0"/>
            </w:pPr>
            <w:r>
              <w:rPr>
                <w:sz w:val="18"/>
              </w:rPr>
              <w:t>SRC-DEMO-02</w:t>
            </w:r>
          </w:p>
        </w:tc>
        <w:tc>
          <w:tcPr>
            <w:tcW w:type="dxa" w:w="3175"/>
          </w:tcPr>
          <w:p>
            <w:pPr>
              <w:spacing w:after="0"/>
            </w:pPr>
            <w:r>
              <w:rPr>
                <w:sz w:val="18"/>
              </w:rPr>
              <w:t>Masih ada ketidakpastian/residual confounding walaupun arah manfaat favorable.</w:t>
            </w:r>
          </w:p>
        </w:tc>
      </w:tr>
      <w:tr>
        <w:tc>
          <w:tcPr>
            <w:tcW w:type="dxa" w:w="2154"/>
          </w:tcPr>
          <w:p>
            <w:pPr>
              <w:spacing w:after="0"/>
            </w:pPr>
            <w:r>
              <w:rPr>
                <w:sz w:val="18"/>
              </w:rPr>
              <w:t>5. Nilai &amp; Preferensi</w:t>
            </w:r>
          </w:p>
        </w:tc>
        <w:tc>
          <w:tcPr>
            <w:tcW w:type="dxa" w:w="1531"/>
          </w:tcPr>
          <w:p>
            <w:pPr>
              <w:spacing w:after="0"/>
            </w:pPr>
            <w:r>
              <w:rPr>
                <w:sz w:val="18"/>
              </w:rPr>
              <w:t>Probably important</w:t>
            </w:r>
          </w:p>
        </w:tc>
        <w:tc>
          <w:tcPr>
            <w:tcW w:type="dxa" w:w="1304"/>
          </w:tcPr>
          <w:p>
            <w:pPr>
              <w:spacing w:after="0"/>
            </w:pPr>
            <w:r>
              <w:rPr>
                <w:b/>
                <w:sz w:val="18"/>
              </w:rPr>
              <w:t>Mungkin ya</w:t>
            </w:r>
          </w:p>
        </w:tc>
        <w:tc>
          <w:tcPr>
            <w:tcW w:type="dxa" w:w="1474"/>
          </w:tcPr>
          <w:p>
            <w:pPr>
              <w:spacing w:after="0"/>
            </w:pPr>
            <w:r>
              <w:rPr>
                <w:sz w:val="18"/>
              </w:rPr>
              <w:t>-</w:t>
            </w:r>
          </w:p>
        </w:tc>
        <w:tc>
          <w:tcPr>
            <w:tcW w:type="dxa" w:w="3175"/>
          </w:tcPr>
          <w:p>
            <w:pPr>
              <w:spacing w:after="0"/>
            </w:pPr>
            <w:r>
              <w:rPr>
                <w:sz w:val="18"/>
              </w:rPr>
              <w:t>Outcome dianggap penting bagi pasien, namun variasi preferensi dapat terjadi.</w:t>
            </w:r>
          </w:p>
        </w:tc>
      </w:tr>
      <w:tr>
        <w:tc>
          <w:tcPr>
            <w:tcW w:type="dxa" w:w="2154"/>
          </w:tcPr>
          <w:p>
            <w:pPr>
              <w:spacing w:after="0"/>
            </w:pPr>
            <w:r>
              <w:rPr>
                <w:sz w:val="18"/>
              </w:rPr>
              <w:t>6. Penggunaan Sumber Daya</w:t>
            </w:r>
          </w:p>
        </w:tc>
        <w:tc>
          <w:tcPr>
            <w:tcW w:type="dxa" w:w="1531"/>
          </w:tcPr>
          <w:p>
            <w:pPr>
              <w:spacing w:after="0"/>
            </w:pPr>
            <w:r>
              <w:rPr>
                <w:sz w:val="18"/>
              </w:rPr>
              <w:t>Moderate concern</w:t>
            </w:r>
          </w:p>
        </w:tc>
        <w:tc>
          <w:tcPr>
            <w:tcW w:type="dxa" w:w="1304"/>
          </w:tcPr>
          <w:p>
            <w:pPr>
              <w:spacing w:after="0"/>
            </w:pPr>
            <w:r>
              <w:rPr>
                <w:b/>
                <w:sz w:val="18"/>
              </w:rPr>
              <w:t>Tidak pasti</w:t>
            </w:r>
          </w:p>
        </w:tc>
        <w:tc>
          <w:tcPr>
            <w:tcW w:type="dxa" w:w="1474"/>
          </w:tcPr>
          <w:p>
            <w:pPr>
              <w:spacing w:after="0"/>
            </w:pPr>
            <w:r>
              <w:rPr>
                <w:sz w:val="18"/>
              </w:rPr>
              <w:t>SRC-DEMO-01, SRC-DEMO-03</w:t>
            </w:r>
          </w:p>
        </w:tc>
        <w:tc>
          <w:tcPr>
            <w:tcW w:type="dxa" w:w="3175"/>
          </w:tcPr>
          <w:p>
            <w:pPr>
              <w:spacing w:after="0"/>
            </w:pPr>
            <w:r>
              <w:rPr>
                <w:sz w:val="18"/>
              </w:rPr>
              <w:t>Value for money favorable pada WTP demo, tetapi affordability meningkat.</w:t>
            </w:r>
          </w:p>
        </w:tc>
      </w:tr>
      <w:tr>
        <w:tc>
          <w:tcPr>
            <w:tcW w:type="dxa" w:w="2154"/>
          </w:tcPr>
          <w:p>
            <w:pPr>
              <w:spacing w:after="0"/>
            </w:pPr>
            <w:r>
              <w:rPr>
                <w:sz w:val="18"/>
              </w:rPr>
              <w:t>7. Ekuitas</w:t>
            </w:r>
          </w:p>
        </w:tc>
        <w:tc>
          <w:tcPr>
            <w:tcW w:type="dxa" w:w="1531"/>
          </w:tcPr>
          <w:p>
            <w:pPr>
              <w:spacing w:after="0"/>
            </w:pPr>
            <w:r>
              <w:rPr>
                <w:sz w:val="18"/>
              </w:rPr>
              <w:t>Neutral / potential concern</w:t>
            </w:r>
          </w:p>
        </w:tc>
        <w:tc>
          <w:tcPr>
            <w:tcW w:type="dxa" w:w="1304"/>
          </w:tcPr>
          <w:p>
            <w:pPr>
              <w:spacing w:after="0"/>
            </w:pPr>
            <w:r>
              <w:rPr>
                <w:b/>
                <w:sz w:val="18"/>
              </w:rPr>
              <w:t>Tidak pasti</w:t>
            </w:r>
          </w:p>
        </w:tc>
        <w:tc>
          <w:tcPr>
            <w:tcW w:type="dxa" w:w="1474"/>
          </w:tcPr>
          <w:p>
            <w:pPr>
              <w:spacing w:after="0"/>
            </w:pPr>
            <w:r>
              <w:rPr>
                <w:sz w:val="18"/>
              </w:rPr>
              <w:t>-</w:t>
            </w:r>
          </w:p>
        </w:tc>
        <w:tc>
          <w:tcPr>
            <w:tcW w:type="dxa" w:w="3175"/>
          </w:tcPr>
          <w:p>
            <w:pPr>
              <w:spacing w:after="0"/>
            </w:pPr>
            <w:r>
              <w:rPr>
                <w:sz w:val="18"/>
              </w:rPr>
              <w:t>Jika diadopsi tanpa kriteria, akses dapat dipengaruhi keterbatasan anggaran.</w:t>
            </w:r>
          </w:p>
        </w:tc>
      </w:tr>
      <w:tr>
        <w:tc>
          <w:tcPr>
            <w:tcW w:type="dxa" w:w="2154"/>
          </w:tcPr>
          <w:p>
            <w:pPr>
              <w:spacing w:after="0"/>
            </w:pPr>
            <w:r>
              <w:rPr>
                <w:sz w:val="18"/>
              </w:rPr>
              <w:t>8. Kelayakan Implementasi</w:t>
            </w:r>
          </w:p>
        </w:tc>
        <w:tc>
          <w:tcPr>
            <w:tcW w:type="dxa" w:w="1531"/>
          </w:tcPr>
          <w:p>
            <w:pPr>
              <w:spacing w:after="0"/>
            </w:pPr>
            <w:r>
              <w:rPr>
                <w:sz w:val="18"/>
              </w:rPr>
              <w:t>Feasible with criteria</w:t>
            </w:r>
          </w:p>
        </w:tc>
        <w:tc>
          <w:tcPr>
            <w:tcW w:type="dxa" w:w="1304"/>
          </w:tcPr>
          <w:p>
            <w:pPr>
              <w:spacing w:after="0"/>
            </w:pPr>
            <w:r>
              <w:rPr>
                <w:b/>
                <w:sz w:val="18"/>
              </w:rPr>
              <w:t>Mungkin ya</w:t>
            </w:r>
          </w:p>
        </w:tc>
        <w:tc>
          <w:tcPr>
            <w:tcW w:type="dxa" w:w="1474"/>
          </w:tcPr>
          <w:p>
            <w:pPr>
              <w:spacing w:after="0"/>
            </w:pPr>
            <w:r>
              <w:rPr>
                <w:sz w:val="18"/>
              </w:rPr>
              <w:t>-</w:t>
            </w:r>
          </w:p>
        </w:tc>
        <w:tc>
          <w:tcPr>
            <w:tcW w:type="dxa" w:w="3175"/>
          </w:tcPr>
          <w:p>
            <w:pPr>
              <w:spacing w:after="0"/>
            </w:pPr>
            <w:r>
              <w:rPr>
                <w:sz w:val="18"/>
              </w:rPr>
              <w:t>Implementasi mungkin dilakukan dengan restriction dan monitoring.</w:t>
            </w:r>
          </w:p>
        </w:tc>
      </w:tr>
      <w:tr>
        <w:tc>
          <w:tcPr>
            <w:tcW w:type="dxa" w:w="2154"/>
          </w:tcPr>
          <w:p>
            <w:pPr>
              <w:spacing w:after="0"/>
            </w:pPr>
            <w:r>
              <w:rPr>
                <w:sz w:val="18"/>
              </w:rPr>
              <w:t>9. Penerimaan oleh Pemangku Kepentingan</w:t>
            </w:r>
          </w:p>
        </w:tc>
        <w:tc>
          <w:tcPr>
            <w:tcW w:type="dxa" w:w="1531"/>
          </w:tcPr>
          <w:p>
            <w:pPr>
              <w:spacing w:after="0"/>
            </w:pPr>
            <w:r>
              <w:rPr>
                <w:sz w:val="18"/>
              </w:rPr>
              <w:t>Mixed to favorable</w:t>
            </w:r>
          </w:p>
        </w:tc>
        <w:tc>
          <w:tcPr>
            <w:tcW w:type="dxa" w:w="1304"/>
          </w:tcPr>
          <w:p>
            <w:pPr>
              <w:spacing w:after="0"/>
            </w:pPr>
            <w:r>
              <w:rPr>
                <w:b/>
                <w:sz w:val="18"/>
              </w:rPr>
              <w:t>Mungkin ya</w:t>
            </w:r>
          </w:p>
        </w:tc>
        <w:tc>
          <w:tcPr>
            <w:tcW w:type="dxa" w:w="1474"/>
          </w:tcPr>
          <w:p>
            <w:pPr>
              <w:spacing w:after="0"/>
            </w:pPr>
            <w:r>
              <w:rPr>
                <w:sz w:val="18"/>
              </w:rPr>
              <w:t>-</w:t>
            </w:r>
          </w:p>
        </w:tc>
        <w:tc>
          <w:tcPr>
            <w:tcW w:type="dxa" w:w="3175"/>
          </w:tcPr>
          <w:p>
            <w:pPr>
              <w:spacing w:after="0"/>
            </w:pPr>
            <w:r>
              <w:rPr>
                <w:sz w:val="18"/>
              </w:rPr>
              <w:t>Penerimaan mungkin berbeda antar stakeholder karena biaya.</w:t>
            </w:r>
          </w:p>
        </w:tc>
      </w:tr>
    </w:tbl>
    <w:p>
      <w:pPr>
        <w:spacing w:after="0"/>
      </w:pP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Padanan ini adalah pertimbangan, bukan kunci</w:t>
            </w:r>
          </w:p>
          <w:p>
            <w:pPr>
              <w:spacing w:after="40"/>
            </w:pPr>
            <w:r>
              <w:rPr>
                <w:sz w:val="20"/>
              </w:rPr>
              <w:t xml:space="preserve">Paket tidak menentukan pilihan mana pada skala lima pilihan yang setara dengan "Favorable" atau "Moderate concern". Kelompok yang menimbang berbeda boleh memilih berbeda, asal alasannya ditulis pada </w:t>
            </w:r>
            <w:r>
              <w:rPr>
                <w:b/>
                <w:sz w:val="20"/>
              </w:rPr>
              <w:t>Pertimbangan</w:t>
            </w:r>
            <w:r>
              <w:rPr>
                <w:sz w:val="20"/>
              </w:rPr>
              <w:t>. Pilihan yang berbeda mengubah Skor Kekuatan Bukti dan dapat mengubah rekomendasi.</w:t>
            </w:r>
          </w:p>
        </w:tc>
      </w:tr>
    </w:tbl>
    <w:p>
      <w:pPr>
        <w:spacing w:after="0"/>
      </w:pPr>
    </w:p>
    <w:p>
      <w:pPr>
        <w:tabs>
          <w:tab w:pos="425" w:val="left"/>
        </w:tabs>
        <w:spacing w:after="60"/>
        <w:ind w:left="425" w:hanging="425"/>
      </w:pPr>
      <w:r>
        <w:rPr/>
        <w:t>1.</w:t>
        <w:tab/>
        <w:t xml:space="preserve">Buka tab </w:t>
      </w:r>
      <w:r>
        <w:rPr>
          <w:b/>
        </w:rPr>
        <w:t>EtD (9 domain)</w:t>
      </w:r>
      <w:r>
        <w:rPr/>
        <w:t xml:space="preserve"> dan pilih domain pada daftar di sisi kiri.</w:t>
      </w:r>
    </w:p>
    <w:p>
      <w:pPr>
        <w:tabs>
          <w:tab w:pos="425" w:val="left"/>
        </w:tabs>
        <w:spacing w:after="60"/>
        <w:ind w:left="425" w:hanging="425"/>
      </w:pPr>
      <w:r>
        <w:rPr/>
        <w:t>2.</w:t>
        <w:tab/>
        <w:t xml:space="preserve">Pilih </w:t>
      </w:r>
      <w:r>
        <w:rPr>
          <w:b/>
        </w:rPr>
        <w:t>Penilaian Anda</w:t>
      </w:r>
      <w:r>
        <w:rPr/>
        <w:t xml:space="preserve">, lalu </w:t>
      </w:r>
      <w:r>
        <w:rPr>
          <w:b/>
        </w:rPr>
        <w:t>Kepastian bukti (GRADE)</w:t>
      </w:r>
      <w:r>
        <w:rPr/>
        <w:t>.</w:t>
      </w:r>
    </w:p>
    <w:p>
      <w:pPr>
        <w:tabs>
          <w:tab w:pos="425" w:val="left"/>
        </w:tabs>
        <w:spacing w:after="60"/>
        <w:ind w:left="425" w:hanging="425"/>
      </w:pPr>
      <w:r>
        <w:rPr/>
        <w:t>3.</w:t>
        <w:tab/>
        <w:t xml:space="preserve">Pilih </w:t>
      </w:r>
      <w:r>
        <w:rPr>
          <w:b/>
        </w:rPr>
        <w:t>Referensi pendukung</w:t>
      </w:r>
      <w:r>
        <w:rPr/>
        <w:t xml:space="preserve"> bila ada, dan tulis </w:t>
      </w:r>
      <w:r>
        <w:rPr>
          <w:b/>
        </w:rPr>
        <w:t>Pertimbangan (narasi)</w:t>
      </w:r>
      <w:r>
        <w:rPr/>
        <w:t>.</w:t>
      </w:r>
    </w:p>
    <w:p>
      <w:pPr>
        <w:tabs>
          <w:tab w:pos="425" w:val="left"/>
        </w:tabs>
        <w:spacing w:after="60"/>
        <w:ind w:left="425" w:hanging="425"/>
      </w:pPr>
      <w:r>
        <w:rPr/>
        <w:t>4.</w:t>
        <w:tab/>
        <w:t xml:space="preserve">Klik </w:t>
      </w:r>
      <w:r>
        <w:rPr>
          <w:b/>
        </w:rPr>
        <w:t>Simpan Penilaian Saya</w:t>
      </w:r>
      <w:r>
        <w:rPr/>
        <w:t>. Angka kecil di samping nama domain menunjukkan jumlah suara yang sudah masuk.</w:t>
      </w:r>
    </w:p>
    <w:p>
      <w:pPr>
        <w:tabs>
          <w:tab w:pos="425" w:val="left"/>
        </w:tabs>
        <w:spacing w:after="60"/>
        <w:ind w:left="425" w:hanging="425"/>
      </w:pPr>
      <w:r>
        <w:rPr/>
        <w:t>5.</w:t>
        <w:tab/>
        <w:t>Ulangi sampai kesembilan domain terisi.</w:t>
      </w:r>
    </w:p>
    <w:p>
      <w:pPr>
        <w:keepNext/>
        <w:spacing w:after="40"/>
        <w:jc w:val="center"/>
      </w:pPr>
      <w:r>
        <w:drawing>
          <wp:inline xmlns:a="http://schemas.openxmlformats.org/drawingml/2006/main" xmlns:pic="http://schemas.openxmlformats.org/drawingml/2006/picture">
            <wp:extent cx="6120000" cy="3063592"/>
            <wp:docPr id="19" name="Picture 19"/>
            <wp:cNvGraphicFramePr>
              <a:graphicFrameLocks noChangeAspect="1"/>
            </wp:cNvGraphicFramePr>
            <a:graphic>
              <a:graphicData uri="http://schemas.openxmlformats.org/drawingml/2006/picture">
                <pic:pic>
                  <pic:nvPicPr>
                    <pic:cNvPr id="0" name="19-etd-domain-1-19.png"/>
                    <pic:cNvPicPr/>
                  </pic:nvPicPr>
                  <pic:blipFill>
                    <a:blip r:embed="rId28"/>
                    <a:stretch>
                      <a:fillRect/>
                    </a:stretch>
                  </pic:blipFill>
                  <pic:spPr>
                    <a:xfrm>
                      <a:off x="0" y="0"/>
                      <a:ext cx="6120000" cy="3063592"/>
                    </a:xfrm>
                    <a:prstGeom prst="rect"/>
                  </pic:spPr>
                </pic:pic>
              </a:graphicData>
            </a:graphic>
          </wp:inline>
        </w:drawing>
      </w:r>
    </w:p>
    <w:p>
      <w:pPr>
        <w:spacing w:after="200"/>
        <w:jc w:val="center"/>
      </w:pPr>
      <w:r>
        <w:rPr>
          <w:b/>
          <w:color w:val="595959"/>
          <w:sz w:val="18"/>
        </w:rPr>
        <w:t>Gambar 19.</w:t>
      </w:r>
      <w:r>
        <w:rPr>
          <w:color w:val="595959"/>
          <w:sz w:val="18"/>
        </w:rPr>
        <w:t xml:space="preserve"> Penilaian domain 1, sebelum disimpan.</w:t>
      </w:r>
    </w:p>
    <w:p>
      <w:pPr>
        <w:keepNext/>
        <w:spacing w:after="40"/>
        <w:jc w:val="center"/>
      </w:pPr>
      <w:r>
        <w:drawing>
          <wp:inline xmlns:a="http://schemas.openxmlformats.org/drawingml/2006/main" xmlns:pic="http://schemas.openxmlformats.org/drawingml/2006/picture">
            <wp:extent cx="6120000" cy="3113873"/>
            <wp:docPr id="20" name="Picture 20"/>
            <wp:cNvGraphicFramePr>
              <a:graphicFrameLocks noChangeAspect="1"/>
            </wp:cNvGraphicFramePr>
            <a:graphic>
              <a:graphicData uri="http://schemas.openxmlformats.org/drawingml/2006/picture">
                <pic:pic>
                  <pic:nvPicPr>
                    <pic:cNvPr id="0" name="20-etd-domain-6-20.png"/>
                    <pic:cNvPicPr/>
                  </pic:nvPicPr>
                  <pic:blipFill>
                    <a:blip r:embed="rId29"/>
                    <a:stretch>
                      <a:fillRect/>
                    </a:stretch>
                  </pic:blipFill>
                  <pic:spPr>
                    <a:xfrm>
                      <a:off x="0" y="0"/>
                      <a:ext cx="6120000" cy="3113873"/>
                    </a:xfrm>
                    <a:prstGeom prst="rect"/>
                  </pic:spPr>
                </pic:pic>
              </a:graphicData>
            </a:graphic>
          </wp:inline>
        </w:drawing>
      </w:r>
    </w:p>
    <w:p>
      <w:pPr>
        <w:spacing w:after="200"/>
        <w:jc w:val="center"/>
      </w:pPr>
      <w:r>
        <w:rPr>
          <w:b/>
          <w:color w:val="595959"/>
          <w:sz w:val="18"/>
        </w:rPr>
        <w:t>Gambar 20.</w:t>
      </w:r>
      <w:r>
        <w:rPr>
          <w:color w:val="595959"/>
          <w:sz w:val="18"/>
        </w:rPr>
        <w:t xml:space="preserve"> Penilaian domain 6 (Penggunaan Sumber Daya).</w:t>
      </w:r>
    </w:p>
    <w:p>
      <w:pPr>
        <w:keepNext/>
        <w:spacing w:after="40"/>
        <w:jc w:val="center"/>
      </w:pPr>
      <w:r>
        <w:drawing>
          <wp:inline xmlns:a="http://schemas.openxmlformats.org/drawingml/2006/main" xmlns:pic="http://schemas.openxmlformats.org/drawingml/2006/picture">
            <wp:extent cx="6120000" cy="980493"/>
            <wp:docPr id="21" name="Picture 21"/>
            <wp:cNvGraphicFramePr>
              <a:graphicFrameLocks noChangeAspect="1"/>
            </wp:cNvGraphicFramePr>
            <a:graphic>
              <a:graphicData uri="http://schemas.openxmlformats.org/drawingml/2006/picture">
                <pic:pic>
                  <pic:nvPicPr>
                    <pic:cNvPr id="0" name="21-etd-ringkasan-21.png"/>
                    <pic:cNvPicPr/>
                  </pic:nvPicPr>
                  <pic:blipFill>
                    <a:blip r:embed="rId30"/>
                    <a:stretch>
                      <a:fillRect/>
                    </a:stretch>
                  </pic:blipFill>
                  <pic:spPr>
                    <a:xfrm>
                      <a:off x="0" y="0"/>
                      <a:ext cx="6120000" cy="980493"/>
                    </a:xfrm>
                    <a:prstGeom prst="rect"/>
                  </pic:spPr>
                </pic:pic>
              </a:graphicData>
            </a:graphic>
          </wp:inline>
        </w:drawing>
      </w:r>
    </w:p>
    <w:p>
      <w:pPr>
        <w:spacing w:after="200"/>
        <w:jc w:val="center"/>
      </w:pPr>
      <w:r>
        <w:rPr>
          <w:b/>
          <w:color w:val="595959"/>
          <w:sz w:val="18"/>
        </w:rPr>
        <w:t>Gambar 21.</w:t>
      </w:r>
      <w:r>
        <w:rPr>
          <w:color w:val="595959"/>
          <w:sz w:val="18"/>
        </w:rPr>
        <w:t xml:space="preserve"> Ringkasan EtD setelah kesembilan domain terisi.</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6F4EA"/>
          </w:tcPr>
          <w:p>
            <w:pPr>
              <w:spacing w:after="40"/>
            </w:pPr>
            <w:r>
              <w:rPr>
                <w:b/>
                <w:sz w:val="20"/>
              </w:rPr>
              <w:t>Cara skor dihitung</w:t>
            </w:r>
          </w:p>
          <w:p>
            <w:pPr>
              <w:spacing w:after="40"/>
            </w:pPr>
            <w:r>
              <w:rPr>
                <w:sz w:val="20"/>
              </w:rPr>
              <w:t xml:space="preserve">Skor satu domain adalah rata-rata nilai penilaian (Tidak 0, Mungkin tidak 25, Tidak pasti 50, Mungkin ya 75, Ya 100) dan nilai kepastian (Sangat rendah 25, Rendah 50, Sedang 75, Tinggi 100). </w:t>
            </w:r>
            <w:r>
              <w:rPr>
                <w:b/>
                <w:sz w:val="20"/>
              </w:rPr>
              <w:t>Skor Kekuatan Bukti</w:t>
            </w:r>
            <w:r>
              <w:rPr>
                <w:sz w:val="20"/>
              </w:rPr>
              <w:t xml:space="preserve"> adalah rata-rata kesembilan domain.</w:t>
            </w:r>
          </w:p>
          <w:p>
            <w:pPr>
              <w:spacing w:after="40"/>
            </w:pPr>
            <w:r>
              <w:rPr>
                <w:sz w:val="20"/>
              </w:rPr>
              <w:t>Dengan penilaian pada Tabel di atas, skornya 73,61 dari 100.</w:t>
            </w:r>
          </w:p>
          <w:p>
            <w:pPr>
              <w:spacing w:after="40"/>
            </w:pPr>
            <w:r>
              <w:rPr>
                <w:sz w:val="20"/>
              </w:rPr>
              <w:t xml:space="preserve">Selama belum semua domain terisi, skor diberi tanda </w:t>
            </w:r>
            <w:r>
              <w:rPr>
                <w:b/>
                <w:sz w:val="20"/>
              </w:rPr>
              <w:t>Sementara</w:t>
            </w:r>
            <w:r>
              <w:rPr>
                <w:sz w:val="20"/>
              </w:rPr>
              <w:t xml:space="preserve"> dan rekomendasi belum dapat dihitung.</w:t>
            </w:r>
          </w:p>
        </w:tc>
      </w:tr>
    </w:tbl>
    <w:p>
      <w:pPr>
        <w:spacing w:after="0"/>
      </w:pPr>
    </w:p>
    <w:p>
      <w:r>
        <w:br w:type="page"/>
      </w:r>
    </w:p>
    <w:p>
      <w:pPr>
        <w:pStyle w:val="Heading1"/>
      </w:pPr>
      <w:r>
        <w:t>7. Menu 6 - Rekomendasi</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Sekretaris KFT (kriteria akses), Analis HTA (menghitung), lalu Anggota KFT (keputusan final)     </w:t>
            </w:r>
            <w:r>
              <w:rPr>
                <w:b/>
                <w:sz w:val="20"/>
              </w:rPr>
              <w:t>Langkah paket:</w:t>
            </w:r>
            <w:r>
              <w:rPr>
                <w:sz w:val="20"/>
              </w:rPr>
              <w:t xml:space="preserve"> 50-53</w:t>
            </w:r>
          </w:p>
        </w:tc>
      </w:tr>
    </w:tbl>
    <w:p>
      <w:pPr>
        <w:spacing w:after="0"/>
      </w:pPr>
    </w:p>
    <w:p>
      <w:r>
        <w:rPr/>
        <w:t>Menu ini menggabungkan bukti EtD, cost-effectiveness, dampak anggaran dan kriteria akses menjadi satu rekomendasi berwarna yang dihitung sistem. Di bawahnya, KFT mencatat keputusannya sendiri beserta alasan. Warna sistem adalah bahan pertimbangan; keputusan KFT yang ditandatangani.</w:t>
      </w:r>
    </w:p>
    <w:p>
      <w:pPr>
        <w:pStyle w:val="Heading2"/>
      </w:pPr>
      <w:r>
        <w:t>7.1 Kriteria akses (langkah 52)</w:t>
      </w:r>
    </w:p>
    <w:p>
      <w:r>
        <w:rPr/>
        <w:t>Kriteria akses adalah syarat penggunaan obat bila disetujui. Sekretaris KFT, Analis HTA dan Ketua KFT dapat mengisinya.</w:t>
      </w:r>
    </w:p>
    <w:p>
      <w:pPr>
        <w:tabs>
          <w:tab w:pos="425" w:val="left"/>
        </w:tabs>
        <w:spacing w:after="60"/>
        <w:ind w:left="425" w:hanging="425"/>
      </w:pPr>
      <w:r>
        <w:rPr/>
        <w:t>1.</w:t>
        <w:tab/>
        <w:t xml:space="preserve">Buka tab </w:t>
      </w:r>
      <w:r>
        <w:rPr>
          <w:b/>
        </w:rPr>
        <w:t>Rekomendasi</w:t>
      </w:r>
      <w:r>
        <w:rPr/>
        <w:t xml:space="preserve">. Pada kartu </w:t>
      </w:r>
      <w:r>
        <w:rPr>
          <w:b/>
        </w:rPr>
        <w:t>Kriteria Akses (CBA)</w:t>
      </w:r>
      <w:r>
        <w:rPr/>
        <w:t xml:space="preserve">, klik </w:t>
      </w:r>
      <w:r>
        <w:rPr>
          <w:b/>
        </w:rPr>
        <w:t>Tambah Kriteria</w:t>
      </w:r>
      <w:r>
        <w:rPr/>
        <w:t>.</w:t>
      </w:r>
    </w:p>
    <w:p>
      <w:pPr>
        <w:tabs>
          <w:tab w:pos="425" w:val="left"/>
        </w:tabs>
        <w:spacing w:after="60"/>
        <w:ind w:left="425" w:hanging="425"/>
      </w:pPr>
      <w:r>
        <w:rPr/>
        <w:t>2.</w:t>
        <w:tab/>
        <w:t xml:space="preserve">Isi </w:t>
      </w:r>
      <w:r>
        <w:rPr>
          <w:b/>
        </w:rPr>
        <w:t>Nama kriteria</w:t>
      </w:r>
      <w:r>
        <w:rPr/>
        <w:t xml:space="preserve"> dan </w:t>
      </w:r>
      <w:r>
        <w:rPr>
          <w:b/>
        </w:rPr>
        <w:t>Deskripsi</w:t>
      </w:r>
      <w:r>
        <w:rPr/>
        <w:t>. Isian lain boleh dibiarkan.</w:t>
      </w:r>
    </w:p>
    <w:p>
      <w:pPr>
        <w:tabs>
          <w:tab w:pos="425" w:val="left"/>
        </w:tabs>
        <w:spacing w:after="60"/>
        <w:ind w:left="425" w:hanging="425"/>
      </w:pPr>
      <w:r>
        <w:rPr/>
        <w:t>3.</w:t>
        <w:tab/>
        <w:t xml:space="preserve">Biarkan kotak </w:t>
      </w:r>
      <w:r>
        <w:rPr>
          <w:b/>
        </w:rPr>
        <w:t>Kriteria terpenuhi pada konteks RS saat ini</w:t>
      </w:r>
      <w:r>
        <w:rPr/>
        <w:t xml:space="preserve"> tidak dicentang, lalu klik </w:t>
      </w:r>
      <w:r>
        <w:rPr>
          <w:b/>
        </w:rPr>
        <w:t>Tambah</w:t>
      </w:r>
      <w:r>
        <w:rPr/>
        <w:t>.</w:t>
      </w:r>
    </w:p>
    <w:p>
      <w:pPr>
        <w:tabs>
          <w:tab w:pos="425" w:val="left"/>
        </w:tabs>
        <w:spacing w:after="60"/>
        <w:ind w:left="425" w:hanging="425"/>
      </w:pPr>
      <w:r>
        <w:rPr/>
        <w:t>4.</w:t>
        <w:tab/>
        <w:t>Ulangi untuk keempat kriteria pada sheet 07_REKOMENDASI paket.</w:t>
      </w:r>
    </w:p>
    <w:p>
      <w:pPr>
        <w:keepNext/>
        <w:spacing w:after="60"/>
      </w:pPr>
      <w:r>
        <w:rPr>
          <w:b/>
          <w:sz w:val="19"/>
        </w:rPr>
        <w:t>Tabel 11.</w:t>
      </w:r>
      <w:r>
        <w:rPr>
          <w:sz w:val="19"/>
        </w:rPr>
        <w:t xml:space="preserve"> Empat kriteria akses kasus latihan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2"/>
            <w:shd w:val="clear" w:color="auto" w:fill="1F4E79"/>
          </w:tcPr>
          <w:p>
            <w:pPr>
              <w:spacing w:after="0"/>
            </w:pPr>
            <w:r>
              <w:rPr>
                <w:b/>
                <w:color w:val="FFFFFF"/>
                <w:sz w:val="18"/>
              </w:rPr>
              <w:t>Nama kriteria</w:t>
            </w:r>
          </w:p>
        </w:tc>
        <w:tc>
          <w:tcPr>
            <w:tcW w:type="dxa" w:w="6236"/>
            <w:shd w:val="clear" w:color="auto" w:fill="1F4E79"/>
          </w:tcPr>
          <w:p>
            <w:pPr>
              <w:spacing w:after="0"/>
            </w:pPr>
            <w:r>
              <w:rPr>
                <w:b/>
                <w:color w:val="FFFFFF"/>
                <w:sz w:val="18"/>
              </w:rPr>
              <w:t>Deskripsi</w:t>
            </w:r>
          </w:p>
        </w:tc>
      </w:tr>
      <w:tr>
        <w:tc>
          <w:tcPr>
            <w:tcW w:type="dxa" w:w="3402"/>
          </w:tcPr>
          <w:p>
            <w:pPr>
              <w:spacing w:after="0"/>
            </w:pPr>
            <w:r>
              <w:rPr>
                <w:sz w:val="18"/>
              </w:rPr>
              <w:t>Eligibilitas: HFrEF terkonfirmasi</w:t>
            </w:r>
          </w:p>
        </w:tc>
        <w:tc>
          <w:tcPr>
            <w:tcW w:type="dxa" w:w="6236"/>
          </w:tcPr>
          <w:p>
            <w:pPr>
              <w:spacing w:after="0"/>
            </w:pPr>
            <w:r>
              <w:rPr>
                <w:sz w:val="18"/>
              </w:rPr>
              <w:t>Diagnosis HFrEF dikonfirmasi (LVEF ≤40%, NYHA II–IV); memenuhi kriteria klinis lokal.</w:t>
            </w:r>
          </w:p>
        </w:tc>
      </w:tr>
      <w:tr>
        <w:tc>
          <w:tcPr>
            <w:tcW w:type="dxa" w:w="3402"/>
          </w:tcPr>
          <w:p>
            <w:pPr>
              <w:spacing w:after="0"/>
            </w:pPr>
            <w:r>
              <w:rPr>
                <w:sz w:val="18"/>
              </w:rPr>
              <w:t>Prescriber: inisiasi oleh spesialis</w:t>
            </w:r>
          </w:p>
        </w:tc>
        <w:tc>
          <w:tcPr>
            <w:tcW w:type="dxa" w:w="6236"/>
          </w:tcPr>
          <w:p>
            <w:pPr>
              <w:spacing w:after="0"/>
            </w:pPr>
            <w:r>
              <w:rPr>
                <w:sz w:val="18"/>
              </w:rPr>
              <w:t>Inisiasi oleh spesialis terkait.</w:t>
            </w:r>
          </w:p>
        </w:tc>
      </w:tr>
      <w:tr>
        <w:tc>
          <w:tcPr>
            <w:tcW w:type="dxa" w:w="3402"/>
          </w:tcPr>
          <w:p>
            <w:pPr>
              <w:spacing w:after="0"/>
            </w:pPr>
            <w:r>
              <w:rPr>
                <w:sz w:val="18"/>
              </w:rPr>
              <w:t>Monitoring: tekanan darah, fungsi ginjal, K+</w:t>
            </w:r>
          </w:p>
        </w:tc>
        <w:tc>
          <w:tcPr>
            <w:tcW w:type="dxa" w:w="6236"/>
          </w:tcPr>
          <w:p>
            <w:pPr>
              <w:spacing w:after="0"/>
            </w:pPr>
            <w:r>
              <w:rPr>
                <w:sz w:val="18"/>
              </w:rPr>
              <w:t>Tekanan darah, fungsi ginjal dan kalium dimonitor; review tolerabilitas.</w:t>
            </w:r>
          </w:p>
        </w:tc>
      </w:tr>
      <w:tr>
        <w:tc>
          <w:tcPr>
            <w:tcW w:type="dxa" w:w="3402"/>
          </w:tcPr>
          <w:p>
            <w:pPr>
              <w:spacing w:after="0"/>
            </w:pPr>
            <w:r>
              <w:rPr>
                <w:sz w:val="18"/>
              </w:rPr>
              <w:t>Stop/reassess</w:t>
            </w:r>
          </w:p>
        </w:tc>
        <w:tc>
          <w:tcPr>
            <w:tcW w:type="dxa" w:w="6236"/>
          </w:tcPr>
          <w:p>
            <w:pPr>
              <w:spacing w:after="0"/>
            </w:pPr>
            <w:r>
              <w:rPr>
                <w:sz w:val="18"/>
              </w:rPr>
              <w:t>Reassess bila intoleransi/masalah keselamatan atau tidak lagi memenuhi kriteria.</w:t>
            </w:r>
          </w:p>
        </w:tc>
      </w:tr>
    </w:tbl>
    <w:p>
      <w:pPr>
        <w:spacing w:after="0"/>
      </w:pPr>
    </w:p>
    <w:p>
      <w:pPr>
        <w:keepNext/>
        <w:spacing w:after="40"/>
        <w:jc w:val="center"/>
      </w:pPr>
      <w:r>
        <w:drawing>
          <wp:inline xmlns:a="http://schemas.openxmlformats.org/drawingml/2006/main" xmlns:pic="http://schemas.openxmlformats.org/drawingml/2006/picture">
            <wp:extent cx="4923529" cy="3784897"/>
            <wp:docPr id="22" name="Picture 22"/>
            <wp:cNvGraphicFramePr>
              <a:graphicFrameLocks noChangeAspect="1"/>
            </wp:cNvGraphicFramePr>
            <a:graphic>
              <a:graphicData uri="http://schemas.openxmlformats.org/drawingml/2006/picture">
                <pic:pic>
                  <pic:nvPicPr>
                    <pic:cNvPr id="0" name="24-rekomendasi-kriteria-form-22.png"/>
                    <pic:cNvPicPr/>
                  </pic:nvPicPr>
                  <pic:blipFill>
                    <a:blip r:embed="rId31"/>
                    <a:stretch>
                      <a:fillRect/>
                    </a:stretch>
                  </pic:blipFill>
                  <pic:spPr>
                    <a:xfrm>
                      <a:off x="0" y="0"/>
                      <a:ext cx="4923529" cy="3784897"/>
                    </a:xfrm>
                    <a:prstGeom prst="rect"/>
                  </pic:spPr>
                </pic:pic>
              </a:graphicData>
            </a:graphic>
          </wp:inline>
        </w:drawing>
      </w:r>
    </w:p>
    <w:p>
      <w:pPr>
        <w:spacing w:after="200"/>
        <w:jc w:val="center"/>
      </w:pPr>
      <w:r>
        <w:rPr>
          <w:b/>
          <w:color w:val="595959"/>
          <w:sz w:val="18"/>
        </w:rPr>
        <w:t>Gambar 22.</w:t>
      </w:r>
      <w:r>
        <w:rPr>
          <w:color w:val="595959"/>
          <w:sz w:val="18"/>
        </w:rPr>
        <w:t xml:space="preserve"> Formulir Tambah Kriteria CBA.</w:t>
      </w:r>
    </w:p>
    <w:p>
      <w:pPr>
        <w:keepNext/>
        <w:spacing w:after="40"/>
        <w:jc w:val="center"/>
      </w:pPr>
      <w:r>
        <w:drawing>
          <wp:inline xmlns:a="http://schemas.openxmlformats.org/drawingml/2006/main" xmlns:pic="http://schemas.openxmlformats.org/drawingml/2006/picture">
            <wp:extent cx="6120000" cy="1968169"/>
            <wp:docPr id="23" name="Picture 23"/>
            <wp:cNvGraphicFramePr>
              <a:graphicFrameLocks noChangeAspect="1"/>
            </wp:cNvGraphicFramePr>
            <a:graphic>
              <a:graphicData uri="http://schemas.openxmlformats.org/drawingml/2006/picture">
                <pic:pic>
                  <pic:nvPicPr>
                    <pic:cNvPr id="0" name="25-rekomendasi-kriteria-23.png"/>
                    <pic:cNvPicPr/>
                  </pic:nvPicPr>
                  <pic:blipFill>
                    <a:blip r:embed="rId32"/>
                    <a:stretch>
                      <a:fillRect/>
                    </a:stretch>
                  </pic:blipFill>
                  <pic:spPr>
                    <a:xfrm>
                      <a:off x="0" y="0"/>
                      <a:ext cx="6120000" cy="1968169"/>
                    </a:xfrm>
                    <a:prstGeom prst="rect"/>
                  </pic:spPr>
                </pic:pic>
              </a:graphicData>
            </a:graphic>
          </wp:inline>
        </w:drawing>
      </w:r>
    </w:p>
    <w:p>
      <w:pPr>
        <w:spacing w:after="200"/>
        <w:jc w:val="center"/>
      </w:pPr>
      <w:r>
        <w:rPr>
          <w:b/>
          <w:color w:val="595959"/>
          <w:sz w:val="18"/>
        </w:rPr>
        <w:t>Gambar 23.</w:t>
      </w:r>
      <w:r>
        <w:rPr>
          <w:color w:val="595959"/>
          <w:sz w:val="18"/>
        </w:rPr>
        <w:t xml:space="preserve"> Empat kriteria, belum ada yang dicentang terpenuhi.</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FFF3D6"/>
          </w:tcPr>
          <w:p>
            <w:pPr>
              <w:spacing w:after="40"/>
            </w:pPr>
            <w:r>
              <w:rPr>
                <w:b/>
                <w:sz w:val="20"/>
              </w:rPr>
              <w:t>Mengapa kotak "terpenuhi" tidak dicentang</w:t>
            </w:r>
          </w:p>
          <w:p>
            <w:pPr>
              <w:spacing w:after="40"/>
            </w:pPr>
            <w:r>
              <w:rPr>
                <w:sz w:val="20"/>
              </w:rPr>
              <w:t>Sistem membaca kriteria yang belum terpenuhi sebagai syarat yang masih harus dipenuhi, sehingga adopsinya bersyarat. Pada paket, pemantauan dan alur kerja masih harus ditetapkan (sheet 06_ETD, kolom Action needed: "Specify monitoring", "Define workflow"), jadi keempat kriteria ini adalah syarat adopsi, bukan hal yang sudah berjalan.</w:t>
            </w:r>
          </w:p>
          <w:p>
            <w:pPr>
              <w:spacing w:after="40"/>
            </w:pPr>
            <w:r>
              <w:rPr>
                <w:sz w:val="20"/>
              </w:rPr>
              <w:t>Centang hanya syarat yang memang sudah berjalan di rumah sakit. Bila keempatnya dicentang pada kasus ini, sistem menganggap tidak ada syarat tersisa: skor komposit menjadi 79,44 dan hasilnya HIJAU - Adopsi Tanpa Syarat.</w:t>
            </w:r>
          </w:p>
        </w:tc>
      </w:tr>
    </w:tbl>
    <w:p>
      <w:pPr>
        <w:spacing w:after="0"/>
      </w:pPr>
    </w:p>
    <w:p>
      <w:pPr>
        <w:pStyle w:val="Heading2"/>
      </w:pPr>
      <w:r>
        <w:t>7.2 Menghitung rekomendasi sistem</w:t>
      </w:r>
    </w:p>
    <w:p>
      <w:pPr>
        <w:tabs>
          <w:tab w:pos="425" w:val="left"/>
        </w:tabs>
        <w:spacing w:after="60"/>
        <w:ind w:left="425" w:hanging="425"/>
      </w:pPr>
      <w:r>
        <w:rPr/>
        <w:t>1.</w:t>
        <w:tab/>
        <w:t xml:space="preserve">Masuk sebagai Analis HTA dan buka tab </w:t>
      </w:r>
      <w:r>
        <w:rPr>
          <w:b/>
        </w:rPr>
        <w:t>Rekomendasi</w:t>
      </w:r>
      <w:r>
        <w:rPr/>
        <w:t>.</w:t>
      </w:r>
    </w:p>
    <w:p>
      <w:pPr>
        <w:tabs>
          <w:tab w:pos="425" w:val="left"/>
        </w:tabs>
        <w:spacing w:after="60"/>
        <w:ind w:left="425" w:hanging="425"/>
      </w:pPr>
      <w:r>
        <w:rPr/>
        <w:t>2.</w:t>
        <w:tab/>
        <w:t xml:space="preserve">Klik </w:t>
      </w:r>
      <w:r>
        <w:rPr>
          <w:b/>
        </w:rPr>
        <w:t>Hitung Rekomendasi</w:t>
      </w:r>
      <w:r>
        <w:rPr/>
        <w:t>.</w:t>
      </w:r>
    </w:p>
    <w:p>
      <w:pPr>
        <w:tabs>
          <w:tab w:pos="425" w:val="left"/>
        </w:tabs>
        <w:spacing w:after="60"/>
        <w:ind w:left="425" w:hanging="425"/>
      </w:pPr>
      <w:r>
        <w:rPr/>
        <w:t>3.</w:t>
        <w:tab/>
        <w:t xml:space="preserve">Kartu </w:t>
      </w:r>
      <w:r>
        <w:rPr>
          <w:b/>
        </w:rPr>
        <w:t>Rekomendasi Akhir</w:t>
      </w:r>
      <w:r>
        <w:rPr/>
        <w:t xml:space="preserve"> menampilkan warna, skor komposit, keempat komponen, dan kalimat </w:t>
      </w:r>
      <w:r>
        <w:rPr>
          <w:b/>
        </w:rPr>
        <w:t>Justifikasi</w:t>
      </w:r>
      <w:r>
        <w:rPr/>
        <w:t>.</w:t>
      </w:r>
    </w:p>
    <w:p>
      <w:pPr>
        <w:keepNext/>
        <w:spacing w:after="40"/>
        <w:jc w:val="center"/>
      </w:pPr>
      <w:r>
        <w:drawing>
          <wp:inline xmlns:a="http://schemas.openxmlformats.org/drawingml/2006/main" xmlns:pic="http://schemas.openxmlformats.org/drawingml/2006/picture">
            <wp:extent cx="6120000" cy="2449437"/>
            <wp:docPr id="24" name="Picture 24"/>
            <wp:cNvGraphicFramePr>
              <a:graphicFrameLocks noChangeAspect="1"/>
            </wp:cNvGraphicFramePr>
            <a:graphic>
              <a:graphicData uri="http://schemas.openxmlformats.org/drawingml/2006/picture">
                <pic:pic>
                  <pic:nvPicPr>
                    <pic:cNvPr id="0" name="26-rekomendasi-hasil-24.png"/>
                    <pic:cNvPicPr/>
                  </pic:nvPicPr>
                  <pic:blipFill>
                    <a:blip r:embed="rId33"/>
                    <a:stretch>
                      <a:fillRect/>
                    </a:stretch>
                  </pic:blipFill>
                  <pic:spPr>
                    <a:xfrm>
                      <a:off x="0" y="0"/>
                      <a:ext cx="6120000" cy="2449437"/>
                    </a:xfrm>
                    <a:prstGeom prst="rect"/>
                  </pic:spPr>
                </pic:pic>
              </a:graphicData>
            </a:graphic>
          </wp:inline>
        </w:drawing>
      </w:r>
    </w:p>
    <w:p>
      <w:pPr>
        <w:spacing w:after="200"/>
        <w:jc w:val="center"/>
      </w:pPr>
      <w:r>
        <w:rPr>
          <w:b/>
          <w:color w:val="595959"/>
          <w:sz w:val="18"/>
        </w:rPr>
        <w:t>Gambar 24.</w:t>
      </w:r>
      <w:r>
        <w:rPr>
          <w:color w:val="595959"/>
          <w:sz w:val="18"/>
        </w:rPr>
        <w:t xml:space="preserve"> Rekomendasi sistem untuk kasus latihan.</w:t>
      </w:r>
    </w:p>
    <w:p>
      <w:pPr>
        <w:keepNext/>
        <w:spacing w:after="60"/>
      </w:pPr>
      <w:r>
        <w:rPr>
          <w:b/>
          <w:sz w:val="19"/>
        </w:rPr>
        <w:t>Tabel 12.</w:t>
      </w:r>
      <w:r>
        <w:rPr>
          <w:sz w:val="19"/>
        </w:rPr>
        <w:t xml:space="preserve"> Komponen rekomendasi sistem</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608"/>
            <w:shd w:val="clear" w:color="auto" w:fill="1F4E79"/>
          </w:tcPr>
          <w:p>
            <w:pPr>
              <w:spacing w:after="0"/>
            </w:pPr>
            <w:r>
              <w:rPr>
                <w:b/>
                <w:color w:val="FFFFFF"/>
                <w:sz w:val="18"/>
              </w:rPr>
              <w:t>Komponen</w:t>
            </w:r>
          </w:p>
        </w:tc>
        <w:tc>
          <w:tcPr>
            <w:tcW w:type="dxa" w:w="1020"/>
            <w:shd w:val="clear" w:color="auto" w:fill="1F4E79"/>
          </w:tcPr>
          <w:p>
            <w:pPr>
              <w:spacing w:after="0"/>
            </w:pPr>
            <w:r>
              <w:rPr>
                <w:b/>
                <w:color w:val="FFFFFF"/>
                <w:sz w:val="18"/>
              </w:rPr>
              <w:t>Bobot</w:t>
            </w:r>
          </w:p>
        </w:tc>
        <w:tc>
          <w:tcPr>
            <w:tcW w:type="dxa" w:w="1247"/>
            <w:shd w:val="clear" w:color="auto" w:fill="1F4E79"/>
          </w:tcPr>
          <w:p>
            <w:pPr>
              <w:spacing w:after="0"/>
            </w:pPr>
            <w:r>
              <w:rPr>
                <w:b/>
                <w:color w:val="FFFFFF"/>
                <w:sz w:val="18"/>
              </w:rPr>
              <w:t>Skor</w:t>
            </w:r>
          </w:p>
        </w:tc>
        <w:tc>
          <w:tcPr>
            <w:tcW w:type="dxa" w:w="4762"/>
            <w:shd w:val="clear" w:color="auto" w:fill="1F4E79"/>
          </w:tcPr>
          <w:p>
            <w:pPr>
              <w:spacing w:after="0"/>
            </w:pPr>
            <w:r>
              <w:rPr>
                <w:b/>
                <w:color w:val="FFFFFF"/>
                <w:sz w:val="18"/>
              </w:rPr>
              <w:t>Berasal dari</w:t>
            </w:r>
          </w:p>
        </w:tc>
      </w:tr>
      <w:tr>
        <w:tc>
          <w:tcPr>
            <w:tcW w:type="dxa" w:w="2608"/>
          </w:tcPr>
          <w:p>
            <w:pPr>
              <w:spacing w:after="0"/>
            </w:pPr>
            <w:r>
              <w:rPr>
                <w:sz w:val="18"/>
              </w:rPr>
              <w:t>Bukti EtD</w:t>
            </w:r>
          </w:p>
        </w:tc>
        <w:tc>
          <w:tcPr>
            <w:tcW w:type="dxa" w:w="1020"/>
          </w:tcPr>
          <w:p>
            <w:pPr>
              <w:spacing w:after="0"/>
            </w:pPr>
            <w:r>
              <w:rPr>
                <w:sz w:val="18"/>
              </w:rPr>
              <w:t>40%</w:t>
            </w:r>
          </w:p>
        </w:tc>
        <w:tc>
          <w:tcPr>
            <w:tcW w:type="dxa" w:w="1247"/>
          </w:tcPr>
          <w:p>
            <w:pPr>
              <w:spacing w:after="0"/>
            </w:pPr>
            <w:r>
              <w:rPr>
                <w:sz w:val="18"/>
              </w:rPr>
              <w:t>73,61</w:t>
            </w:r>
          </w:p>
        </w:tc>
        <w:tc>
          <w:tcPr>
            <w:tcW w:type="dxa" w:w="4762"/>
          </w:tcPr>
          <w:p>
            <w:pPr>
              <w:spacing w:after="0"/>
            </w:pPr>
            <w:r>
              <w:rPr>
                <w:sz w:val="18"/>
              </w:rPr>
              <w:t>Skor Kekuatan Bukti (Bab 6)</w:t>
            </w:r>
          </w:p>
        </w:tc>
      </w:tr>
      <w:tr>
        <w:tc>
          <w:tcPr>
            <w:tcW w:type="dxa" w:w="2608"/>
          </w:tcPr>
          <w:p>
            <w:pPr>
              <w:spacing w:after="0"/>
            </w:pPr>
            <w:r>
              <w:rPr>
                <w:sz w:val="18"/>
              </w:rPr>
              <w:t>Cost-effectiveness</w:t>
            </w:r>
          </w:p>
        </w:tc>
        <w:tc>
          <w:tcPr>
            <w:tcW w:type="dxa" w:w="1020"/>
          </w:tcPr>
          <w:p>
            <w:pPr>
              <w:spacing w:after="0"/>
            </w:pPr>
            <w:r>
              <w:rPr>
                <w:sz w:val="18"/>
              </w:rPr>
              <w:t>30%</w:t>
            </w:r>
          </w:p>
        </w:tc>
        <w:tc>
          <w:tcPr>
            <w:tcW w:type="dxa" w:w="1247"/>
          </w:tcPr>
          <w:p>
            <w:pPr>
              <w:spacing w:after="0"/>
            </w:pPr>
            <w:r>
              <w:rPr>
                <w:sz w:val="18"/>
              </w:rPr>
              <w:t>100,00</w:t>
            </w:r>
          </w:p>
        </w:tc>
        <w:tc>
          <w:tcPr>
            <w:tcW w:type="dxa" w:w="4762"/>
          </w:tcPr>
          <w:p>
            <w:pPr>
              <w:spacing w:after="0"/>
            </w:pPr>
            <w:r>
              <w:rPr>
                <w:sz w:val="18"/>
              </w:rPr>
              <w:t>Hasil deterministik (Bab 3)</w:t>
            </w:r>
          </w:p>
        </w:tc>
      </w:tr>
      <w:tr>
        <w:tc>
          <w:tcPr>
            <w:tcW w:type="dxa" w:w="2608"/>
          </w:tcPr>
          <w:p>
            <w:pPr>
              <w:spacing w:after="0"/>
            </w:pPr>
            <w:r>
              <w:rPr>
                <w:sz w:val="18"/>
              </w:rPr>
              <w:t>Dampak anggaran</w:t>
            </w:r>
          </w:p>
        </w:tc>
        <w:tc>
          <w:tcPr>
            <w:tcW w:type="dxa" w:w="1020"/>
          </w:tcPr>
          <w:p>
            <w:pPr>
              <w:spacing w:after="0"/>
            </w:pPr>
            <w:r>
              <w:rPr>
                <w:sz w:val="18"/>
              </w:rPr>
              <w:t>20%</w:t>
            </w:r>
          </w:p>
        </w:tc>
        <w:tc>
          <w:tcPr>
            <w:tcW w:type="dxa" w:w="1247"/>
          </w:tcPr>
          <w:p>
            <w:pPr>
              <w:spacing w:after="0"/>
            </w:pPr>
            <w:r>
              <w:rPr>
                <w:sz w:val="18"/>
              </w:rPr>
              <w:t>50,00</w:t>
            </w:r>
          </w:p>
        </w:tc>
        <w:tc>
          <w:tcPr>
            <w:tcW w:type="dxa" w:w="4762"/>
          </w:tcPr>
          <w:p>
            <w:pPr>
              <w:spacing w:after="0"/>
            </w:pPr>
            <w:r>
              <w:rPr>
                <w:sz w:val="18"/>
              </w:rPr>
              <w:t>Skor anggaran BIA (Bab 4)</w:t>
            </w:r>
          </w:p>
        </w:tc>
      </w:tr>
      <w:tr>
        <w:tc>
          <w:tcPr>
            <w:tcW w:type="dxa" w:w="2608"/>
          </w:tcPr>
          <w:p>
            <w:pPr>
              <w:spacing w:after="0"/>
            </w:pPr>
            <w:r>
              <w:rPr>
                <w:sz w:val="18"/>
              </w:rPr>
              <w:t>Kriteria akses (CBA)</w:t>
            </w:r>
          </w:p>
        </w:tc>
        <w:tc>
          <w:tcPr>
            <w:tcW w:type="dxa" w:w="1020"/>
          </w:tcPr>
          <w:p>
            <w:pPr>
              <w:spacing w:after="0"/>
            </w:pPr>
            <w:r>
              <w:rPr>
                <w:sz w:val="18"/>
              </w:rPr>
              <w:t>10%</w:t>
            </w:r>
          </w:p>
        </w:tc>
        <w:tc>
          <w:tcPr>
            <w:tcW w:type="dxa" w:w="1247"/>
          </w:tcPr>
          <w:p>
            <w:pPr>
              <w:spacing w:after="0"/>
            </w:pPr>
            <w:r>
              <w:rPr>
                <w:sz w:val="18"/>
              </w:rPr>
              <w:t>0,00</w:t>
            </w:r>
          </w:p>
        </w:tc>
        <w:tc>
          <w:tcPr>
            <w:tcW w:type="dxa" w:w="4762"/>
          </w:tcPr>
          <w:p>
            <w:pPr>
              <w:spacing w:after="0"/>
            </w:pPr>
            <w:r>
              <w:rPr>
                <w:sz w:val="18"/>
              </w:rPr>
              <w:t>0 dari 4 kriteria terpenuhi</w:t>
            </w:r>
          </w:p>
        </w:tc>
      </w:tr>
      <w:tr>
        <w:tc>
          <w:tcPr>
            <w:tcW w:type="dxa" w:w="2608"/>
          </w:tcPr>
          <w:p>
            <w:pPr>
              <w:spacing w:after="0"/>
            </w:pPr>
            <w:r>
              <w:rPr>
                <w:b/>
                <w:sz w:val="18"/>
              </w:rPr>
              <w:t>Skor komposit</w:t>
            </w:r>
          </w:p>
        </w:tc>
        <w:tc>
          <w:tcPr>
            <w:tcW w:type="dxa" w:w="1020"/>
          </w:tcPr>
          <w:p>
            <w:pPr>
              <w:spacing w:after="0"/>
            </w:pPr>
          </w:p>
        </w:tc>
        <w:tc>
          <w:tcPr>
            <w:tcW w:type="dxa" w:w="1247"/>
          </w:tcPr>
          <w:p>
            <w:pPr>
              <w:spacing w:after="0"/>
            </w:pPr>
            <w:r>
              <w:rPr>
                <w:b/>
                <w:sz w:val="18"/>
              </w:rPr>
              <w:t>69,44</w:t>
            </w:r>
          </w:p>
        </w:tc>
        <w:tc>
          <w:tcPr>
            <w:tcW w:type="dxa" w:w="4762"/>
          </w:tcPr>
          <w:p>
            <w:pPr>
              <w:spacing w:after="0"/>
            </w:pPr>
            <w:r>
              <w:rPr>
                <w:b/>
                <w:sz w:val="18"/>
              </w:rPr>
              <w:t>KUNING - Adopsi Bersyarat (CBA)</w:t>
            </w:r>
          </w:p>
        </w:tc>
      </w:tr>
    </w:tbl>
    <w:p>
      <w:pPr>
        <w:spacing w:after="0"/>
      </w:pPr>
    </w:p>
    <w:p>
      <w:pPr>
        <w:pStyle w:val="Heading2"/>
      </w:pPr>
      <w:r>
        <w:t>7.3 Keputusan Final KFT (langkah 50, 51 dan 53)</w:t>
      </w:r>
    </w:p>
    <w:p>
      <w:r>
        <w:rPr/>
        <w:t xml:space="preserve">Paket meminta jenis keputusan dan alasan terintegrasi diisi manusia. Kartu </w:t>
      </w:r>
      <w:r>
        <w:rPr>
          <w:b/>
        </w:rPr>
        <w:t>Keputusan Final KFT</w:t>
      </w:r>
      <w:r>
        <w:rPr/>
        <w:t xml:space="preserve"> di bawah rekomendasi sistem menampung keduanya. Kartu ini diisi oleh Anggota KFT atau Ketua KFT, wajib disertai alasan, dan menjadi syarat sign-off. Setiap perubahan disimpan sebagai riwayat; keputusan lama tidak pernah ditimpa.</w:t>
      </w:r>
    </w:p>
    <w:p>
      <w:pPr>
        <w:tabs>
          <w:tab w:pos="425" w:val="left"/>
        </w:tabs>
        <w:spacing w:after="60"/>
        <w:ind w:left="425" w:hanging="425"/>
      </w:pPr>
      <w:r>
        <w:rPr/>
        <w:t>1.</w:t>
        <w:tab/>
        <w:t xml:space="preserve">Masuk sebagai Anggota KFT dan buka tab </w:t>
      </w:r>
      <w:r>
        <w:rPr>
          <w:b/>
        </w:rPr>
        <w:t>Rekomendasi</w:t>
      </w:r>
      <w:r>
        <w:rPr/>
        <w:t>.</w:t>
      </w:r>
    </w:p>
    <w:p>
      <w:pPr>
        <w:tabs>
          <w:tab w:pos="425" w:val="left"/>
        </w:tabs>
        <w:spacing w:after="60"/>
        <w:ind w:left="425" w:hanging="425"/>
      </w:pPr>
      <w:r>
        <w:rPr/>
        <w:t>2.</w:t>
        <w:tab/>
        <w:t xml:space="preserve">Pada kartu </w:t>
      </w:r>
      <w:r>
        <w:rPr>
          <w:b/>
        </w:rPr>
        <w:t>Keputusan Final KFT</w:t>
      </w:r>
      <w:r>
        <w:rPr/>
        <w:t xml:space="preserve">, pilih </w:t>
      </w:r>
      <w:r>
        <w:rPr>
          <w:b/>
        </w:rPr>
        <w:t>Keputusan</w:t>
      </w:r>
      <w:r>
        <w:rPr/>
        <w:t xml:space="preserve">: </w:t>
      </w:r>
      <w:r>
        <w:rPr>
          <w:rFonts w:ascii="Consolas" w:hAnsi="Consolas" w:eastAsia="Consolas"/>
        </w:rPr>
        <w:t>Adopsi dengan kriteria akses (Adopt with criteria-based access)</w:t>
      </w:r>
      <w:r>
        <w:rPr/>
        <w:t>.</w:t>
      </w:r>
    </w:p>
    <w:p>
      <w:pPr>
        <w:tabs>
          <w:tab w:pos="425" w:val="left"/>
        </w:tabs>
        <w:spacing w:after="60"/>
        <w:ind w:left="425" w:hanging="425"/>
      </w:pPr>
      <w:r>
        <w:rPr/>
        <w:t>3.</w:t>
        <w:tab/>
        <w:t xml:space="preserve">Tulis </w:t>
      </w:r>
      <w:r>
        <w:rPr>
          <w:b/>
        </w:rPr>
        <w:t>Alasan</w:t>
      </w:r>
      <w:r>
        <w:rPr/>
        <w:t xml:space="preserve"> yang memadukan seluruh menu, tidak hanya "ICER di bawah WTP".</w:t>
      </w:r>
    </w:p>
    <w:p>
      <w:pPr>
        <w:tabs>
          <w:tab w:pos="425" w:val="left"/>
        </w:tabs>
        <w:spacing w:after="60"/>
        <w:ind w:left="425" w:hanging="425"/>
      </w:pPr>
      <w:r>
        <w:rPr/>
        <w:t>4.</w:t>
        <w:tab/>
        <w:t xml:space="preserve">Klik </w:t>
      </w:r>
      <w:r>
        <w:rPr>
          <w:b/>
        </w:rPr>
        <w:t>Simpan Keputusan Final</w:t>
      </w:r>
      <w:r>
        <w:rPr/>
        <w:t>. Keputusan, alasan, nama pencatat, waktu, dan warna rekomendasi sistem yang menjadi dasarnya tampil pada kartu.</w:t>
      </w:r>
    </w:p>
    <w:p>
      <w:pPr>
        <w:keepNext/>
        <w:spacing w:after="60"/>
      </w:pPr>
      <w:r>
        <w:rPr>
          <w:b/>
          <w:sz w:val="19"/>
        </w:rPr>
        <w:t>Tabel 13.</w:t>
      </w:r>
      <w:r>
        <w:rPr>
          <w:sz w:val="19"/>
        </w:rPr>
        <w:t xml:space="preserve"> Keputusan Final KFT kasus latihan (paket langkah 50 dan 53)</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041"/>
            <w:shd w:val="clear" w:color="auto" w:fill="1F4E79"/>
          </w:tcPr>
          <w:p>
            <w:pPr>
              <w:spacing w:after="0"/>
            </w:pPr>
            <w:r>
              <w:rPr>
                <w:b/>
                <w:color w:val="FFFFFF"/>
                <w:sz w:val="18"/>
              </w:rPr>
              <w:t>Isian</w:t>
            </w:r>
          </w:p>
        </w:tc>
        <w:tc>
          <w:tcPr>
            <w:tcW w:type="dxa" w:w="7597"/>
            <w:shd w:val="clear" w:color="auto" w:fill="1F4E79"/>
          </w:tcPr>
          <w:p>
            <w:pPr>
              <w:spacing w:after="0"/>
            </w:pPr>
            <w:r>
              <w:rPr>
                <w:b/>
                <w:color w:val="FFFFFF"/>
                <w:sz w:val="18"/>
              </w:rPr>
              <w:t>Nilai pada kasus latihan</w:t>
            </w:r>
          </w:p>
        </w:tc>
      </w:tr>
      <w:tr>
        <w:tc>
          <w:tcPr>
            <w:tcW w:type="dxa" w:w="2041"/>
          </w:tcPr>
          <w:p>
            <w:pPr>
              <w:spacing w:after="0"/>
            </w:pPr>
            <w:r>
              <w:rPr>
                <w:sz w:val="18"/>
              </w:rPr>
              <w:t>Keputusan</w:t>
            </w:r>
          </w:p>
        </w:tc>
        <w:tc>
          <w:tcPr>
            <w:tcW w:type="dxa" w:w="7597"/>
          </w:tcPr>
          <w:p>
            <w:pPr>
              <w:spacing w:after="0"/>
            </w:pPr>
            <w:r>
              <w:rPr>
                <w:sz w:val="18"/>
              </w:rPr>
              <w:t>Adopsi dengan kriteria akses (Adopt with criteria-based access)</w:t>
            </w:r>
          </w:p>
        </w:tc>
      </w:tr>
      <w:tr>
        <w:tc>
          <w:tcPr>
            <w:tcW w:type="dxa" w:w="2041"/>
          </w:tcPr>
          <w:p>
            <w:pPr>
              <w:spacing w:after="0"/>
            </w:pPr>
            <w:r>
              <w:rPr>
                <w:sz w:val="18"/>
              </w:rPr>
              <w:t>Alasan</w:t>
            </w:r>
          </w:p>
        </w:tc>
        <w:tc>
          <w:tcPr>
            <w:tcW w:type="dxa" w:w="7597"/>
          </w:tcPr>
          <w:p>
            <w:pPr>
              <w:spacing w:after="0"/>
            </w:pPr>
            <w:r>
              <w:rPr>
                <w:sz w:val="18"/>
              </w:rPr>
              <w:t>Manfaat klinis dan cost-effectiveness deterministik mendukung, tetapi hasil PSA tidak pasti dan dampak anggaran meningkat. Adopsi dibatasi pada pasien yang memenuhi kriteria akses.</w:t>
            </w:r>
          </w:p>
        </w:tc>
      </w:tr>
    </w:tbl>
    <w:p>
      <w:pPr>
        <w:spacing w:after="0"/>
      </w:pPr>
    </w:p>
    <w:p>
      <w:pPr>
        <w:keepNext/>
        <w:spacing w:after="40"/>
        <w:jc w:val="center"/>
      </w:pPr>
      <w:r>
        <w:drawing>
          <wp:inline xmlns:a="http://schemas.openxmlformats.org/drawingml/2006/main" xmlns:pic="http://schemas.openxmlformats.org/drawingml/2006/picture">
            <wp:extent cx="6120000" cy="2126197"/>
            <wp:docPr id="25" name="Picture 25"/>
            <wp:cNvGraphicFramePr>
              <a:graphicFrameLocks noChangeAspect="1"/>
            </wp:cNvGraphicFramePr>
            <a:graphic>
              <a:graphicData uri="http://schemas.openxmlformats.org/drawingml/2006/picture">
                <pic:pic>
                  <pic:nvPicPr>
                    <pic:cNvPr id="0" name="26b-rekomendasi-keputusan-form-25.png"/>
                    <pic:cNvPicPr/>
                  </pic:nvPicPr>
                  <pic:blipFill>
                    <a:blip r:embed="rId34"/>
                    <a:stretch>
                      <a:fillRect/>
                    </a:stretch>
                  </pic:blipFill>
                  <pic:spPr>
                    <a:xfrm>
                      <a:off x="0" y="0"/>
                      <a:ext cx="6120000" cy="2126197"/>
                    </a:xfrm>
                    <a:prstGeom prst="rect"/>
                  </pic:spPr>
                </pic:pic>
              </a:graphicData>
            </a:graphic>
          </wp:inline>
        </w:drawing>
      </w:r>
    </w:p>
    <w:p>
      <w:pPr>
        <w:spacing w:after="200"/>
        <w:jc w:val="center"/>
      </w:pPr>
      <w:r>
        <w:rPr>
          <w:b/>
          <w:color w:val="595959"/>
          <w:sz w:val="18"/>
        </w:rPr>
        <w:t>Gambar 25.</w:t>
      </w:r>
      <w:r>
        <w:rPr>
          <w:color w:val="595959"/>
          <w:sz w:val="18"/>
        </w:rPr>
        <w:t xml:space="preserve"> Kartu Keputusan Final KFT sebelum disimpan.</w:t>
      </w:r>
    </w:p>
    <w:p>
      <w:pPr>
        <w:keepNext/>
        <w:spacing w:after="40"/>
        <w:jc w:val="center"/>
      </w:pPr>
      <w:r>
        <w:drawing>
          <wp:inline xmlns:a="http://schemas.openxmlformats.org/drawingml/2006/main" xmlns:pic="http://schemas.openxmlformats.org/drawingml/2006/picture">
            <wp:extent cx="6120000" cy="2560775"/>
            <wp:docPr id="26" name="Picture 26"/>
            <wp:cNvGraphicFramePr>
              <a:graphicFrameLocks noChangeAspect="1"/>
            </wp:cNvGraphicFramePr>
            <a:graphic>
              <a:graphicData uri="http://schemas.openxmlformats.org/drawingml/2006/picture">
                <pic:pic>
                  <pic:nvPicPr>
                    <pic:cNvPr id="0" name="26c-rekomendasi-keputusan-final-26.png"/>
                    <pic:cNvPicPr/>
                  </pic:nvPicPr>
                  <pic:blipFill>
                    <a:blip r:embed="rId35"/>
                    <a:stretch>
                      <a:fillRect/>
                    </a:stretch>
                  </pic:blipFill>
                  <pic:spPr>
                    <a:xfrm>
                      <a:off x="0" y="0"/>
                      <a:ext cx="6120000" cy="2560775"/>
                    </a:xfrm>
                    <a:prstGeom prst="rect"/>
                  </pic:spPr>
                </pic:pic>
              </a:graphicData>
            </a:graphic>
          </wp:inline>
        </w:drawing>
      </w:r>
    </w:p>
    <w:p>
      <w:pPr>
        <w:spacing w:after="200"/>
        <w:jc w:val="center"/>
      </w:pPr>
      <w:r>
        <w:rPr>
          <w:b/>
          <w:color w:val="595959"/>
          <w:sz w:val="18"/>
        </w:rPr>
        <w:t>Gambar 26.</w:t>
      </w:r>
      <w:r>
        <w:rPr>
          <w:color w:val="595959"/>
          <w:sz w:val="18"/>
        </w:rPr>
        <w:t xml:space="preserve"> Keputusan Final KFT tersimpan, di samping warna dan skor sistem.</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Warna sistem dan keputusan KFT</w:t>
            </w:r>
          </w:p>
          <w:p>
            <w:pPr>
              <w:spacing w:after="40"/>
            </w:pPr>
            <w:r>
              <w:rPr>
                <w:sz w:val="20"/>
              </w:rPr>
              <w:t>Lima jenis keputusan tersedia: Adopt, Adopt with criteria-based access, Defer pending additional evidence, Do not adopt, dan Reassess after price negotiation. KFT boleh memilih keputusan yang berbeda dari warna sistem, asal alasannya ditulis.</w:t>
            </w:r>
          </w:p>
          <w:p>
            <w:pPr>
              <w:spacing w:after="40"/>
            </w:pPr>
            <w:r>
              <w:rPr>
                <w:sz w:val="20"/>
              </w:rPr>
              <w:t xml:space="preserve">Hasil </w:t>
            </w:r>
            <w:r>
              <w:rPr>
                <w:b/>
                <w:sz w:val="20"/>
              </w:rPr>
              <w:t>KUNING - Adopsi Bersyarat (CBA)</w:t>
            </w:r>
            <w:r>
              <w:rPr>
                <w:sz w:val="20"/>
              </w:rPr>
              <w:t xml:space="preserve"> sepadan dengan keputusan latihan pada paket, "Adopt with criteria-based access": manfaat dan cost-effectiveness mendukung, tetapi dampak anggaran bermakna dan penggunaannya dibatasi kriteria.</w:t>
            </w:r>
          </w:p>
          <w:p>
            <w:pPr>
              <w:spacing w:after="40"/>
            </w:pPr>
            <w:r>
              <w:rPr>
                <w:sz w:val="20"/>
              </w:rPr>
              <w:t>Bila rekomendasi dihitung ulang setelah keputusan dicatat, kartu meminta keputusan dicatat ulang atas rekomendasi terbaru sebelum sign-off.</w:t>
            </w:r>
          </w:p>
          <w:p>
            <w:pPr>
              <w:spacing w:after="40"/>
            </w:pPr>
            <w:r>
              <w:rPr>
                <w:b/>
                <w:sz w:val="20"/>
              </w:rPr>
              <w:t>Target populasi</w:t>
            </w:r>
            <w:r>
              <w:rPr>
                <w:sz w:val="20"/>
              </w:rPr>
              <w:t xml:space="preserve"> (langkah 51) tidak diisi di sini: tercatat pada Ringkasan dan pertanyaan PICO, dan dicetak pada brief sebagai Populasi target.</w:t>
            </w:r>
          </w:p>
        </w:tc>
      </w:tr>
    </w:tbl>
    <w:p>
      <w:pPr>
        <w:spacing w:after="0"/>
      </w:pP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Yang perlu diketahui</w:t>
            </w:r>
          </w:p>
          <w:p>
            <w:pPr>
              <w:spacing w:after="40"/>
            </w:pPr>
            <w:r>
              <w:rPr>
                <w:b/>
                <w:sz w:val="20"/>
              </w:rPr>
              <w:t>Hasil PSA tidak masuk ke skor komposit.</w:t>
            </w:r>
            <w:r>
              <w:rPr>
                <w:sz w:val="20"/>
              </w:rPr>
              <w:t xml:space="preserve"> Skor cost-effectiveness hanya memakai hasil deterministik, sehingga ketidakpastian sekitar 56% ditimbang KFT dalam Keputusan Final KFT dan alasannya.</w:t>
            </w:r>
          </w:p>
          <w:p>
            <w:pPr>
              <w:spacing w:after="40"/>
            </w:pPr>
            <w:r>
              <w:rPr>
                <w:b/>
                <w:sz w:val="20"/>
              </w:rPr>
              <w:t>Bobot Domain EtD</w:t>
            </w:r>
            <w:r>
              <w:rPr>
                <w:sz w:val="20"/>
              </w:rPr>
              <w:t xml:space="preserve"> pada tab ini boleh diisi Anggota KFT, tetapi sesuai keterangan di layar hanya menjadi informasi dan tidak mengubah skor.</w:t>
            </w:r>
          </w:p>
        </w:tc>
      </w:tr>
    </w:tbl>
    <w:p>
      <w:pPr>
        <w:spacing w:after="0"/>
      </w:pPr>
    </w:p>
    <w:p>
      <w:r>
        <w:br w:type="page"/>
      </w:r>
    </w:p>
    <w:p>
      <w:pPr>
        <w:pStyle w:val="Heading1"/>
      </w:pPr>
      <w:r>
        <w:t>8. Menu 7 - Sign-Off</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Analis HTA (mengajukan), lalu Ketua KFT (menandatangani)     </w:t>
            </w:r>
            <w:r>
              <w:rPr>
                <w:b/>
                <w:sz w:val="20"/>
              </w:rPr>
              <w:t>Langkah paket:</w:t>
            </w:r>
            <w:r>
              <w:rPr>
                <w:sz w:val="20"/>
              </w:rPr>
              <w:t xml:space="preserve"> 54-55</w:t>
            </w:r>
          </w:p>
        </w:tc>
      </w:tr>
    </w:tbl>
    <w:p>
      <w:pPr>
        <w:spacing w:after="0"/>
      </w:pPr>
    </w:p>
    <w:p>
      <w:r>
        <w:rPr/>
        <w:t>Sign-off adalah persetujuan resmi Ketua KFT atas Keputusan Final KFT. Sebelum itu, Analis HTA memeriksa kelengkapan dossier dan mengajukan kasus untuk ditinjau.</w:t>
      </w:r>
    </w:p>
    <w:p>
      <w:pPr>
        <w:pStyle w:val="Heading2"/>
      </w:pPr>
      <w:r>
        <w:t>8.1 Memeriksa dan mengajukan (Analis HTA)</w:t>
      </w:r>
    </w:p>
    <w:p>
      <w:pPr>
        <w:tabs>
          <w:tab w:pos="425" w:val="left"/>
        </w:tabs>
        <w:spacing w:after="60"/>
        <w:ind w:left="425" w:hanging="425"/>
      </w:pPr>
      <w:r>
        <w:rPr/>
        <w:t>1.</w:t>
        <w:tab/>
        <w:t xml:space="preserve">Buka tab </w:t>
      </w:r>
      <w:r>
        <w:rPr>
          <w:b/>
        </w:rPr>
        <w:t>Sign-Off</w:t>
      </w:r>
      <w:r>
        <w:rPr/>
        <w:t xml:space="preserve">. Kartu </w:t>
      </w:r>
      <w:r>
        <w:rPr>
          <w:b/>
        </w:rPr>
        <w:t>Kelengkapan Dossier</w:t>
      </w:r>
      <w:r>
        <w:rPr/>
        <w:t xml:space="preserve"> harus bertanda </w:t>
      </w:r>
      <w:r>
        <w:rPr>
          <w:b/>
        </w:rPr>
        <w:t>SIAP SIGN-OFF</w:t>
      </w:r>
      <w:r>
        <w:rPr/>
        <w:t>, dengan semua butir wajib tercentang.</w:t>
      </w:r>
    </w:p>
    <w:p>
      <w:pPr>
        <w:tabs>
          <w:tab w:pos="425" w:val="left"/>
        </w:tabs>
        <w:spacing w:after="60"/>
        <w:ind w:left="425" w:hanging="425"/>
      </w:pPr>
      <w:r>
        <w:rPr/>
        <w:t>2.</w:t>
        <w:tab/>
        <w:t xml:space="preserve">Periksa kartu </w:t>
      </w:r>
      <w:r>
        <w:rPr>
          <w:b/>
        </w:rPr>
        <w:t>Dossier Kasus untuk Tinjauan</w:t>
      </w:r>
      <w:r>
        <w:rPr/>
        <w:t>: angkanya harus sama dengan tab asalnya, dan Keputusan Final KFT tercantum.</w:t>
      </w:r>
    </w:p>
    <w:p>
      <w:pPr>
        <w:tabs>
          <w:tab w:pos="425" w:val="left"/>
        </w:tabs>
        <w:spacing w:after="60"/>
        <w:ind w:left="425" w:hanging="425"/>
      </w:pPr>
      <w:r>
        <w:rPr/>
        <w:t>3.</w:t>
        <w:tab/>
        <w:t xml:space="preserve">Klik </w:t>
      </w:r>
      <w:r>
        <w:rPr>
          <w:b/>
        </w:rPr>
        <w:t>Tindakan</w:t>
      </w:r>
      <w:r>
        <w:rPr/>
        <w:t xml:space="preserve"> di kanan atas, lalu </w:t>
      </w:r>
      <w:r>
        <w:rPr>
          <w:b/>
        </w:rPr>
        <w:t>Ajukan untuk Tinjauan</w:t>
      </w:r>
      <w:r>
        <w:rPr/>
        <w:t>. Status kasus menjadi Dalam Tinjauan.</w:t>
      </w:r>
    </w:p>
    <w:p>
      <w:pPr>
        <w:keepNext/>
        <w:spacing w:after="40"/>
        <w:jc w:val="center"/>
      </w:pPr>
      <w:r>
        <w:drawing>
          <wp:inline xmlns:a="http://schemas.openxmlformats.org/drawingml/2006/main" xmlns:pic="http://schemas.openxmlformats.org/drawingml/2006/picture">
            <wp:extent cx="6120000" cy="6091268"/>
            <wp:docPr id="27" name="Picture 27"/>
            <wp:cNvGraphicFramePr>
              <a:graphicFrameLocks noChangeAspect="1"/>
            </wp:cNvGraphicFramePr>
            <a:graphic>
              <a:graphicData uri="http://schemas.openxmlformats.org/drawingml/2006/picture">
                <pic:pic>
                  <pic:nvPicPr>
                    <pic:cNvPr id="0" name="27-signoff-kelengkapan-27.png"/>
                    <pic:cNvPicPr/>
                  </pic:nvPicPr>
                  <pic:blipFill>
                    <a:blip r:embed="rId36"/>
                    <a:stretch>
                      <a:fillRect/>
                    </a:stretch>
                  </pic:blipFill>
                  <pic:spPr>
                    <a:xfrm>
                      <a:off x="0" y="0"/>
                      <a:ext cx="6120000" cy="6091268"/>
                    </a:xfrm>
                    <a:prstGeom prst="rect"/>
                  </pic:spPr>
                </pic:pic>
              </a:graphicData>
            </a:graphic>
          </wp:inline>
        </w:drawing>
      </w:r>
    </w:p>
    <w:p>
      <w:pPr>
        <w:spacing w:after="200"/>
        <w:jc w:val="center"/>
      </w:pPr>
      <w:r>
        <w:rPr>
          <w:b/>
          <w:color w:val="595959"/>
          <w:sz w:val="18"/>
        </w:rPr>
        <w:t>Gambar 27.</w:t>
      </w:r>
      <w:r>
        <w:rPr>
          <w:color w:val="595959"/>
          <w:sz w:val="18"/>
        </w:rPr>
        <w:t xml:space="preserve"> Kelengkapan dossier dan ringkasannya, dilihat Analis HTA.</w:t>
      </w:r>
    </w:p>
    <w:p>
      <w:pPr>
        <w:keepNext/>
        <w:spacing w:after="40"/>
        <w:jc w:val="center"/>
      </w:pPr>
      <w:r>
        <w:drawing>
          <wp:inline xmlns:a="http://schemas.openxmlformats.org/drawingml/2006/main" xmlns:pic="http://schemas.openxmlformats.org/drawingml/2006/picture">
            <wp:extent cx="6120000" cy="2377606"/>
            <wp:docPr id="28" name="Picture 28"/>
            <wp:cNvGraphicFramePr>
              <a:graphicFrameLocks noChangeAspect="1"/>
            </wp:cNvGraphicFramePr>
            <a:graphic>
              <a:graphicData uri="http://schemas.openxmlformats.org/drawingml/2006/picture">
                <pic:pic>
                  <pic:nvPicPr>
                    <pic:cNvPr id="0" name="28-signoff-ajukan-28.png"/>
                    <pic:cNvPicPr/>
                  </pic:nvPicPr>
                  <pic:blipFill>
                    <a:blip r:embed="rId37"/>
                    <a:stretch>
                      <a:fillRect/>
                    </a:stretch>
                  </pic:blipFill>
                  <pic:spPr>
                    <a:xfrm>
                      <a:off x="0" y="0"/>
                      <a:ext cx="6120000" cy="2377606"/>
                    </a:xfrm>
                    <a:prstGeom prst="rect"/>
                  </pic:spPr>
                </pic:pic>
              </a:graphicData>
            </a:graphic>
          </wp:inline>
        </w:drawing>
      </w:r>
    </w:p>
    <w:p>
      <w:pPr>
        <w:spacing w:after="200"/>
        <w:jc w:val="center"/>
      </w:pPr>
      <w:r>
        <w:rPr>
          <w:b/>
          <w:color w:val="595959"/>
          <w:sz w:val="18"/>
        </w:rPr>
        <w:t>Gambar 28.</w:t>
      </w:r>
      <w:r>
        <w:rPr>
          <w:color w:val="595959"/>
          <w:sz w:val="18"/>
        </w:rPr>
        <w:t xml:space="preserve"> Menu Tindakan dengan pilihan Ajukan untuk Tinjauan.</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Bandingkan dengan checklist paket (sheet 08_SIGN_OFF)</w:t>
            </w:r>
          </w:p>
          <w:p>
            <w:pPr>
              <w:spacing w:after="40"/>
            </w:pPr>
            <w:r>
              <w:rPr>
                <w:sz w:val="20"/>
              </w:rPr>
              <w:t xml:space="preserve">Kelengkapan Dossier memeriksa PICO, analisis ekonomi, BIA, </w:t>
            </w:r>
            <w:r>
              <w:rPr>
                <w:b/>
                <w:sz w:val="20"/>
              </w:rPr>
              <w:t>PSA yang dijalankan pada input terbaru</w:t>
            </w:r>
            <w:r>
              <w:rPr>
                <w:sz w:val="20"/>
              </w:rPr>
              <w:t xml:space="preserve">, sembilan domain EtD, rekomendasi, </w:t>
            </w:r>
            <w:r>
              <w:rPr>
                <w:b/>
                <w:sz w:val="20"/>
              </w:rPr>
              <w:t>rekomendasi yang masih sesuai input</w:t>
            </w:r>
            <w:r>
              <w:rPr>
                <w:sz w:val="20"/>
              </w:rPr>
              <w:t xml:space="preserve">, </w:t>
            </w:r>
            <w:r>
              <w:rPr>
                <w:b/>
                <w:sz w:val="20"/>
              </w:rPr>
              <w:t>Keputusan Final KFT</w:t>
            </w:r>
            <w:r>
              <w:rPr>
                <w:sz w:val="20"/>
              </w:rPr>
              <w:t>, sign-off dan kriteria CBA.</w:t>
            </w:r>
          </w:p>
          <w:p>
            <w:pPr>
              <w:spacing w:after="40"/>
            </w:pPr>
            <w:r>
              <w:rPr>
                <w:sz w:val="20"/>
              </w:rPr>
              <w:t>PSA dianggap berlaku hanya bila inputnya sama dengan input sekarang. PSA yang dijalankan sebelum 13 Oktober 2026 belum mencatat inputnya dan harus dijalankan ulang sekali.</w:t>
            </w:r>
          </w:p>
          <w:p>
            <w:pPr>
              <w:spacing w:after="40"/>
            </w:pPr>
            <w:r>
              <w:rPr>
                <w:sz w:val="20"/>
              </w:rPr>
              <w:t xml:space="preserve">Bila ada butir wajib yang kurang, pengajuan ditolak dengan pesan </w:t>
            </w:r>
            <w:r>
              <w:rPr>
                <w:b/>
                <w:sz w:val="20"/>
              </w:rPr>
              <w:t>Dossier belum lengkap</w:t>
            </w:r>
            <w:r>
              <w:rPr>
                <w:sz w:val="20"/>
              </w:rPr>
              <w:t xml:space="preserve"> beserta daftar kekurangannya, dan tombol tanda tangan Ketua KFT tidak aktif.</w:t>
            </w:r>
          </w:p>
        </w:tc>
      </w:tr>
    </w:tbl>
    <w:p>
      <w:pPr>
        <w:spacing w:after="0"/>
      </w:pPr>
    </w:p>
    <w:p>
      <w:pPr>
        <w:pStyle w:val="Heading2"/>
      </w:pPr>
      <w:r>
        <w:t>8.2 Menandatangani (Ketua KFT)</w:t>
      </w:r>
    </w:p>
    <w:p>
      <w:pPr>
        <w:tabs>
          <w:tab w:pos="425" w:val="left"/>
        </w:tabs>
        <w:spacing w:after="60"/>
        <w:ind w:left="425" w:hanging="425"/>
      </w:pPr>
      <w:r>
        <w:rPr/>
        <w:t>1.</w:t>
        <w:tab/>
        <w:t xml:space="preserve">Masuk sebagai Ketua KFT dan buka tab </w:t>
      </w:r>
      <w:r>
        <w:rPr>
          <w:b/>
        </w:rPr>
        <w:t>Sign-Off</w:t>
      </w:r>
      <w:r>
        <w:rPr/>
        <w:t xml:space="preserve"> kasus tersebut.</w:t>
      </w:r>
    </w:p>
    <w:p>
      <w:pPr>
        <w:tabs>
          <w:tab w:pos="425" w:val="left"/>
        </w:tabs>
        <w:spacing w:after="60"/>
        <w:ind w:left="425" w:hanging="425"/>
      </w:pPr>
      <w:r>
        <w:rPr/>
        <w:t>2.</w:t>
        <w:tab/>
        <w:t xml:space="preserve">Tinjau dossier. Pada kartu </w:t>
      </w:r>
      <w:r>
        <w:rPr>
          <w:b/>
        </w:rPr>
        <w:t>Tanda Tangan Ketua KFT</w:t>
      </w:r>
      <w:r>
        <w:rPr/>
        <w:t xml:space="preserve">, klik </w:t>
      </w:r>
      <w:r>
        <w:rPr>
          <w:b/>
        </w:rPr>
        <w:t>Setujui dengan Sign-Off</w:t>
      </w:r>
      <w:r>
        <w:rPr/>
        <w:t>.</w:t>
      </w:r>
    </w:p>
    <w:p>
      <w:pPr>
        <w:tabs>
          <w:tab w:pos="425" w:val="left"/>
        </w:tabs>
        <w:spacing w:after="60"/>
        <w:ind w:left="425" w:hanging="425"/>
      </w:pPr>
      <w:r>
        <w:rPr/>
        <w:t>3.</w:t>
        <w:tab/>
        <w:t xml:space="preserve">Centang pernyataan konfirmasi, ketik </w:t>
      </w:r>
      <w:r>
        <w:rPr>
          <w:b/>
        </w:rPr>
        <w:t>Sandi Anda</w:t>
      </w:r>
      <w:r>
        <w:rPr/>
        <w:t xml:space="preserve">, lalu klik </w:t>
      </w:r>
      <w:r>
        <w:rPr>
          <w:b/>
        </w:rPr>
        <w:t>Setujui &amp; Tanda Tangan</w:t>
      </w:r>
      <w:r>
        <w:rPr/>
        <w:t>.</w:t>
      </w:r>
    </w:p>
    <w:p>
      <w:pPr>
        <w:tabs>
          <w:tab w:pos="425" w:val="left"/>
        </w:tabs>
        <w:spacing w:after="60"/>
        <w:ind w:left="425" w:hanging="425"/>
      </w:pPr>
      <w:r>
        <w:rPr/>
        <w:t>4.</w:t>
        <w:tab/>
        <w:t xml:space="preserve">Status kasus menjadi Disetujui, dan tanda tangan tercatat pada </w:t>
      </w:r>
      <w:r>
        <w:rPr>
          <w:b/>
        </w:rPr>
        <w:t>Riwayat Tanda Tangan</w:t>
      </w:r>
      <w:r>
        <w:rPr/>
        <w:t xml:space="preserve"> bersama Keputusan Final KFT yang ditandatangani.</w:t>
      </w:r>
    </w:p>
    <w:p>
      <w:pPr>
        <w:keepNext/>
        <w:spacing w:after="40"/>
        <w:jc w:val="center"/>
      </w:pPr>
      <w:r>
        <w:drawing>
          <wp:inline xmlns:a="http://schemas.openxmlformats.org/drawingml/2006/main" xmlns:pic="http://schemas.openxmlformats.org/drawingml/2006/picture">
            <wp:extent cx="6120000" cy="6752113"/>
            <wp:docPr id="29" name="Picture 29"/>
            <wp:cNvGraphicFramePr>
              <a:graphicFrameLocks noChangeAspect="1"/>
            </wp:cNvGraphicFramePr>
            <a:graphic>
              <a:graphicData uri="http://schemas.openxmlformats.org/drawingml/2006/picture">
                <pic:pic>
                  <pic:nvPicPr>
                    <pic:cNvPr id="0" name="29-signoff-ketua-29.png"/>
                    <pic:cNvPicPr/>
                  </pic:nvPicPr>
                  <pic:blipFill>
                    <a:blip r:embed="rId38"/>
                    <a:stretch>
                      <a:fillRect/>
                    </a:stretch>
                  </pic:blipFill>
                  <pic:spPr>
                    <a:xfrm>
                      <a:off x="0" y="0"/>
                      <a:ext cx="6120000" cy="6752113"/>
                    </a:xfrm>
                    <a:prstGeom prst="rect"/>
                  </pic:spPr>
                </pic:pic>
              </a:graphicData>
            </a:graphic>
          </wp:inline>
        </w:drawing>
      </w:r>
    </w:p>
    <w:p>
      <w:pPr>
        <w:spacing w:after="200"/>
        <w:jc w:val="center"/>
      </w:pPr>
      <w:r>
        <w:rPr>
          <w:b/>
          <w:color w:val="595959"/>
          <w:sz w:val="18"/>
        </w:rPr>
        <w:t>Gambar 29.</w:t>
      </w:r>
      <w:r>
        <w:rPr>
          <w:color w:val="595959"/>
          <w:sz w:val="18"/>
        </w:rPr>
        <w:t xml:space="preserve"> Tab Sign-Off dilihat Ketua KFT, dengan tiga pilihan keputusan.</w:t>
      </w:r>
    </w:p>
    <w:p>
      <w:pPr>
        <w:keepNext/>
        <w:spacing w:after="40"/>
        <w:jc w:val="center"/>
      </w:pPr>
      <w:r>
        <w:drawing>
          <wp:inline xmlns:a="http://schemas.openxmlformats.org/drawingml/2006/main" xmlns:pic="http://schemas.openxmlformats.org/drawingml/2006/picture">
            <wp:extent cx="5100000" cy="3068737"/>
            <wp:docPr id="30" name="Picture 30"/>
            <wp:cNvGraphicFramePr>
              <a:graphicFrameLocks noChangeAspect="1"/>
            </wp:cNvGraphicFramePr>
            <a:graphic>
              <a:graphicData uri="http://schemas.openxmlformats.org/drawingml/2006/picture">
                <pic:pic>
                  <pic:nvPicPr>
                    <pic:cNvPr id="0" name="30-signoff-tanda-tangan-30.png"/>
                    <pic:cNvPicPr/>
                  </pic:nvPicPr>
                  <pic:blipFill>
                    <a:blip r:embed="rId39"/>
                    <a:stretch>
                      <a:fillRect/>
                    </a:stretch>
                  </pic:blipFill>
                  <pic:spPr>
                    <a:xfrm>
                      <a:off x="0" y="0"/>
                      <a:ext cx="5100000" cy="3068737"/>
                    </a:xfrm>
                    <a:prstGeom prst="rect"/>
                  </pic:spPr>
                </pic:pic>
              </a:graphicData>
            </a:graphic>
          </wp:inline>
        </w:drawing>
      </w:r>
    </w:p>
    <w:p>
      <w:pPr>
        <w:spacing w:after="200"/>
        <w:jc w:val="center"/>
      </w:pPr>
      <w:r>
        <w:rPr>
          <w:b/>
          <w:color w:val="595959"/>
          <w:sz w:val="18"/>
        </w:rPr>
        <w:t>Gambar 30.</w:t>
      </w:r>
      <w:r>
        <w:rPr>
          <w:color w:val="595959"/>
          <w:sz w:val="18"/>
        </w:rPr>
        <w:t xml:space="preserve"> Konfirmasi dan sandi sebelum tanda tangan dicatat.</w:t>
      </w:r>
    </w:p>
    <w:p>
      <w:pPr>
        <w:keepNext/>
        <w:spacing w:after="40"/>
        <w:jc w:val="center"/>
      </w:pPr>
      <w:r>
        <w:drawing>
          <wp:inline xmlns:a="http://schemas.openxmlformats.org/drawingml/2006/main" xmlns:pic="http://schemas.openxmlformats.org/drawingml/2006/picture">
            <wp:extent cx="6120000" cy="958944"/>
            <wp:docPr id="31" name="Picture 31"/>
            <wp:cNvGraphicFramePr>
              <a:graphicFrameLocks noChangeAspect="1"/>
            </wp:cNvGraphicFramePr>
            <a:graphic>
              <a:graphicData uri="http://schemas.openxmlformats.org/drawingml/2006/picture">
                <pic:pic>
                  <pic:nvPicPr>
                    <pic:cNvPr id="0" name="31-signoff-riwayat-31.png"/>
                    <pic:cNvPicPr/>
                  </pic:nvPicPr>
                  <pic:blipFill>
                    <a:blip r:embed="rId40"/>
                    <a:stretch>
                      <a:fillRect/>
                    </a:stretch>
                  </pic:blipFill>
                  <pic:spPr>
                    <a:xfrm>
                      <a:off x="0" y="0"/>
                      <a:ext cx="6120000" cy="958944"/>
                    </a:xfrm>
                    <a:prstGeom prst="rect"/>
                  </pic:spPr>
                </pic:pic>
              </a:graphicData>
            </a:graphic>
          </wp:inline>
        </w:drawing>
      </w:r>
    </w:p>
    <w:p>
      <w:pPr>
        <w:spacing w:after="200"/>
        <w:jc w:val="center"/>
      </w:pPr>
      <w:r>
        <w:rPr>
          <w:b/>
          <w:color w:val="595959"/>
          <w:sz w:val="18"/>
        </w:rPr>
        <w:t>Gambar 31.</w:t>
      </w:r>
      <w:r>
        <w:rPr>
          <w:color w:val="595959"/>
          <w:sz w:val="18"/>
        </w:rPr>
        <w:t xml:space="preserve"> Riwayat tanda tangan. Alamat IP disamarkan.</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Wewenang</w:t>
            </w:r>
          </w:p>
          <w:p>
            <w:pPr>
              <w:spacing w:after="40"/>
            </w:pPr>
            <w:r>
              <w:rPr>
                <w:sz w:val="20"/>
              </w:rPr>
              <w:t>Hanya Ketua KFT yang melihat tombol tanda tangan. Peran lain dapat menyiapkan seluruh bukti dan draf, tetapi tidak dapat menyetujui.</w:t>
            </w:r>
          </w:p>
          <w:p>
            <w:pPr>
              <w:spacing w:after="40"/>
            </w:pPr>
            <w:r>
              <w:rPr>
                <w:sz w:val="20"/>
              </w:rPr>
              <w:t>Tanda tangan mengikat Keputusan Final KFT yang tercatat saat itu. Bila Ketua KFT berpendapat lain, ia mencatat keputusan baru di tab Rekomendasi lebih dulu.</w:t>
            </w:r>
          </w:p>
          <w:p>
            <w:pPr>
              <w:spacing w:after="40"/>
            </w:pPr>
            <w:r>
              <w:rPr>
                <w:b/>
                <w:sz w:val="20"/>
              </w:rPr>
              <w:t>Minta Revisi</w:t>
            </w:r>
            <w:r>
              <w:rPr>
                <w:sz w:val="20"/>
              </w:rPr>
              <w:t xml:space="preserve"> dan </w:t>
            </w:r>
            <w:r>
              <w:rPr>
                <w:b/>
                <w:sz w:val="20"/>
              </w:rPr>
              <w:t>Tolak</w:t>
            </w:r>
            <w:r>
              <w:rPr>
                <w:sz w:val="20"/>
              </w:rPr>
              <w:t xml:space="preserve"> pada kartu ini wajib disertai alasan dan mengembalikan kasus ke Draft.</w:t>
            </w:r>
          </w:p>
        </w:tc>
      </w:tr>
    </w:tbl>
    <w:p>
      <w:pPr>
        <w:spacing w:after="0"/>
      </w:pPr>
    </w:p>
    <w:p>
      <w:r>
        <w:br w:type="page"/>
      </w:r>
    </w:p>
    <w:p>
      <w:pPr>
        <w:pStyle w:val="Heading1"/>
      </w:pPr>
      <w:r>
        <w:t>9. Menu 8 - Brief</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Analis HTA (Ketua KFT juga dapat)     </w:t>
            </w:r>
            <w:r>
              <w:rPr>
                <w:b/>
                <w:sz w:val="20"/>
              </w:rPr>
              <w:t>Langkah paket:</w:t>
            </w:r>
            <w:r>
              <w:rPr>
                <w:sz w:val="20"/>
              </w:rPr>
              <w:t xml:space="preserve"> 56</w:t>
            </w:r>
          </w:p>
        </w:tc>
      </w:tr>
    </w:tbl>
    <w:p>
      <w:pPr>
        <w:spacing w:after="0"/>
      </w:pPr>
    </w:p>
    <w:p>
      <w:r>
        <w:rPr/>
        <w:t>Brief adalah ringkasan kebijakan dalam bentuk DOCX dan PDF. Brief baru dapat diterbitkan setelah kasus berstatus Disetujui atau Terkunci.</w:t>
      </w:r>
    </w:p>
    <w:p>
      <w:pPr>
        <w:tabs>
          <w:tab w:pos="425" w:val="left"/>
        </w:tabs>
        <w:spacing w:after="60"/>
        <w:ind w:left="425" w:hanging="425"/>
      </w:pPr>
      <w:r>
        <w:rPr/>
        <w:t>1.</w:t>
        <w:tab/>
        <w:t xml:space="preserve">Buka tab </w:t>
      </w:r>
      <w:r>
        <w:rPr>
          <w:b/>
        </w:rPr>
        <w:t>Brief</w:t>
      </w:r>
      <w:r>
        <w:rPr/>
        <w:t xml:space="preserve"> dan klik </w:t>
      </w:r>
      <w:r>
        <w:rPr>
          <w:b/>
        </w:rPr>
        <w:t>Terbitkan Ringkasan</w:t>
      </w:r>
      <w:r>
        <w:rPr/>
        <w:t>. Pembuatan dokumen memakan beberapa detik.</w:t>
      </w:r>
    </w:p>
    <w:p>
      <w:pPr>
        <w:tabs>
          <w:tab w:pos="425" w:val="left"/>
        </w:tabs>
        <w:spacing w:after="60"/>
        <w:ind w:left="425" w:hanging="425"/>
      </w:pPr>
      <w:r>
        <w:rPr/>
        <w:t>2.</w:t>
        <w:tab/>
        <w:t xml:space="preserve">Baris </w:t>
      </w:r>
      <w:r>
        <w:rPr>
          <w:b/>
        </w:rPr>
        <w:t>v1</w:t>
      </w:r>
      <w:r>
        <w:rPr/>
        <w:t xml:space="preserve"> muncul pada </w:t>
      </w:r>
      <w:r>
        <w:rPr>
          <w:b/>
        </w:rPr>
        <w:t>Riwayat Versi</w:t>
      </w:r>
      <w:r>
        <w:rPr/>
        <w:t xml:space="preserve"> dengan status </w:t>
      </w:r>
      <w:r>
        <w:rPr>
          <w:b/>
        </w:rPr>
        <w:t>SELESAI</w:t>
      </w:r>
      <w:r>
        <w:rPr/>
        <w:t>.</w:t>
      </w:r>
    </w:p>
    <w:p>
      <w:pPr>
        <w:tabs>
          <w:tab w:pos="425" w:val="left"/>
        </w:tabs>
        <w:spacing w:after="60"/>
        <w:ind w:left="425" w:hanging="425"/>
      </w:pPr>
      <w:r>
        <w:rPr/>
        <w:t>3.</w:t>
        <w:tab/>
        <w:t xml:space="preserve">Klik </w:t>
      </w:r>
      <w:r>
        <w:rPr>
          <w:b/>
        </w:rPr>
        <w:t>DOCX</w:t>
      </w:r>
      <w:r>
        <w:rPr/>
        <w:t xml:space="preserve"> atau </w:t>
      </w:r>
      <w:r>
        <w:rPr>
          <w:b/>
        </w:rPr>
        <w:t>PDF</w:t>
      </w:r>
      <w:r>
        <w:rPr/>
        <w:t xml:space="preserve"> untuk mengunduh. Kolom </w:t>
      </w:r>
      <w:r>
        <w:rPr>
          <w:b/>
        </w:rPr>
        <w:t>SHA-256 DOCX</w:t>
      </w:r>
      <w:r>
        <w:rPr/>
        <w:t xml:space="preserve"> adalah sidik jari berkas, untuk membuktikan bahwa dokumen tidak diubah.</w:t>
      </w:r>
    </w:p>
    <w:p>
      <w:pPr>
        <w:keepNext/>
        <w:spacing w:after="40"/>
        <w:jc w:val="center"/>
      </w:pPr>
      <w:r>
        <w:drawing>
          <wp:inline xmlns:a="http://schemas.openxmlformats.org/drawingml/2006/main" xmlns:pic="http://schemas.openxmlformats.org/drawingml/2006/picture">
            <wp:extent cx="6120000" cy="2108239"/>
            <wp:docPr id="32" name="Picture 32"/>
            <wp:cNvGraphicFramePr>
              <a:graphicFrameLocks noChangeAspect="1"/>
            </wp:cNvGraphicFramePr>
            <a:graphic>
              <a:graphicData uri="http://schemas.openxmlformats.org/drawingml/2006/picture">
                <pic:pic>
                  <pic:nvPicPr>
                    <pic:cNvPr id="0" name="33-brief-terbit-32.png"/>
                    <pic:cNvPicPr/>
                  </pic:nvPicPr>
                  <pic:blipFill>
                    <a:blip r:embed="rId41"/>
                    <a:stretch>
                      <a:fillRect/>
                    </a:stretch>
                  </pic:blipFill>
                  <pic:spPr>
                    <a:xfrm>
                      <a:off x="0" y="0"/>
                      <a:ext cx="6120000" cy="2108239"/>
                    </a:xfrm>
                    <a:prstGeom prst="rect"/>
                  </pic:spPr>
                </pic:pic>
              </a:graphicData>
            </a:graphic>
          </wp:inline>
        </w:drawing>
      </w:r>
    </w:p>
    <w:p>
      <w:pPr>
        <w:spacing w:after="200"/>
        <w:jc w:val="center"/>
      </w:pPr>
      <w:r>
        <w:rPr>
          <w:b/>
          <w:color w:val="595959"/>
          <w:sz w:val="18"/>
        </w:rPr>
        <w:t>Gambar 32.</w:t>
      </w:r>
      <w:r>
        <w:rPr>
          <w:color w:val="595959"/>
          <w:sz w:val="18"/>
        </w:rPr>
        <w:t xml:space="preserve"> Brief versi 1 selesai diterbitkan.</w:t>
      </w:r>
    </w:p>
    <w:p>
      <w:pPr>
        <w:keepNext/>
        <w:spacing w:after="60"/>
      </w:pPr>
      <w:r>
        <w:rPr>
          <w:b/>
          <w:sz w:val="19"/>
        </w:rPr>
        <w:t>Tabel 14.</w:t>
      </w:r>
      <w:r>
        <w:rPr>
          <w:sz w:val="19"/>
        </w:rPr>
        <w:t xml:space="preserve"> Isi brief versi 1, sudah dicocokkan dengan berkas yang dihasilkan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175"/>
            <w:shd w:val="clear" w:color="auto" w:fill="1F4E79"/>
          </w:tcPr>
          <w:p>
            <w:pPr>
              <w:spacing w:after="0"/>
            </w:pPr>
            <w:r>
              <w:rPr>
                <w:b/>
                <w:color w:val="FFFFFF"/>
                <w:sz w:val="18"/>
              </w:rPr>
              <w:t>Bagian brief</w:t>
            </w:r>
          </w:p>
        </w:tc>
        <w:tc>
          <w:tcPr>
            <w:tcW w:type="dxa" w:w="6463"/>
            <w:shd w:val="clear" w:color="auto" w:fill="1F4E79"/>
          </w:tcPr>
          <w:p>
            <w:pPr>
              <w:spacing w:after="0"/>
            </w:pPr>
            <w:r>
              <w:rPr>
                <w:b/>
                <w:color w:val="FFFFFF"/>
                <w:sz w:val="18"/>
              </w:rPr>
              <w:t>Isi pada kasus latihan</w:t>
            </w:r>
          </w:p>
        </w:tc>
      </w:tr>
      <w:tr>
        <w:tc>
          <w:tcPr>
            <w:tcW w:type="dxa" w:w="3175"/>
          </w:tcPr>
          <w:p>
            <w:pPr>
              <w:spacing w:after="0"/>
            </w:pPr>
            <w:r>
              <w:rPr>
                <w:sz w:val="18"/>
              </w:rPr>
              <w:t>Sampul</w:t>
            </w:r>
          </w:p>
        </w:tc>
        <w:tc>
          <w:tcPr>
            <w:tcW w:type="dxa" w:w="6463"/>
          </w:tcPr>
          <w:p>
            <w:pPr>
              <w:spacing w:after="0"/>
            </w:pPr>
            <w:r>
              <w:rPr>
                <w:sz w:val="18"/>
              </w:rPr>
              <w:t>ID kasus, judul, intervensi, komparator, indikasi, populasi target, setting, perspektif, status, versi, tanggal</w:t>
            </w:r>
          </w:p>
        </w:tc>
      </w:tr>
      <w:tr>
        <w:tc>
          <w:tcPr>
            <w:tcW w:type="dxa" w:w="3175"/>
          </w:tcPr>
          <w:p>
            <w:pPr>
              <w:spacing w:after="0"/>
            </w:pPr>
            <w:r>
              <w:rPr>
                <w:sz w:val="18"/>
              </w:rPr>
              <w:t>1. Ringkasan Eksekutif</w:t>
            </w:r>
          </w:p>
        </w:tc>
        <w:tc>
          <w:tcPr>
            <w:tcW w:type="dxa" w:w="6463"/>
          </w:tcPr>
          <w:p>
            <w:pPr>
              <w:spacing w:after="0"/>
            </w:pPr>
            <w:r>
              <w:rPr>
                <w:sz w:val="18"/>
              </w:rPr>
              <w:t>Keputusan Final KFT (Adopsi dengan kriteria akses (Adopt with criteria-based access)) dan alasannya; lalu rekomendasi sistem KUNING - Adopsi Bersyarat (CBA), skor komposit 69,44 dan keempat komponennya</w:t>
            </w:r>
          </w:p>
        </w:tc>
      </w:tr>
      <w:tr>
        <w:tc>
          <w:tcPr>
            <w:tcW w:type="dxa" w:w="3175"/>
          </w:tcPr>
          <w:p>
            <w:pPr>
              <w:spacing w:after="0"/>
            </w:pPr>
            <w:r>
              <w:rPr>
                <w:sz w:val="18"/>
              </w:rPr>
              <w:t>2. Pertanyaan Keputusan dan Populasi Target</w:t>
            </w:r>
          </w:p>
        </w:tc>
        <w:tc>
          <w:tcPr>
            <w:tcW w:type="dxa" w:w="6463"/>
          </w:tcPr>
          <w:p>
            <w:pPr>
              <w:spacing w:after="0"/>
            </w:pPr>
            <w:r>
              <w:rPr>
                <w:sz w:val="18"/>
              </w:rPr>
              <w:t>Populasi target, pertanyaan keputusan, dan keempat unsur PICO</w:t>
            </w:r>
          </w:p>
        </w:tc>
      </w:tr>
      <w:tr>
        <w:tc>
          <w:tcPr>
            <w:tcW w:type="dxa" w:w="3175"/>
          </w:tcPr>
          <w:p>
            <w:pPr>
              <w:spacing w:after="0"/>
            </w:pPr>
            <w:r>
              <w:rPr>
                <w:sz w:val="18"/>
              </w:rPr>
              <w:t>3. Analisis Efektivitas Biaya (CEA)</w:t>
            </w:r>
          </w:p>
        </w:tc>
        <w:tc>
          <w:tcPr>
            <w:tcW w:type="dxa" w:w="6463"/>
          </w:tcPr>
          <w:p>
            <w:pPr>
              <w:spacing w:after="0"/>
            </w:pPr>
            <w:r>
              <w:rPr>
                <w:sz w:val="18"/>
              </w:rPr>
              <w:t>ICER Rp225.454.545; biaya Rp16.500.000 vs Rp4.100.000; QALY 0,7500 vs 0,6950; ambang Rp300.000.000 per QALY</w:t>
            </w:r>
          </w:p>
        </w:tc>
      </w:tr>
      <w:tr>
        <w:tc>
          <w:tcPr>
            <w:tcW w:type="dxa" w:w="3175"/>
          </w:tcPr>
          <w:p>
            <w:pPr>
              <w:spacing w:after="0"/>
            </w:pPr>
            <w:r>
              <w:rPr>
                <w:sz w:val="18"/>
              </w:rPr>
              <w:t>4. Analisis Dampak Anggaran (BIA)</w:t>
            </w:r>
          </w:p>
        </w:tc>
        <w:tc>
          <w:tcPr>
            <w:tcW w:type="dxa" w:w="6463"/>
          </w:tcPr>
          <w:p>
            <w:pPr>
              <w:spacing w:after="0"/>
            </w:pPr>
            <w:r>
              <w:rPr>
                <w:sz w:val="18"/>
              </w:rPr>
              <w:t>Tahun 1 Rp496.000.000; Tahun 2 Rp954.800.000; Tahun 3 Rp1.488.000.000; kumulatif Rp2.938.800.000</w:t>
            </w:r>
          </w:p>
        </w:tc>
      </w:tr>
      <w:tr>
        <w:tc>
          <w:tcPr>
            <w:tcW w:type="dxa" w:w="3175"/>
          </w:tcPr>
          <w:p>
            <w:pPr>
              <w:spacing w:after="0"/>
            </w:pPr>
            <w:r>
              <w:rPr>
                <w:sz w:val="18"/>
              </w:rPr>
              <w:t>5. Analisis Sensitivitas Probabilistik (PSA)</w:t>
            </w:r>
          </w:p>
        </w:tc>
        <w:tc>
          <w:tcPr>
            <w:tcW w:type="dxa" w:w="6463"/>
          </w:tcPr>
          <w:p>
            <w:pPr>
              <w:spacing w:after="0"/>
            </w:pPr>
            <w:r>
              <w:rPr>
                <w:sz w:val="18"/>
              </w:rPr>
              <w:t>5.000 iterasi, seed 42; peluang cost-effective 56,02%; rerata selisih biaya dan QALY; titik-titik CEAC</w:t>
            </w:r>
          </w:p>
        </w:tc>
      </w:tr>
      <w:tr>
        <w:tc>
          <w:tcPr>
            <w:tcW w:type="dxa" w:w="3175"/>
          </w:tcPr>
          <w:p>
            <w:pPr>
              <w:spacing w:after="0"/>
            </w:pPr>
            <w:r>
              <w:rPr>
                <w:sz w:val="18"/>
              </w:rPr>
              <w:t>6. Evidence-to-Decision (EtD)</w:t>
            </w:r>
          </w:p>
        </w:tc>
        <w:tc>
          <w:tcPr>
            <w:tcW w:type="dxa" w:w="6463"/>
          </w:tcPr>
          <w:p>
            <w:pPr>
              <w:spacing w:after="0"/>
            </w:pPr>
            <w:r>
              <w:rPr>
                <w:sz w:val="18"/>
              </w:rPr>
              <w:t>Tabel sembilan domain: skor, pilihan, kepastian, jumlah penilai</w:t>
            </w:r>
          </w:p>
        </w:tc>
      </w:tr>
      <w:tr>
        <w:tc>
          <w:tcPr>
            <w:tcW w:type="dxa" w:w="3175"/>
          </w:tcPr>
          <w:p>
            <w:pPr>
              <w:spacing w:after="0"/>
            </w:pPr>
            <w:r>
              <w:rPr>
                <w:sz w:val="18"/>
              </w:rPr>
              <w:t>7. Kriteria Akses (CBA)</w:t>
            </w:r>
          </w:p>
        </w:tc>
        <w:tc>
          <w:tcPr>
            <w:tcW w:type="dxa" w:w="6463"/>
          </w:tcPr>
          <w:p>
            <w:pPr>
              <w:spacing w:after="0"/>
            </w:pPr>
            <w:r>
              <w:rPr>
                <w:sz w:val="18"/>
              </w:rPr>
              <w:t>Empat kriteria dan status terpenuhinya</w:t>
            </w:r>
          </w:p>
        </w:tc>
      </w:tr>
      <w:tr>
        <w:tc>
          <w:tcPr>
            <w:tcW w:type="dxa" w:w="3175"/>
          </w:tcPr>
          <w:p>
            <w:pPr>
              <w:spacing w:after="0"/>
            </w:pPr>
            <w:r>
              <w:rPr>
                <w:sz w:val="18"/>
              </w:rPr>
              <w:t>8. Daftar Referensi</w:t>
            </w:r>
          </w:p>
        </w:tc>
        <w:tc>
          <w:tcPr>
            <w:tcW w:type="dxa" w:w="6463"/>
          </w:tcPr>
          <w:p>
            <w:pPr>
              <w:spacing w:after="0"/>
            </w:pPr>
            <w:r>
              <w:rPr>
                <w:sz w:val="18"/>
              </w:rPr>
              <w:t>Enam referensi</w:t>
            </w:r>
          </w:p>
        </w:tc>
      </w:tr>
      <w:tr>
        <w:tc>
          <w:tcPr>
            <w:tcW w:type="dxa" w:w="3175"/>
          </w:tcPr>
          <w:p>
            <w:pPr>
              <w:spacing w:after="0"/>
            </w:pPr>
            <w:r>
              <w:rPr>
                <w:sz w:val="18"/>
              </w:rPr>
              <w:t>9. Ringkasan Audit &amp; Tanda Tangan</w:t>
            </w:r>
          </w:p>
        </w:tc>
        <w:tc>
          <w:tcPr>
            <w:tcW w:type="dxa" w:w="6463"/>
          </w:tcPr>
          <w:p>
            <w:pPr>
              <w:spacing w:after="0"/>
            </w:pPr>
            <w:r>
              <w:rPr>
                <w:sz w:val="18"/>
              </w:rPr>
              <w:t>Penanda tangan, keputusan, waktu</w:t>
            </w:r>
          </w:p>
        </w:tc>
      </w:tr>
    </w:tbl>
    <w:p>
      <w:pPr>
        <w:spacing w:after="0"/>
      </w:pP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40"/>
            </w:pPr>
            <w:r>
              <w:rPr>
                <w:b/>
                <w:sz w:val="20"/>
              </w:rPr>
              <w:t>Bandingkan dengan sheet 09_BRIEF paket</w:t>
            </w:r>
          </w:p>
          <w:p>
            <w:pPr>
              <w:spacing w:after="40"/>
            </w:pPr>
            <w:r>
              <w:rPr>
                <w:sz w:val="20"/>
              </w:rPr>
              <w:t>Angka CEA, BIA, PSA, EtD dan rekomendasi pada brief sama dengan tab asalnya.</w:t>
            </w:r>
          </w:p>
          <w:p>
            <w:pPr>
              <w:spacing w:after="40"/>
            </w:pPr>
            <w:r>
              <w:rPr>
                <w:sz w:val="20"/>
              </w:rPr>
              <w:t>Brief memuat ringkasan PSA, pertanyaan keputusan, populasi target, dan Keputusan Final KFT yang ditandatangani.</w:t>
            </w:r>
          </w:p>
          <w:p>
            <w:pPr>
              <w:spacing w:after="40"/>
            </w:pPr>
            <w:r>
              <w:rPr>
                <w:sz w:val="20"/>
              </w:rPr>
              <w:t xml:space="preserve">Berkas brief hasil pengerjaan ini disertakan pada folder </w:t>
            </w:r>
            <w:r>
              <w:rPr>
                <w:rFonts w:ascii="Consolas" w:hAnsi="Consolas" w:eastAsia="Consolas"/>
                <w:sz w:val="20"/>
              </w:rPr>
              <w:t>contoh-brief</w:t>
            </w:r>
            <w:r>
              <w:rPr>
                <w:sz w:val="20"/>
              </w:rPr>
              <w:t>.</w:t>
            </w:r>
          </w:p>
        </w:tc>
      </w:tr>
    </w:tbl>
    <w:p>
      <w:pPr>
        <w:spacing w:after="0"/>
      </w:pPr>
    </w:p>
    <w:p>
      <w:r>
        <w:br w:type="page"/>
      </w:r>
    </w:p>
    <w:p>
      <w:pPr>
        <w:pStyle w:val="Heading1"/>
      </w:pPr>
      <w:r>
        <w:t>10. Menu 9 - Versi</w:t>
      </w:r>
    </w:p>
    <w:tbl>
      <w:tblPr>
        <w:tblW w:type="auto" w:w="0"/>
        <w:jc w:val="center"/>
        <w:tblLook w:firstColumn="1" w:firstRow="1" w:lastColumn="0" w:lastRow="0" w:noHBand="0" w:noVBand="1" w:val="04A0"/>
      </w:tblPr>
      <w:tblGrid>
        <w:gridCol w:w="9638"/>
      </w:tblGrid>
      <w:tr>
        <w:tc>
          <w:tcPr>
            <w:tcW w:type="dxa" w:w="9638"/>
            <w:shd w:val="clear" w:color="auto" w:fill="EAF1F8"/>
          </w:tcPr>
          <w:p>
            <w:pPr>
              <w:spacing w:after="0"/>
            </w:pPr>
            <w:r>
              <w:rPr>
                <w:b/>
                <w:sz w:val="20"/>
              </w:rPr>
              <w:t>Peran:</w:t>
            </w:r>
            <w:r>
              <w:rPr>
                <w:sz w:val="20"/>
              </w:rPr>
              <w:t xml:space="preserve"> Ketua KFT, Analis HTA, dan Anggota KFT     </w:t>
            </w:r>
            <w:r>
              <w:rPr>
                <w:b/>
                <w:sz w:val="20"/>
              </w:rPr>
              <w:t>Langkah paket:</w:t>
            </w:r>
            <w:r>
              <w:rPr>
                <w:sz w:val="20"/>
              </w:rPr>
              <w:t xml:space="preserve"> 55, 57-59</w:t>
            </w:r>
          </w:p>
        </w:tc>
      </w:tr>
    </w:tbl>
    <w:p>
      <w:pPr>
        <w:spacing w:after="0"/>
      </w:pPr>
    </w:p>
    <w:p>
      <w:r>
        <w:rPr/>
        <w:t>Menu Versi mencatat riwayat kasus. Versi dibuat oleh sistem pada tiga saat: ketika kasus dibuat (v0.1.0), ketika keputusan dikunci (v1.0, v1.1, dan seterusnya), dan ketika kasus terkunci dibuka untuk revisi (misalnya v1.1-draft, beserta alasannya). Versi yang sudah terkunci tidak pernah diubah, dan hasil perhitungan tidak pernah ditimpa.</w:t>
      </w:r>
    </w:p>
    <w:p>
      <w:pPr>
        <w:pStyle w:val="Heading2"/>
      </w:pPr>
      <w:r>
        <w:t>10.1 Versi awal (langkah 57)</w:t>
      </w:r>
    </w:p>
    <w:p>
      <w:r>
        <w:rPr/>
        <w:t xml:space="preserve">Buka tab </w:t>
      </w:r>
      <w:r>
        <w:rPr>
          <w:b/>
        </w:rPr>
        <w:t>Versi</w:t>
      </w:r>
      <w:r>
        <w:rPr/>
        <w:t xml:space="preserve">. Baris </w:t>
      </w:r>
      <w:r>
        <w:rPr>
          <w:b/>
        </w:rPr>
        <w:t>v0.1.0</w:t>
      </w:r>
      <w:r>
        <w:rPr/>
        <w:t xml:space="preserve"> dengan pemicu </w:t>
      </w:r>
      <w:r>
        <w:rPr>
          <w:b/>
        </w:rPr>
        <w:t>KASUS DIBUAT</w:t>
      </w:r>
      <w:r>
        <w:rPr/>
        <w:t xml:space="preserve"> sudah ada sejak kasus disimpan; tidak ada tombol untuk menyimpan versi secara manual.</w:t>
      </w:r>
    </w:p>
    <w:p>
      <w:pPr>
        <w:keepNext/>
        <w:spacing w:after="40"/>
        <w:jc w:val="center"/>
      </w:pPr>
      <w:r>
        <w:drawing>
          <wp:inline xmlns:a="http://schemas.openxmlformats.org/drawingml/2006/main" xmlns:pic="http://schemas.openxmlformats.org/drawingml/2006/picture">
            <wp:extent cx="6120000" cy="2302183"/>
            <wp:docPr id="33" name="Picture 33"/>
            <wp:cNvGraphicFramePr>
              <a:graphicFrameLocks noChangeAspect="1"/>
            </wp:cNvGraphicFramePr>
            <a:graphic>
              <a:graphicData uri="http://schemas.openxmlformats.org/drawingml/2006/picture">
                <pic:pic>
                  <pic:nvPicPr>
                    <pic:cNvPr id="0" name="34-versi-awal-33.png"/>
                    <pic:cNvPicPr/>
                  </pic:nvPicPr>
                  <pic:blipFill>
                    <a:blip r:embed="rId42"/>
                    <a:stretch>
                      <a:fillRect/>
                    </a:stretch>
                  </pic:blipFill>
                  <pic:spPr>
                    <a:xfrm>
                      <a:off x="0" y="0"/>
                      <a:ext cx="6120000" cy="2302183"/>
                    </a:xfrm>
                    <a:prstGeom prst="rect"/>
                  </pic:spPr>
                </pic:pic>
              </a:graphicData>
            </a:graphic>
          </wp:inline>
        </w:drawing>
      </w:r>
    </w:p>
    <w:p>
      <w:pPr>
        <w:spacing w:after="200"/>
        <w:jc w:val="center"/>
      </w:pPr>
      <w:r>
        <w:rPr>
          <w:b/>
          <w:color w:val="595959"/>
          <w:sz w:val="18"/>
        </w:rPr>
        <w:t>Gambar 33.</w:t>
      </w:r>
      <w:r>
        <w:rPr>
          <w:color w:val="595959"/>
          <w:sz w:val="18"/>
        </w:rPr>
        <w:t xml:space="preserve"> Riwayat versi sebelum keputusan dikunci.</w:t>
      </w:r>
    </w:p>
    <w:p>
      <w:pPr>
        <w:pStyle w:val="Heading2"/>
      </w:pPr>
      <w:r>
        <w:t>10.2 Mengunci keputusan sebagai v1.0 (langkah 55)</w:t>
      </w:r>
    </w:p>
    <w:p>
      <w:pPr>
        <w:tabs>
          <w:tab w:pos="425" w:val="left"/>
        </w:tabs>
        <w:spacing w:after="60"/>
        <w:ind w:left="425" w:hanging="425"/>
      </w:pPr>
      <w:r>
        <w:rPr/>
        <w:t>1.</w:t>
        <w:tab/>
      </w:r>
      <w:r>
        <w:rPr>
          <w:b/>
        </w:rPr>
        <w:t>Ketua KFT:</w:t>
      </w:r>
      <w:r>
        <w:rPr/>
        <w:t xml:space="preserve"> klik </w:t>
      </w:r>
      <w:r>
        <w:rPr>
          <w:b/>
        </w:rPr>
        <w:t>Tindakan</w:t>
      </w:r>
      <w:r>
        <w:rPr/>
        <w:t xml:space="preserve">, lalu </w:t>
      </w:r>
      <w:r>
        <w:rPr>
          <w:b/>
        </w:rPr>
        <w:t>Kunci Keputusan</w:t>
      </w:r>
      <w:r>
        <w:rPr/>
        <w:t xml:space="preserve">. Status menjadi Terkunci dan baris </w:t>
      </w:r>
      <w:r>
        <w:rPr>
          <w:b/>
        </w:rPr>
        <w:t>v1.0</w:t>
      </w:r>
      <w:r>
        <w:rPr/>
        <w:t xml:space="preserve"> dengan pemicu </w:t>
      </w:r>
      <w:r>
        <w:rPr>
          <w:b/>
        </w:rPr>
        <w:t>KEPUTUSAN DIKUNCI</w:t>
      </w:r>
      <w:r>
        <w:rPr/>
        <w:t xml:space="preserve"> muncul di tab Versi.</w:t>
      </w:r>
    </w:p>
    <w:p>
      <w:pPr>
        <w:tabs>
          <w:tab w:pos="425" w:val="left"/>
        </w:tabs>
        <w:spacing w:after="60"/>
        <w:ind w:left="425" w:hanging="425"/>
      </w:pPr>
      <w:r>
        <w:rPr/>
        <w:t>2.</w:t>
        <w:tab/>
        <w:t>Seluruh angka yang menjadi dasar keputusan dibekukan pada v1.0. Semua isian kini hanya dapat dibaca.</w:t>
      </w:r>
    </w:p>
    <w:p>
      <w:pPr>
        <w:keepNext/>
        <w:spacing w:after="40"/>
        <w:jc w:val="center"/>
      </w:pPr>
      <w:r>
        <w:drawing>
          <wp:inline xmlns:a="http://schemas.openxmlformats.org/drawingml/2006/main" xmlns:pic="http://schemas.openxmlformats.org/drawingml/2006/picture">
            <wp:extent cx="6120000" cy="2302183"/>
            <wp:docPr id="34" name="Picture 34"/>
            <wp:cNvGraphicFramePr>
              <a:graphicFrameLocks noChangeAspect="1"/>
            </wp:cNvGraphicFramePr>
            <a:graphic>
              <a:graphicData uri="http://schemas.openxmlformats.org/drawingml/2006/picture">
                <pic:pic>
                  <pic:nvPicPr>
                    <pic:cNvPr id="0" name="45-versi-kunci-34.png"/>
                    <pic:cNvPicPr/>
                  </pic:nvPicPr>
                  <pic:blipFill>
                    <a:blip r:embed="rId43"/>
                    <a:stretch>
                      <a:fillRect/>
                    </a:stretch>
                  </pic:blipFill>
                  <pic:spPr>
                    <a:xfrm>
                      <a:off x="0" y="0"/>
                      <a:ext cx="6120000" cy="2302183"/>
                    </a:xfrm>
                    <a:prstGeom prst="rect"/>
                  </pic:spPr>
                </pic:pic>
              </a:graphicData>
            </a:graphic>
          </wp:inline>
        </w:drawing>
      </w:r>
    </w:p>
    <w:p>
      <w:pPr>
        <w:spacing w:after="200"/>
        <w:jc w:val="center"/>
      </w:pPr>
      <w:r>
        <w:rPr>
          <w:b/>
          <w:color w:val="595959"/>
          <w:sz w:val="18"/>
        </w:rPr>
        <w:t>Gambar 34.</w:t>
      </w:r>
      <w:r>
        <w:rPr>
          <w:color w:val="595959"/>
          <w:sz w:val="18"/>
        </w:rPr>
        <w:t xml:space="preserve"> Menu Tindakan Ketua KFT pada kasus yang sudah disetujui.</w:t>
      </w:r>
    </w:p>
    <w:p>
      <w:pPr>
        <w:pStyle w:val="Heading2"/>
      </w:pPr>
      <w:r>
        <w:t>10.3 Latihan revisi sebagai versi baru (langkah 58-59)</w:t>
      </w:r>
    </w:p>
    <w:p>
      <w:r>
        <w:rPr/>
        <w:t xml:space="preserve">Paket meminta harga ARNI diturunkan dari Rp1.200.000 menjadi Rp1.100.000 per bulan, yaitu </w:t>
      </w:r>
      <w:r>
        <w:rPr>
          <w:rFonts w:ascii="Consolas" w:hAnsi="Consolas" w:eastAsia="Consolas"/>
        </w:rPr>
        <w:t>13200000</w:t>
      </w:r>
      <w:r>
        <w:rPr/>
        <w:t xml:space="preserve"> per tahun, sebagai versi baru dengan alasan yang tercatat, tanpa mengubah versi lama. Analis HTA atau Ketua KFT dapat memulai revisi; di sini Ketua KFT.</w:t>
      </w:r>
    </w:p>
    <w:p>
      <w:pPr>
        <w:tabs>
          <w:tab w:pos="425" w:val="left"/>
        </w:tabs>
        <w:spacing w:after="60"/>
        <w:ind w:left="425" w:hanging="425"/>
      </w:pPr>
      <w:r>
        <w:rPr/>
        <w:t>1.</w:t>
        <w:tab/>
      </w:r>
      <w:r>
        <w:rPr>
          <w:b/>
        </w:rPr>
        <w:t>Ketua KFT:</w:t>
      </w:r>
      <w:r>
        <w:rPr/>
        <w:t xml:space="preserve"> klik </w:t>
      </w:r>
      <w:r>
        <w:rPr>
          <w:b/>
        </w:rPr>
        <w:t>Tindakan</w:t>
      </w:r>
      <w:r>
        <w:rPr/>
        <w:t xml:space="preserve">, lalu </w:t>
      </w:r>
      <w:r>
        <w:rPr>
          <w:b/>
        </w:rPr>
        <w:t>Buat Revisi (Versi Baru)</w:t>
      </w:r>
      <w:r>
        <w:rPr/>
        <w:t xml:space="preserve">. Ketik alasannya, </w:t>
      </w:r>
      <w:r>
        <w:rPr>
          <w:rFonts w:ascii="Consolas" w:hAnsi="Consolas" w:eastAsia="Consolas"/>
        </w:rPr>
        <w:t>Pembaruan harga kontrak demo</w:t>
      </w:r>
      <w:r>
        <w:rPr/>
        <w:t xml:space="preserve">, dan klik </w:t>
      </w:r>
      <w:r>
        <w:rPr>
          <w:b/>
        </w:rPr>
        <w:t>Lanjutkan</w:t>
      </w:r>
      <w:r>
        <w:rPr/>
        <w:t xml:space="preserve">. Kasus kembali ke Draft dengan keterangan </w:t>
      </w:r>
      <w:r>
        <w:rPr>
          <w:b/>
        </w:rPr>
        <w:t>Revisi dari v1.0 sedang berjalan</w:t>
      </w:r>
      <w:r>
        <w:rPr/>
        <w:t>; v1.0 tetap tersimpan tanpa perubahan.</w:t>
      </w:r>
    </w:p>
    <w:p>
      <w:pPr>
        <w:tabs>
          <w:tab w:pos="425" w:val="left"/>
        </w:tabs>
        <w:spacing w:after="60"/>
        <w:ind w:left="425" w:hanging="425"/>
      </w:pPr>
      <w:r>
        <w:rPr/>
        <w:t>2.</w:t>
        <w:tab/>
      </w:r>
      <w:r>
        <w:rPr>
          <w:b/>
        </w:rPr>
        <w:t>Analis HTA:</w:t>
      </w:r>
      <w:r>
        <w:rPr/>
        <w:t xml:space="preserve"> pada tab </w:t>
      </w:r>
      <w:r>
        <w:rPr>
          <w:b/>
        </w:rPr>
        <w:t>Analisis Ekonomi</w:t>
      </w:r>
      <w:r>
        <w:rPr/>
        <w:t xml:space="preserve">, ubah </w:t>
      </w:r>
      <w:r>
        <w:rPr>
          <w:b/>
        </w:rPr>
        <w:t>Nilai</w:t>
      </w:r>
      <w:r>
        <w:rPr/>
        <w:t xml:space="preserve"> baris Biaya obat per pasien per tahun - Intervensi menjadi </w:t>
      </w:r>
      <w:r>
        <w:rPr>
          <w:rFonts w:ascii="Consolas" w:hAnsi="Consolas" w:eastAsia="Consolas"/>
        </w:rPr>
        <w:t>13200000</w:t>
      </w:r>
      <w:r>
        <w:rPr/>
        <w:t xml:space="preserve">, lalu klik </w:t>
      </w:r>
      <w:r>
        <w:rPr>
          <w:b/>
        </w:rPr>
        <w:t>Simpan &amp; Hitung</w:t>
      </w:r>
      <w:r>
        <w:rPr/>
        <w:t>.</w:t>
      </w:r>
    </w:p>
    <w:p>
      <w:pPr>
        <w:tabs>
          <w:tab w:pos="425" w:val="left"/>
        </w:tabs>
        <w:spacing w:after="60"/>
        <w:ind w:left="425" w:hanging="425"/>
      </w:pPr>
      <w:r>
        <w:rPr/>
        <w:t>3.</w:t>
        <w:tab/>
      </w:r>
      <w:r>
        <w:rPr>
          <w:b/>
        </w:rPr>
        <w:t>Analis HTA:</w:t>
      </w:r>
      <w:r>
        <w:rPr/>
        <w:t xml:space="preserve"> pada tab </w:t>
      </w:r>
      <w:r>
        <w:rPr>
          <w:b/>
        </w:rPr>
        <w:t>BIA</w:t>
      </w:r>
      <w:r>
        <w:rPr/>
        <w:t xml:space="preserve">, klik </w:t>
      </w:r>
      <w:r>
        <w:rPr>
          <w:b/>
        </w:rPr>
        <w:t>Hitung BIA</w:t>
      </w:r>
      <w:r>
        <w:rPr/>
        <w:t>.</w:t>
      </w:r>
    </w:p>
    <w:p>
      <w:pPr>
        <w:tabs>
          <w:tab w:pos="425" w:val="left"/>
        </w:tabs>
        <w:spacing w:after="60"/>
        <w:ind w:left="425" w:hanging="425"/>
      </w:pPr>
      <w:r>
        <w:rPr/>
        <w:t>4.</w:t>
        <w:tab/>
      </w:r>
      <w:r>
        <w:rPr>
          <w:b/>
        </w:rPr>
        <w:t>Analis HTA:</w:t>
      </w:r>
      <w:r>
        <w:rPr/>
        <w:t xml:space="preserve"> pada tab </w:t>
      </w:r>
      <w:r>
        <w:rPr>
          <w:b/>
        </w:rPr>
        <w:t>PSA</w:t>
      </w:r>
      <w:r>
        <w:rPr/>
        <w:t xml:space="preserve">, dua peringatan muncul: hasil PSA tidak lagi sesuai input, dan mean distribusi biaya obat ARNI berbeda dari nilai dasarnya. Ketik ulang </w:t>
      </w:r>
      <w:r>
        <w:rPr>
          <w:rFonts w:ascii="Consolas" w:hAnsi="Consolas" w:eastAsia="Consolas"/>
        </w:rPr>
        <w:t>10%</w:t>
      </w:r>
      <w:r>
        <w:rPr/>
        <w:t xml:space="preserve"> pada baris itu, klik </w:t>
      </w:r>
      <w:r>
        <w:rPr>
          <w:b/>
        </w:rPr>
        <w:t>Simpan Distribusi</w:t>
      </w:r>
      <w:r>
        <w:rPr/>
        <w:t xml:space="preserve">, lalu </w:t>
      </w:r>
      <w:r>
        <w:rPr>
          <w:b/>
        </w:rPr>
        <w:t>Hitung PSA</w:t>
      </w:r>
      <w:r>
        <w:rPr/>
        <w:t xml:space="preserve"> dengan iterasi 5000 dan seed 42.</w:t>
      </w:r>
    </w:p>
    <w:p>
      <w:pPr>
        <w:tabs>
          <w:tab w:pos="425" w:val="left"/>
        </w:tabs>
        <w:spacing w:after="60"/>
        <w:ind w:left="425" w:hanging="425"/>
      </w:pPr>
      <w:r>
        <w:rPr/>
        <w:t>5.</w:t>
        <w:tab/>
      </w:r>
      <w:r>
        <w:rPr>
          <w:b/>
        </w:rPr>
        <w:t>Analis HTA:</w:t>
      </w:r>
      <w:r>
        <w:rPr/>
        <w:t xml:space="preserve"> pada tab </w:t>
      </w:r>
      <w:r>
        <w:rPr>
          <w:b/>
        </w:rPr>
        <w:t>Rekomendasi</w:t>
      </w:r>
      <w:r>
        <w:rPr/>
        <w:t xml:space="preserve">, peringatan </w:t>
      </w:r>
      <w:r>
        <w:rPr>
          <w:b/>
        </w:rPr>
        <w:t>Rekomendasi ini tidak lagi sesuai input</w:t>
      </w:r>
      <w:r>
        <w:rPr/>
        <w:t xml:space="preserve"> muncul. Klik </w:t>
      </w:r>
      <w:r>
        <w:rPr>
          <w:b/>
        </w:rPr>
        <w:t>Hitung Rekomendasi</w:t>
      </w:r>
      <w:r>
        <w:rPr/>
        <w:t>.</w:t>
      </w:r>
    </w:p>
    <w:p>
      <w:pPr>
        <w:tabs>
          <w:tab w:pos="425" w:val="left"/>
        </w:tabs>
        <w:spacing w:after="60"/>
        <w:ind w:left="425" w:hanging="425"/>
      </w:pPr>
      <w:r>
        <w:rPr/>
        <w:t>6.</w:t>
        <w:tab/>
      </w:r>
      <w:r>
        <w:rPr>
          <w:b/>
        </w:rPr>
        <w:t>Anggota KFT:</w:t>
      </w:r>
      <w:r>
        <w:rPr/>
        <w:t xml:space="preserve"> pada kartu </w:t>
      </w:r>
      <w:r>
        <w:rPr>
          <w:b/>
        </w:rPr>
        <w:t>Keputusan Final KFT</w:t>
      </w:r>
      <w:r>
        <w:rPr/>
        <w:t xml:space="preserve">, catat keputusan untuk versi baru dengan </w:t>
      </w:r>
      <w:r>
        <w:rPr>
          <w:b/>
        </w:rPr>
        <w:t>Catat Keputusan Baru</w:t>
      </w:r>
      <w:r>
        <w:rPr/>
        <w:t>. Keputusan untuk v1.0 tetap tercantum pada riwayat.</w:t>
      </w:r>
    </w:p>
    <w:p>
      <w:pPr>
        <w:tabs>
          <w:tab w:pos="425" w:val="left"/>
        </w:tabs>
        <w:spacing w:after="60"/>
        <w:ind w:left="425" w:hanging="425"/>
      </w:pPr>
      <w:r>
        <w:rPr/>
        <w:t>7.</w:t>
        <w:tab/>
      </w:r>
      <w:r>
        <w:rPr>
          <w:b/>
        </w:rPr>
        <w:t>Analis HTA:</w:t>
      </w:r>
      <w:r>
        <w:rPr/>
        <w:t xml:space="preserve"> klik </w:t>
      </w:r>
      <w:r>
        <w:rPr>
          <w:b/>
        </w:rPr>
        <w:t>Tindakan</w:t>
      </w:r>
      <w:r>
        <w:rPr/>
        <w:t xml:space="preserve">, lalu </w:t>
      </w:r>
      <w:r>
        <w:rPr>
          <w:b/>
        </w:rPr>
        <w:t>Ajukan untuk Tinjauan</w:t>
      </w:r>
      <w:r>
        <w:rPr/>
        <w:t>.</w:t>
      </w:r>
    </w:p>
    <w:p>
      <w:pPr>
        <w:tabs>
          <w:tab w:pos="425" w:val="left"/>
        </w:tabs>
        <w:spacing w:after="60"/>
        <w:ind w:left="425" w:hanging="425"/>
      </w:pPr>
      <w:r>
        <w:rPr/>
        <w:t>8.</w:t>
        <w:tab/>
      </w:r>
      <w:r>
        <w:rPr>
          <w:b/>
        </w:rPr>
        <w:t>Ketua KFT:</w:t>
      </w:r>
      <w:r>
        <w:rPr/>
        <w:t xml:space="preserve"> pada tab </w:t>
      </w:r>
      <w:r>
        <w:rPr>
          <w:b/>
        </w:rPr>
        <w:t>Sign-Off</w:t>
      </w:r>
      <w:r>
        <w:rPr/>
        <w:t xml:space="preserve">, tanda tangani lagi dengan </w:t>
      </w:r>
      <w:r>
        <w:rPr>
          <w:b/>
        </w:rPr>
        <w:t>Setujui dengan Sign-Off</w:t>
      </w:r>
      <w:r>
        <w:rPr/>
        <w:t>. Tanda tangan untuk v1.0 tidak berlaku untuk versi baru.</w:t>
      </w:r>
    </w:p>
    <w:p>
      <w:pPr>
        <w:tabs>
          <w:tab w:pos="425" w:val="left"/>
        </w:tabs>
        <w:spacing w:after="60"/>
        <w:ind w:left="425" w:hanging="425"/>
      </w:pPr>
      <w:r>
        <w:rPr/>
        <w:t>9.</w:t>
        <w:tab/>
      </w:r>
      <w:r>
        <w:rPr>
          <w:b/>
        </w:rPr>
        <w:t>Analis HTA:</w:t>
      </w:r>
      <w:r>
        <w:rPr/>
        <w:t xml:space="preserve"> pada tab </w:t>
      </w:r>
      <w:r>
        <w:rPr>
          <w:b/>
        </w:rPr>
        <w:t>Brief</w:t>
      </w:r>
      <w:r>
        <w:rPr/>
        <w:t xml:space="preserve">, klik </w:t>
      </w:r>
      <w:r>
        <w:rPr>
          <w:b/>
        </w:rPr>
        <w:t>Buat Versi Baru</w:t>
      </w:r>
      <w:r>
        <w:rPr/>
        <w:t>. Brief v2 terbit; brief v1 tetap tersimpan dengan sidik jari yang berbeda.</w:t>
      </w:r>
    </w:p>
    <w:p>
      <w:pPr>
        <w:tabs>
          <w:tab w:pos="425" w:val="left"/>
        </w:tabs>
        <w:spacing w:after="60"/>
        <w:ind w:left="425" w:hanging="425"/>
      </w:pPr>
      <w:r>
        <w:rPr/>
        <w:t>10.</w:t>
        <w:tab/>
      </w:r>
      <w:r>
        <w:rPr>
          <w:b/>
        </w:rPr>
        <w:t>Ketua KFT:</w:t>
      </w:r>
      <w:r>
        <w:rPr/>
        <w:t xml:space="preserve"> klik </w:t>
      </w:r>
      <w:r>
        <w:rPr>
          <w:b/>
        </w:rPr>
        <w:t>Tindakan</w:t>
      </w:r>
      <w:r>
        <w:rPr/>
        <w:t xml:space="preserve">, lalu </w:t>
      </w:r>
      <w:r>
        <w:rPr>
          <w:b/>
        </w:rPr>
        <w:t>Kunci Keputusan</w:t>
      </w:r>
      <w:r>
        <w:rPr/>
        <w:t xml:space="preserve">. Versi baru terkunci sebagai </w:t>
      </w:r>
      <w:r>
        <w:rPr>
          <w:b/>
        </w:rPr>
        <w:t>v1.1</w:t>
      </w:r>
      <w:r>
        <w:rPr/>
        <w:t>, beserta brief v2.</w:t>
      </w:r>
    </w:p>
    <w:p>
      <w:pPr>
        <w:keepNext/>
        <w:spacing w:after="40"/>
        <w:jc w:val="center"/>
      </w:pPr>
      <w:r>
        <w:drawing>
          <wp:inline xmlns:a="http://schemas.openxmlformats.org/drawingml/2006/main" xmlns:pic="http://schemas.openxmlformats.org/drawingml/2006/picture">
            <wp:extent cx="3462295" cy="2883508"/>
            <wp:docPr id="35" name="Picture 35"/>
            <wp:cNvGraphicFramePr>
              <a:graphicFrameLocks noChangeAspect="1"/>
            </wp:cNvGraphicFramePr>
            <a:graphic>
              <a:graphicData uri="http://schemas.openxmlformats.org/drawingml/2006/picture">
                <pic:pic>
                  <pic:nvPicPr>
                    <pic:cNvPr id="0" name="35-versi-buat-revisi-35.png"/>
                    <pic:cNvPicPr/>
                  </pic:nvPicPr>
                  <pic:blipFill>
                    <a:blip r:embed="rId44"/>
                    <a:stretch>
                      <a:fillRect/>
                    </a:stretch>
                  </pic:blipFill>
                  <pic:spPr>
                    <a:xfrm>
                      <a:off x="0" y="0"/>
                      <a:ext cx="3462295" cy="2883508"/>
                    </a:xfrm>
                    <a:prstGeom prst="rect"/>
                  </pic:spPr>
                </pic:pic>
              </a:graphicData>
            </a:graphic>
          </wp:inline>
        </w:drawing>
      </w:r>
    </w:p>
    <w:p>
      <w:pPr>
        <w:spacing w:after="200"/>
        <w:jc w:val="center"/>
      </w:pPr>
      <w:r>
        <w:rPr>
          <w:b/>
          <w:color w:val="595959"/>
          <w:sz w:val="18"/>
        </w:rPr>
        <w:t>Gambar 35.</w:t>
      </w:r>
      <w:r>
        <w:rPr>
          <w:color w:val="595959"/>
          <w:sz w:val="18"/>
        </w:rPr>
        <w:t xml:space="preserve"> Membuat revisi: penjelasan dan alasan wajib sebelum kasus dibuka kembali.</w:t>
      </w:r>
    </w:p>
    <w:p>
      <w:pPr>
        <w:keepNext/>
        <w:spacing w:after="40"/>
        <w:jc w:val="center"/>
      </w:pPr>
      <w:r>
        <w:drawing>
          <wp:inline xmlns:a="http://schemas.openxmlformats.org/drawingml/2006/main" xmlns:pic="http://schemas.openxmlformats.org/drawingml/2006/picture">
            <wp:extent cx="6120000" cy="1422254"/>
            <wp:docPr id="36" name="Picture 36"/>
            <wp:cNvGraphicFramePr>
              <a:graphicFrameLocks noChangeAspect="1"/>
            </wp:cNvGraphicFramePr>
            <a:graphic>
              <a:graphicData uri="http://schemas.openxmlformats.org/drawingml/2006/picture">
                <pic:pic>
                  <pic:nvPicPr>
                    <pic:cNvPr id="0" name="35b-versi-revisi-berjalan-36.png"/>
                    <pic:cNvPicPr/>
                  </pic:nvPicPr>
                  <pic:blipFill>
                    <a:blip r:embed="rId45"/>
                    <a:stretch>
                      <a:fillRect/>
                    </a:stretch>
                  </pic:blipFill>
                  <pic:spPr>
                    <a:xfrm>
                      <a:off x="0" y="0"/>
                      <a:ext cx="6120000" cy="1422254"/>
                    </a:xfrm>
                    <a:prstGeom prst="rect"/>
                  </pic:spPr>
                </pic:pic>
              </a:graphicData>
            </a:graphic>
          </wp:inline>
        </w:drawing>
      </w:r>
    </w:p>
    <w:p>
      <w:pPr>
        <w:spacing w:after="200"/>
        <w:jc w:val="center"/>
      </w:pPr>
      <w:r>
        <w:rPr>
          <w:b/>
          <w:color w:val="595959"/>
          <w:sz w:val="18"/>
        </w:rPr>
        <w:t>Gambar 36.</w:t>
      </w:r>
      <w:r>
        <w:rPr>
          <w:color w:val="595959"/>
          <w:sz w:val="18"/>
        </w:rPr>
        <w:t xml:space="preserve"> Kasus kembali ke Draft dengan keterangan revisi dari v1.0.</w:t>
      </w:r>
    </w:p>
    <w:p>
      <w:pPr>
        <w:keepNext/>
        <w:spacing w:after="40"/>
        <w:jc w:val="center"/>
      </w:pPr>
      <w:r>
        <w:drawing>
          <wp:inline xmlns:a="http://schemas.openxmlformats.org/drawingml/2006/main" xmlns:pic="http://schemas.openxmlformats.org/drawingml/2006/picture">
            <wp:extent cx="6120000" cy="296421"/>
            <wp:docPr id="37" name="Picture 37"/>
            <wp:cNvGraphicFramePr>
              <a:graphicFrameLocks noChangeAspect="1"/>
            </wp:cNvGraphicFramePr>
            <a:graphic>
              <a:graphicData uri="http://schemas.openxmlformats.org/drawingml/2006/picture">
                <pic:pic>
                  <pic:nvPicPr>
                    <pic:cNvPr id="0" name="36-versi-harga-baru-37.png"/>
                    <pic:cNvPicPr/>
                  </pic:nvPicPr>
                  <pic:blipFill>
                    <a:blip r:embed="rId46"/>
                    <a:stretch>
                      <a:fillRect/>
                    </a:stretch>
                  </pic:blipFill>
                  <pic:spPr>
                    <a:xfrm>
                      <a:off x="0" y="0"/>
                      <a:ext cx="6120000" cy="296421"/>
                    </a:xfrm>
                    <a:prstGeom prst="rect"/>
                  </pic:spPr>
                </pic:pic>
              </a:graphicData>
            </a:graphic>
          </wp:inline>
        </w:drawing>
      </w:r>
    </w:p>
    <w:p>
      <w:pPr>
        <w:spacing w:after="200"/>
        <w:jc w:val="center"/>
      </w:pPr>
      <w:r>
        <w:rPr>
          <w:b/>
          <w:color w:val="595959"/>
          <w:sz w:val="18"/>
        </w:rPr>
        <w:t>Gambar 37.</w:t>
      </w:r>
      <w:r>
        <w:rPr>
          <w:color w:val="595959"/>
          <w:sz w:val="18"/>
        </w:rPr>
        <w:t xml:space="preserve"> Nilai biaya obat ARNI diganti menjadi 13200000.</w:t>
      </w:r>
    </w:p>
    <w:p>
      <w:pPr>
        <w:keepNext/>
        <w:spacing w:after="40"/>
        <w:jc w:val="center"/>
      </w:pPr>
      <w:r>
        <w:drawing>
          <wp:inline xmlns:a="http://schemas.openxmlformats.org/drawingml/2006/main" xmlns:pic="http://schemas.openxmlformats.org/drawingml/2006/picture">
            <wp:extent cx="6120000" cy="3034859"/>
            <wp:docPr id="38" name="Picture 38"/>
            <wp:cNvGraphicFramePr>
              <a:graphicFrameLocks noChangeAspect="1"/>
            </wp:cNvGraphicFramePr>
            <a:graphic>
              <a:graphicData uri="http://schemas.openxmlformats.org/drawingml/2006/picture">
                <pic:pic>
                  <pic:nvPicPr>
                    <pic:cNvPr id="0" name="37-versi-hasil-baru-38.png"/>
                    <pic:cNvPicPr/>
                  </pic:nvPicPr>
                  <pic:blipFill>
                    <a:blip r:embed="rId47"/>
                    <a:stretch>
                      <a:fillRect/>
                    </a:stretch>
                  </pic:blipFill>
                  <pic:spPr>
                    <a:xfrm>
                      <a:off x="0" y="0"/>
                      <a:ext cx="6120000" cy="3034859"/>
                    </a:xfrm>
                    <a:prstGeom prst="rect"/>
                  </pic:spPr>
                </pic:pic>
              </a:graphicData>
            </a:graphic>
          </wp:inline>
        </w:drawing>
      </w:r>
    </w:p>
    <w:p>
      <w:pPr>
        <w:spacing w:after="200"/>
        <w:jc w:val="center"/>
      </w:pPr>
      <w:r>
        <w:rPr>
          <w:b/>
          <w:color w:val="595959"/>
          <w:sz w:val="18"/>
        </w:rPr>
        <w:t>Gambar 38.</w:t>
      </w:r>
      <w:r>
        <w:rPr>
          <w:color w:val="595959"/>
          <w:sz w:val="18"/>
        </w:rPr>
        <w:t xml:space="preserve"> Hasil deterministik setelah revisi harga.</w:t>
      </w:r>
    </w:p>
    <w:p>
      <w:pPr>
        <w:keepNext/>
        <w:spacing w:after="60"/>
      </w:pPr>
      <w:r>
        <w:rPr>
          <w:b/>
          <w:sz w:val="19"/>
        </w:rPr>
        <w:t>Tabel 15.</w:t>
      </w:r>
      <w:r>
        <w:rPr>
          <w:sz w:val="19"/>
        </w:rPr>
        <w:t xml:space="preserve"> Hasil setelah revisi dibanding kunci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494"/>
            <w:shd w:val="clear" w:color="auto" w:fill="1F4E79"/>
          </w:tcPr>
          <w:p>
            <w:pPr>
              <w:spacing w:after="0"/>
            </w:pPr>
            <w:r>
              <w:rPr>
                <w:b/>
                <w:color w:val="FFFFFF"/>
                <w:sz w:val="18"/>
              </w:rPr>
              <w:t>Keluaran</w:t>
            </w:r>
          </w:p>
        </w:tc>
        <w:tc>
          <w:tcPr>
            <w:tcW w:type="dxa" w:w="2381"/>
            <w:shd w:val="clear" w:color="auto" w:fill="1F4E79"/>
          </w:tcPr>
          <w:p>
            <w:pPr>
              <w:spacing w:after="0"/>
            </w:pPr>
            <w:r>
              <w:rPr>
                <w:b/>
                <w:color w:val="FFFFFF"/>
                <w:sz w:val="18"/>
              </w:rPr>
              <w:t>Dashboard</w:t>
            </w:r>
          </w:p>
        </w:tc>
        <w:tc>
          <w:tcPr>
            <w:tcW w:type="dxa" w:w="2948"/>
            <w:shd w:val="clear" w:color="auto" w:fill="1F4E79"/>
          </w:tcPr>
          <w:p>
            <w:pPr>
              <w:spacing w:after="0"/>
            </w:pPr>
            <w:r>
              <w:rPr>
                <w:b/>
                <w:color w:val="FFFFFF"/>
                <w:sz w:val="18"/>
              </w:rPr>
              <w:t>Kunci (sheet 10_VERSI, v0.2)</w:t>
            </w:r>
          </w:p>
        </w:tc>
        <w:tc>
          <w:tcPr>
            <w:tcW w:type="dxa" w:w="1814"/>
            <w:shd w:val="clear" w:color="auto" w:fill="1F4E79"/>
          </w:tcPr>
          <w:p>
            <w:pPr>
              <w:spacing w:after="0"/>
            </w:pPr>
            <w:r>
              <w:rPr>
                <w:b/>
                <w:color w:val="FFFFFF"/>
                <w:sz w:val="18"/>
              </w:rPr>
              <w:t>Status</w:t>
            </w:r>
          </w:p>
        </w:tc>
      </w:tr>
      <w:tr>
        <w:tc>
          <w:tcPr>
            <w:tcW w:type="dxa" w:w="2494"/>
          </w:tcPr>
          <w:p>
            <w:pPr>
              <w:spacing w:after="0"/>
            </w:pPr>
            <w:r>
              <w:rPr>
                <w:sz w:val="18"/>
              </w:rPr>
              <w:t>Incremental cost</w:t>
            </w:r>
          </w:p>
        </w:tc>
        <w:tc>
          <w:tcPr>
            <w:tcW w:type="dxa" w:w="2381"/>
          </w:tcPr>
          <w:p>
            <w:pPr>
              <w:spacing w:after="0"/>
            </w:pPr>
            <w:r>
              <w:rPr>
                <w:sz w:val="18"/>
              </w:rPr>
              <w:t>Rp11.200.000</w:t>
            </w:r>
          </w:p>
        </w:tc>
        <w:tc>
          <w:tcPr>
            <w:tcW w:type="dxa" w:w="2948"/>
          </w:tcPr>
          <w:p>
            <w:pPr>
              <w:spacing w:after="0"/>
            </w:pPr>
            <w:r>
              <w:rPr>
                <w:sz w:val="18"/>
              </w:rPr>
              <w:t>Rp11.200.000</w:t>
            </w:r>
          </w:p>
        </w:tc>
        <w:tc>
          <w:tcPr>
            <w:tcW w:type="dxa" w:w="1814"/>
          </w:tcPr>
          <w:p>
            <w:pPr>
              <w:spacing w:after="0"/>
            </w:pPr>
            <w:r>
              <w:rPr>
                <w:sz w:val="18"/>
              </w:rPr>
              <w:t>Sesuai</w:t>
            </w:r>
          </w:p>
        </w:tc>
      </w:tr>
      <w:tr>
        <w:tc>
          <w:tcPr>
            <w:tcW w:type="dxa" w:w="2494"/>
          </w:tcPr>
          <w:p>
            <w:pPr>
              <w:spacing w:after="0"/>
            </w:pPr>
            <w:r>
              <w:rPr>
                <w:sz w:val="18"/>
              </w:rPr>
              <w:t>ICER per QALY</w:t>
            </w:r>
          </w:p>
        </w:tc>
        <w:tc>
          <w:tcPr>
            <w:tcW w:type="dxa" w:w="2381"/>
          </w:tcPr>
          <w:p>
            <w:pPr>
              <w:spacing w:after="0"/>
            </w:pPr>
            <w:r>
              <w:rPr>
                <w:sz w:val="18"/>
              </w:rPr>
              <w:t>Rp203.636.363,64</w:t>
            </w:r>
          </w:p>
        </w:tc>
        <w:tc>
          <w:tcPr>
            <w:tcW w:type="dxa" w:w="2948"/>
          </w:tcPr>
          <w:p>
            <w:pPr>
              <w:spacing w:after="0"/>
            </w:pPr>
            <w:r>
              <w:rPr>
                <w:sz w:val="18"/>
              </w:rPr>
              <w:t>Rp203.636.363,64</w:t>
            </w:r>
          </w:p>
        </w:tc>
        <w:tc>
          <w:tcPr>
            <w:tcW w:type="dxa" w:w="1814"/>
          </w:tcPr>
          <w:p>
            <w:pPr>
              <w:spacing w:after="0"/>
            </w:pPr>
            <w:r>
              <w:rPr>
                <w:sz w:val="18"/>
              </w:rPr>
              <w:t>Sesuai</w:t>
            </w:r>
          </w:p>
        </w:tc>
      </w:tr>
      <w:tr>
        <w:tc>
          <w:tcPr>
            <w:tcW w:type="dxa" w:w="2494"/>
          </w:tcPr>
          <w:p>
            <w:pPr>
              <w:spacing w:after="0"/>
            </w:pPr>
            <w:r>
              <w:rPr>
                <w:sz w:val="18"/>
              </w:rPr>
              <w:t>INB</w:t>
            </w:r>
          </w:p>
        </w:tc>
        <w:tc>
          <w:tcPr>
            <w:tcW w:type="dxa" w:w="2381"/>
          </w:tcPr>
          <w:p>
            <w:pPr>
              <w:spacing w:after="0"/>
            </w:pPr>
            <w:r>
              <w:rPr>
                <w:sz w:val="18"/>
              </w:rPr>
              <w:t>Rp5.300.000</w:t>
            </w:r>
          </w:p>
        </w:tc>
        <w:tc>
          <w:tcPr>
            <w:tcW w:type="dxa" w:w="2948"/>
          </w:tcPr>
          <w:p>
            <w:pPr>
              <w:spacing w:after="0"/>
            </w:pPr>
            <w:r>
              <w:rPr>
                <w:sz w:val="18"/>
              </w:rPr>
              <w:t>Rp5.300.000</w:t>
            </w:r>
          </w:p>
        </w:tc>
        <w:tc>
          <w:tcPr>
            <w:tcW w:type="dxa" w:w="1814"/>
          </w:tcPr>
          <w:p>
            <w:pPr>
              <w:spacing w:after="0"/>
            </w:pPr>
            <w:r>
              <w:rPr>
                <w:sz w:val="18"/>
              </w:rPr>
              <w:t>Sesuai</w:t>
            </w:r>
          </w:p>
        </w:tc>
      </w:tr>
    </w:tbl>
    <w:p>
      <w:pPr>
        <w:spacing w:after="0"/>
      </w:pPr>
    </w:p>
    <w:p>
      <w:pPr>
        <w:keepNext/>
        <w:spacing w:after="40"/>
        <w:jc w:val="center"/>
      </w:pPr>
      <w:r>
        <w:drawing>
          <wp:inline xmlns:a="http://schemas.openxmlformats.org/drawingml/2006/main" xmlns:pic="http://schemas.openxmlformats.org/drawingml/2006/picture">
            <wp:extent cx="6120000" cy="2040000"/>
            <wp:docPr id="39" name="Picture 39"/>
            <wp:cNvGraphicFramePr>
              <a:graphicFrameLocks noChangeAspect="1"/>
            </wp:cNvGraphicFramePr>
            <a:graphic>
              <a:graphicData uri="http://schemas.openxmlformats.org/drawingml/2006/picture">
                <pic:pic>
                  <pic:nvPicPr>
                    <pic:cNvPr id="0" name="38-versi-bia-baru-39.png"/>
                    <pic:cNvPicPr/>
                  </pic:nvPicPr>
                  <pic:blipFill>
                    <a:blip r:embed="rId48"/>
                    <a:stretch>
                      <a:fillRect/>
                    </a:stretch>
                  </pic:blipFill>
                  <pic:spPr>
                    <a:xfrm>
                      <a:off x="0" y="0"/>
                      <a:ext cx="6120000" cy="2040000"/>
                    </a:xfrm>
                    <a:prstGeom prst="rect"/>
                  </pic:spPr>
                </pic:pic>
              </a:graphicData>
            </a:graphic>
          </wp:inline>
        </w:drawing>
      </w:r>
    </w:p>
    <w:p>
      <w:pPr>
        <w:spacing w:after="200"/>
        <w:jc w:val="center"/>
      </w:pPr>
      <w:r>
        <w:rPr>
          <w:b/>
          <w:color w:val="595959"/>
          <w:sz w:val="18"/>
        </w:rPr>
        <w:t>Gambar 39.</w:t>
      </w:r>
      <w:r>
        <w:rPr>
          <w:color w:val="595959"/>
          <w:sz w:val="18"/>
        </w:rPr>
        <w:t xml:space="preserve"> BIA setelah revisi harga.</w:t>
      </w:r>
    </w:p>
    <w:p>
      <w:pPr>
        <w:keepNext/>
        <w:spacing w:after="40"/>
        <w:jc w:val="center"/>
      </w:pPr>
      <w:r>
        <w:drawing>
          <wp:inline xmlns:a="http://schemas.openxmlformats.org/drawingml/2006/main" xmlns:pic="http://schemas.openxmlformats.org/drawingml/2006/picture">
            <wp:extent cx="6120000" cy="5857817"/>
            <wp:docPr id="40" name="Picture 40"/>
            <wp:cNvGraphicFramePr>
              <a:graphicFrameLocks noChangeAspect="1"/>
            </wp:cNvGraphicFramePr>
            <a:graphic>
              <a:graphicData uri="http://schemas.openxmlformats.org/drawingml/2006/picture">
                <pic:pic>
                  <pic:nvPicPr>
                    <pic:cNvPr id="0" name="39-versi-psa-peringatan-40.png"/>
                    <pic:cNvPicPr/>
                  </pic:nvPicPr>
                  <pic:blipFill>
                    <a:blip r:embed="rId49"/>
                    <a:stretch>
                      <a:fillRect/>
                    </a:stretch>
                  </pic:blipFill>
                  <pic:spPr>
                    <a:xfrm>
                      <a:off x="0" y="0"/>
                      <a:ext cx="6120000" cy="5857817"/>
                    </a:xfrm>
                    <a:prstGeom prst="rect"/>
                  </pic:spPr>
                </pic:pic>
              </a:graphicData>
            </a:graphic>
          </wp:inline>
        </w:drawing>
      </w:r>
    </w:p>
    <w:p>
      <w:pPr>
        <w:spacing w:after="200"/>
        <w:jc w:val="center"/>
      </w:pPr>
      <w:r>
        <w:rPr>
          <w:b/>
          <w:color w:val="595959"/>
          <w:sz w:val="18"/>
        </w:rPr>
        <w:t>Gambar 40.</w:t>
      </w:r>
      <w:r>
        <w:rPr>
          <w:color w:val="595959"/>
          <w:sz w:val="18"/>
        </w:rPr>
        <w:t xml:space="preserve"> Tab PSA setelah harga diubah: hasil lama ditandai tidak sesuai input, dan baris biaya obat ARNI ditandai berbeda dari nilai dasar.</w:t>
      </w:r>
    </w:p>
    <w:p>
      <w:pPr>
        <w:keepNext/>
        <w:spacing w:after="40"/>
        <w:jc w:val="center"/>
      </w:pPr>
      <w:r>
        <w:drawing>
          <wp:inline xmlns:a="http://schemas.openxmlformats.org/drawingml/2006/main" xmlns:pic="http://schemas.openxmlformats.org/drawingml/2006/picture">
            <wp:extent cx="6120000" cy="854789"/>
            <wp:docPr id="41" name="Picture 41"/>
            <wp:cNvGraphicFramePr>
              <a:graphicFrameLocks noChangeAspect="1"/>
            </wp:cNvGraphicFramePr>
            <a:graphic>
              <a:graphicData uri="http://schemas.openxmlformats.org/drawingml/2006/picture">
                <pic:pic>
                  <pic:nvPicPr>
                    <pic:cNvPr id="0" name="40-versi-psa-baru-41.png"/>
                    <pic:cNvPicPr/>
                  </pic:nvPicPr>
                  <pic:blipFill>
                    <a:blip r:embed="rId50"/>
                    <a:stretch>
                      <a:fillRect/>
                    </a:stretch>
                  </pic:blipFill>
                  <pic:spPr>
                    <a:xfrm>
                      <a:off x="0" y="0"/>
                      <a:ext cx="6120000" cy="854789"/>
                    </a:xfrm>
                    <a:prstGeom prst="rect"/>
                  </pic:spPr>
                </pic:pic>
              </a:graphicData>
            </a:graphic>
          </wp:inline>
        </w:drawing>
      </w:r>
    </w:p>
    <w:p>
      <w:pPr>
        <w:spacing w:after="200"/>
        <w:jc w:val="center"/>
      </w:pPr>
      <w:r>
        <w:rPr>
          <w:b/>
          <w:color w:val="595959"/>
          <w:sz w:val="18"/>
        </w:rPr>
        <w:t>Gambar 41.</w:t>
      </w:r>
      <w:r>
        <w:rPr>
          <w:color w:val="595959"/>
          <w:sz w:val="18"/>
        </w:rPr>
        <w:t xml:space="preserve"> PSA setelah distribusi disesuaikan dan dijalankan ulang.</w:t>
      </w:r>
    </w:p>
    <w:p>
      <w:pPr>
        <w:keepNext/>
        <w:spacing w:after="40"/>
        <w:jc w:val="center"/>
      </w:pPr>
      <w:r>
        <w:drawing>
          <wp:inline xmlns:a="http://schemas.openxmlformats.org/drawingml/2006/main" xmlns:pic="http://schemas.openxmlformats.org/drawingml/2006/picture">
            <wp:extent cx="6120000" cy="2873239"/>
            <wp:docPr id="42" name="Picture 42"/>
            <wp:cNvGraphicFramePr>
              <a:graphicFrameLocks noChangeAspect="1"/>
            </wp:cNvGraphicFramePr>
            <a:graphic>
              <a:graphicData uri="http://schemas.openxmlformats.org/drawingml/2006/picture">
                <pic:pic>
                  <pic:nvPicPr>
                    <pic:cNvPr id="0" name="41-versi-rekomendasi-usang-42.png"/>
                    <pic:cNvPicPr/>
                  </pic:nvPicPr>
                  <pic:blipFill>
                    <a:blip r:embed="rId51"/>
                    <a:stretch>
                      <a:fillRect/>
                    </a:stretch>
                  </pic:blipFill>
                  <pic:spPr>
                    <a:xfrm>
                      <a:off x="0" y="0"/>
                      <a:ext cx="6120000" cy="2873239"/>
                    </a:xfrm>
                    <a:prstGeom prst="rect"/>
                  </pic:spPr>
                </pic:pic>
              </a:graphicData>
            </a:graphic>
          </wp:inline>
        </w:drawing>
      </w:r>
    </w:p>
    <w:p>
      <w:pPr>
        <w:spacing w:after="200"/>
        <w:jc w:val="center"/>
      </w:pPr>
      <w:r>
        <w:rPr>
          <w:b/>
          <w:color w:val="595959"/>
          <w:sz w:val="18"/>
        </w:rPr>
        <w:t>Gambar 42.</w:t>
      </w:r>
      <w:r>
        <w:rPr>
          <w:color w:val="595959"/>
          <w:sz w:val="18"/>
        </w:rPr>
        <w:t xml:space="preserve"> Tab Rekomendasi memberi tahu bahwa rekomendasi lama tidak lagi sesuai input.</w:t>
      </w:r>
    </w:p>
    <w:p>
      <w:pPr>
        <w:keepNext/>
        <w:spacing w:after="40"/>
        <w:jc w:val="center"/>
      </w:pPr>
      <w:r>
        <w:drawing>
          <wp:inline xmlns:a="http://schemas.openxmlformats.org/drawingml/2006/main" xmlns:pic="http://schemas.openxmlformats.org/drawingml/2006/picture">
            <wp:extent cx="6120000" cy="2456620"/>
            <wp:docPr id="43" name="Picture 43"/>
            <wp:cNvGraphicFramePr>
              <a:graphicFrameLocks noChangeAspect="1"/>
            </wp:cNvGraphicFramePr>
            <a:graphic>
              <a:graphicData uri="http://schemas.openxmlformats.org/drawingml/2006/picture">
                <pic:pic>
                  <pic:nvPicPr>
                    <pic:cNvPr id="0" name="42-versi-rekomendasi-baru-43.png"/>
                    <pic:cNvPicPr/>
                  </pic:nvPicPr>
                  <pic:blipFill>
                    <a:blip r:embed="rId52"/>
                    <a:stretch>
                      <a:fillRect/>
                    </a:stretch>
                  </pic:blipFill>
                  <pic:spPr>
                    <a:xfrm>
                      <a:off x="0" y="0"/>
                      <a:ext cx="6120000" cy="2456620"/>
                    </a:xfrm>
                    <a:prstGeom prst="rect"/>
                  </pic:spPr>
                </pic:pic>
              </a:graphicData>
            </a:graphic>
          </wp:inline>
        </w:drawing>
      </w:r>
    </w:p>
    <w:p>
      <w:pPr>
        <w:spacing w:after="200"/>
        <w:jc w:val="center"/>
      </w:pPr>
      <w:r>
        <w:rPr>
          <w:b/>
          <w:color w:val="595959"/>
          <w:sz w:val="18"/>
        </w:rPr>
        <w:t>Gambar 43.</w:t>
      </w:r>
      <w:r>
        <w:rPr>
          <w:color w:val="595959"/>
          <w:sz w:val="18"/>
        </w:rPr>
        <w:t xml:space="preserve"> Rekomendasi setelah dihitung ulang.</w:t>
      </w:r>
    </w:p>
    <w:p>
      <w:pPr>
        <w:keepNext/>
        <w:spacing w:after="40"/>
        <w:jc w:val="center"/>
      </w:pPr>
      <w:r>
        <w:drawing>
          <wp:inline xmlns:a="http://schemas.openxmlformats.org/drawingml/2006/main" xmlns:pic="http://schemas.openxmlformats.org/drawingml/2006/picture">
            <wp:extent cx="6120000" cy="3253944"/>
            <wp:docPr id="44" name="Picture 44"/>
            <wp:cNvGraphicFramePr>
              <a:graphicFrameLocks noChangeAspect="1"/>
            </wp:cNvGraphicFramePr>
            <a:graphic>
              <a:graphicData uri="http://schemas.openxmlformats.org/drawingml/2006/picture">
                <pic:pic>
                  <pic:nvPicPr>
                    <pic:cNvPr id="0" name="42b-versi-keputusan-ulang-44.png"/>
                    <pic:cNvPicPr/>
                  </pic:nvPicPr>
                  <pic:blipFill>
                    <a:blip r:embed="rId53"/>
                    <a:stretch>
                      <a:fillRect/>
                    </a:stretch>
                  </pic:blipFill>
                  <pic:spPr>
                    <a:xfrm>
                      <a:off x="0" y="0"/>
                      <a:ext cx="6120000" cy="3253944"/>
                    </a:xfrm>
                    <a:prstGeom prst="rect"/>
                  </pic:spPr>
                </pic:pic>
              </a:graphicData>
            </a:graphic>
          </wp:inline>
        </w:drawing>
      </w:r>
    </w:p>
    <w:p>
      <w:pPr>
        <w:spacing w:after="200"/>
        <w:jc w:val="center"/>
      </w:pPr>
      <w:r>
        <w:rPr>
          <w:b/>
          <w:color w:val="595959"/>
          <w:sz w:val="18"/>
        </w:rPr>
        <w:t>Gambar 44.</w:t>
      </w:r>
      <w:r>
        <w:rPr>
          <w:color w:val="595959"/>
          <w:sz w:val="18"/>
        </w:rPr>
        <w:t xml:space="preserve"> Keputusan Final KFT untuk versi baru; keputusan untuk v1.0 ada pada riwayat.</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6F4EA"/>
          </w:tcPr>
          <w:p>
            <w:pPr>
              <w:spacing w:after="40"/>
            </w:pPr>
            <w:r>
              <w:rPr>
                <w:b/>
                <w:sz w:val="20"/>
              </w:rPr>
              <w:t>Angka setelah revisi</w:t>
            </w:r>
          </w:p>
          <w:p>
            <w:pPr>
              <w:spacing w:after="40"/>
            </w:pPr>
            <w:r>
              <w:rPr>
                <w:sz w:val="20"/>
              </w:rPr>
              <w:t>BIA: Tahun 1 Rp448.000.000; Tahun 2 Rp862.400.000; Tahun 3 Rp1.344.000.000; kumulatif Rp2.654.400.000.</w:t>
            </w:r>
          </w:p>
          <w:p>
            <w:pPr>
              <w:spacing w:after="40"/>
            </w:pPr>
            <w:r>
              <w:rPr>
                <w:sz w:val="20"/>
              </w:rPr>
              <w:t>PSA: probabilitas cost-effective 57,68% (5000 iterasi, seed 42).</w:t>
            </w:r>
          </w:p>
          <w:p>
            <w:pPr>
              <w:spacing w:after="40"/>
            </w:pPr>
            <w:r>
              <w:rPr>
                <w:sz w:val="20"/>
              </w:rPr>
              <w:t>Rekomendasi sistem: KUNING - Adopsi Bersyarat (CBA), skor komposit 69,44. Penurunan harga memperbaiki ICER dan BIA, tetapi tidak mengubah jenis rekomendasi.</w:t>
            </w:r>
          </w:p>
          <w:p>
            <w:pPr>
              <w:spacing w:after="40"/>
            </w:pPr>
            <w:r>
              <w:rPr>
                <w:sz w:val="20"/>
              </w:rPr>
              <w:t>Keputusan Final KFT untuk versi baru: Adopsi dengan kriteria akses (Adopt with criteria-based access), dengan alasan: Harga kontrak baru memperbaiki ICER dan dampak anggaran, tetapi ketidakpastian PSA dan dampak anggaran tetap bermakna. Keputusan tetap adopsi dengan kriteria akses.</w:t>
            </w:r>
          </w:p>
        </w:tc>
      </w:tr>
    </w:tbl>
    <w:p>
      <w:pPr>
        <w:spacing w:after="0"/>
      </w:pPr>
    </w:p>
    <w:p>
      <w:pPr>
        <w:keepNext/>
        <w:spacing w:after="40"/>
        <w:jc w:val="center"/>
      </w:pPr>
      <w:r>
        <w:drawing>
          <wp:inline xmlns:a="http://schemas.openxmlformats.org/drawingml/2006/main" xmlns:pic="http://schemas.openxmlformats.org/drawingml/2006/picture">
            <wp:extent cx="6120000" cy="1264225"/>
            <wp:docPr id="45" name="Picture 45"/>
            <wp:cNvGraphicFramePr>
              <a:graphicFrameLocks noChangeAspect="1"/>
            </wp:cNvGraphicFramePr>
            <a:graphic>
              <a:graphicData uri="http://schemas.openxmlformats.org/drawingml/2006/picture">
                <pic:pic>
                  <pic:nvPicPr>
                    <pic:cNvPr id="0" name="43-versi-tanda-tangan-ulang-45.png"/>
                    <pic:cNvPicPr/>
                  </pic:nvPicPr>
                  <pic:blipFill>
                    <a:blip r:embed="rId54"/>
                    <a:stretch>
                      <a:fillRect/>
                    </a:stretch>
                  </pic:blipFill>
                  <pic:spPr>
                    <a:xfrm>
                      <a:off x="0" y="0"/>
                      <a:ext cx="6120000" cy="1264225"/>
                    </a:xfrm>
                    <a:prstGeom prst="rect"/>
                  </pic:spPr>
                </pic:pic>
              </a:graphicData>
            </a:graphic>
          </wp:inline>
        </w:drawing>
      </w:r>
    </w:p>
    <w:p>
      <w:pPr>
        <w:spacing w:after="200"/>
        <w:jc w:val="center"/>
      </w:pPr>
      <w:r>
        <w:rPr>
          <w:b/>
          <w:color w:val="595959"/>
          <w:sz w:val="18"/>
        </w:rPr>
        <w:t>Gambar 45.</w:t>
      </w:r>
      <w:r>
        <w:rPr>
          <w:color w:val="595959"/>
          <w:sz w:val="18"/>
        </w:rPr>
        <w:t xml:space="preserve"> Riwayat tanda tangan memuat dua persetujuan: untuk v1.0 dan untuk versi baru.</w:t>
      </w:r>
    </w:p>
    <w:p>
      <w:pPr>
        <w:keepNext/>
        <w:spacing w:after="40"/>
        <w:jc w:val="center"/>
      </w:pPr>
      <w:r>
        <w:drawing>
          <wp:inline xmlns:a="http://schemas.openxmlformats.org/drawingml/2006/main" xmlns:pic="http://schemas.openxmlformats.org/drawingml/2006/picture">
            <wp:extent cx="6120000" cy="1314507"/>
            <wp:docPr id="46" name="Picture 46"/>
            <wp:cNvGraphicFramePr>
              <a:graphicFrameLocks noChangeAspect="1"/>
            </wp:cNvGraphicFramePr>
            <a:graphic>
              <a:graphicData uri="http://schemas.openxmlformats.org/drawingml/2006/picture">
                <pic:pic>
                  <pic:nvPicPr>
                    <pic:cNvPr id="0" name="44-versi-brief-v2-46.png"/>
                    <pic:cNvPicPr/>
                  </pic:nvPicPr>
                  <pic:blipFill>
                    <a:blip r:embed="rId55"/>
                    <a:stretch>
                      <a:fillRect/>
                    </a:stretch>
                  </pic:blipFill>
                  <pic:spPr>
                    <a:xfrm>
                      <a:off x="0" y="0"/>
                      <a:ext cx="6120000" cy="1314507"/>
                    </a:xfrm>
                    <a:prstGeom prst="rect"/>
                  </pic:spPr>
                </pic:pic>
              </a:graphicData>
            </a:graphic>
          </wp:inline>
        </w:drawing>
      </w:r>
    </w:p>
    <w:p>
      <w:pPr>
        <w:spacing w:after="200"/>
        <w:jc w:val="center"/>
      </w:pPr>
      <w:r>
        <w:rPr>
          <w:b/>
          <w:color w:val="595959"/>
          <w:sz w:val="18"/>
        </w:rPr>
        <w:t>Gambar 46.</w:t>
      </w:r>
      <w:r>
        <w:rPr>
          <w:color w:val="595959"/>
          <w:sz w:val="18"/>
        </w:rPr>
        <w:t xml:space="preserve"> Brief v2 terbit; v1 tetap dapat diunduh.</w:t>
      </w:r>
    </w:p>
    <w:p>
      <w:pPr>
        <w:pStyle w:val="Heading2"/>
      </w:pPr>
      <w:r>
        <w:t>10.4 Membaca riwayat versi</w:t>
      </w:r>
    </w:p>
    <w:p>
      <w:pPr>
        <w:tabs>
          <w:tab w:pos="425" w:val="left"/>
        </w:tabs>
        <w:spacing w:after="60"/>
        <w:ind w:left="425" w:hanging="425"/>
      </w:pPr>
      <w:r>
        <w:rPr/>
        <w:t>1.</w:t>
        <w:tab/>
        <w:t xml:space="preserve">Buka tab </w:t>
      </w:r>
      <w:r>
        <w:rPr>
          <w:b/>
        </w:rPr>
        <w:t>Versi</w:t>
      </w:r>
      <w:r>
        <w:rPr/>
        <w:t xml:space="preserve">. Riwayat memuat </w:t>
      </w:r>
      <w:r>
        <w:rPr>
          <w:b/>
        </w:rPr>
        <w:t>v0.1.0</w:t>
      </w:r>
      <w:r>
        <w:rPr/>
        <w:t xml:space="preserve">, </w:t>
      </w:r>
      <w:r>
        <w:rPr>
          <w:b/>
        </w:rPr>
        <w:t>v1.0</w:t>
      </w:r>
      <w:r>
        <w:rPr/>
        <w:t xml:space="preserve">, baris </w:t>
      </w:r>
      <w:r>
        <w:rPr>
          <w:b/>
        </w:rPr>
        <w:t>v1.1-draft</w:t>
      </w:r>
      <w:r>
        <w:rPr/>
        <w:t xml:space="preserve"> dengan pemicu </w:t>
      </w:r>
      <w:r>
        <w:rPr>
          <w:b/>
        </w:rPr>
        <w:t>REVISI DIMINTA</w:t>
      </w:r>
      <w:r>
        <w:rPr/>
        <w:t xml:space="preserve"> dan alasannya, serta </w:t>
      </w:r>
      <w:r>
        <w:rPr>
          <w:b/>
        </w:rPr>
        <w:t>v1.1</w:t>
      </w:r>
      <w:r>
        <w:rPr/>
        <w:t>.</w:t>
      </w:r>
    </w:p>
    <w:p>
      <w:pPr>
        <w:tabs>
          <w:tab w:pos="425" w:val="left"/>
        </w:tabs>
        <w:spacing w:after="60"/>
        <w:ind w:left="425" w:hanging="425"/>
      </w:pPr>
      <w:r>
        <w:rPr/>
        <w:t>2.</w:t>
        <w:tab/>
        <w:t xml:space="preserve">Klik baris </w:t>
      </w:r>
      <w:r>
        <w:rPr>
          <w:b/>
        </w:rPr>
        <w:t>v1.1</w:t>
      </w:r>
      <w:r>
        <w:rPr/>
        <w:t xml:space="preserve">. Tab </w:t>
      </w:r>
      <w:r>
        <w:rPr>
          <w:b/>
        </w:rPr>
        <w:t>Timeline Audit</w:t>
      </w:r>
      <w:r>
        <w:rPr/>
        <w:t xml:space="preserve"> memuat seluruh perubahan sampai saat itu, termasuk pembuatan revisi beserta alasannya. Tab </w:t>
      </w:r>
      <w:r>
        <w:rPr>
          <w:b/>
        </w:rPr>
        <w:t>Keadaan Data</w:t>
      </w:r>
      <w:r>
        <w:rPr/>
        <w:t xml:space="preserve"> memuat angka yang dibekukan pada versi itu.</w:t>
      </w:r>
    </w:p>
    <w:p>
      <w:pPr>
        <w:tabs>
          <w:tab w:pos="425" w:val="left"/>
        </w:tabs>
        <w:spacing w:after="60"/>
        <w:ind w:left="425" w:hanging="425"/>
      </w:pPr>
      <w:r>
        <w:rPr/>
        <w:t>3.</w:t>
        <w:tab/>
        <w:t xml:space="preserve">Pada </w:t>
      </w:r>
      <w:r>
        <w:rPr>
          <w:b/>
        </w:rPr>
        <w:t>Bandingkan Versi</w:t>
      </w:r>
      <w:r>
        <w:rPr/>
        <w:t xml:space="preserve">, pilih v1.0 dan v1.1, lalu klik </w:t>
      </w:r>
      <w:r>
        <w:rPr>
          <w:b/>
        </w:rPr>
        <w:t>Tampilkan Diff</w:t>
      </w:r>
      <w:r>
        <w:rPr/>
        <w:t xml:space="preserve"> untuk melihat angka yang berubah karena revisi harga.</w:t>
      </w:r>
    </w:p>
    <w:p>
      <w:pPr>
        <w:keepNext/>
        <w:spacing w:after="40"/>
        <w:jc w:val="center"/>
      </w:pPr>
      <w:r>
        <w:drawing>
          <wp:inline xmlns:a="http://schemas.openxmlformats.org/drawingml/2006/main" xmlns:pic="http://schemas.openxmlformats.org/drawingml/2006/picture">
            <wp:extent cx="6120000" cy="3972254"/>
            <wp:docPr id="47" name="Picture 47"/>
            <wp:cNvGraphicFramePr>
              <a:graphicFrameLocks noChangeAspect="1"/>
            </wp:cNvGraphicFramePr>
            <a:graphic>
              <a:graphicData uri="http://schemas.openxmlformats.org/drawingml/2006/picture">
                <pic:pic>
                  <pic:nvPicPr>
                    <pic:cNvPr id="0" name="46-versi-riwayat-47.png"/>
                    <pic:cNvPicPr/>
                  </pic:nvPicPr>
                  <pic:blipFill>
                    <a:blip r:embed="rId56"/>
                    <a:stretch>
                      <a:fillRect/>
                    </a:stretch>
                  </pic:blipFill>
                  <pic:spPr>
                    <a:xfrm>
                      <a:off x="0" y="0"/>
                      <a:ext cx="6120000" cy="3972254"/>
                    </a:xfrm>
                    <a:prstGeom prst="rect"/>
                  </pic:spPr>
                </pic:pic>
              </a:graphicData>
            </a:graphic>
          </wp:inline>
        </w:drawing>
      </w:r>
    </w:p>
    <w:p>
      <w:pPr>
        <w:spacing w:after="200"/>
        <w:jc w:val="center"/>
      </w:pPr>
      <w:r>
        <w:rPr>
          <w:b/>
          <w:color w:val="595959"/>
          <w:sz w:val="18"/>
        </w:rPr>
        <w:t>Gambar 47.</w:t>
      </w:r>
      <w:r>
        <w:rPr>
          <w:color w:val="595959"/>
          <w:sz w:val="18"/>
        </w:rPr>
        <w:t xml:space="preserve"> Riwayat versi: v0.1.0, v1.0, revisi v1.1-draft beserta alasannya, dan v1.1.</w:t>
      </w:r>
    </w:p>
    <w:p>
      <w:pPr>
        <w:keepNext/>
        <w:spacing w:after="40"/>
        <w:jc w:val="center"/>
      </w:pPr>
      <w:r>
        <w:drawing>
          <wp:inline xmlns:a="http://schemas.openxmlformats.org/drawingml/2006/main" xmlns:pic="http://schemas.openxmlformats.org/drawingml/2006/picture">
            <wp:extent cx="6120000" cy="2184938"/>
            <wp:docPr id="48" name="Picture 48"/>
            <wp:cNvGraphicFramePr>
              <a:graphicFrameLocks noChangeAspect="1"/>
            </wp:cNvGraphicFramePr>
            <a:graphic>
              <a:graphicData uri="http://schemas.openxmlformats.org/drawingml/2006/picture">
                <pic:pic>
                  <pic:nvPicPr>
                    <pic:cNvPr id="0" name="47-versi-timeline-48.png"/>
                    <pic:cNvPicPr/>
                  </pic:nvPicPr>
                  <pic:blipFill>
                    <a:blip r:embed="rId57"/>
                    <a:stretch>
                      <a:fillRect/>
                    </a:stretch>
                  </pic:blipFill>
                  <pic:spPr>
                    <a:xfrm>
                      <a:off x="0" y="0"/>
                      <a:ext cx="6120000" cy="2184938"/>
                    </a:xfrm>
                    <a:prstGeom prst="rect"/>
                  </pic:spPr>
                </pic:pic>
              </a:graphicData>
            </a:graphic>
          </wp:inline>
        </w:drawing>
      </w:r>
    </w:p>
    <w:p>
      <w:pPr>
        <w:spacing w:after="200"/>
        <w:jc w:val="center"/>
      </w:pPr>
      <w:r>
        <w:rPr>
          <w:b/>
          <w:color w:val="595959"/>
          <w:sz w:val="18"/>
        </w:rPr>
        <w:t>Gambar 48.</w:t>
      </w:r>
      <w:r>
        <w:rPr>
          <w:color w:val="595959"/>
          <w:sz w:val="18"/>
        </w:rPr>
        <w:t xml:space="preserve"> Entri Timeline Audit untuk pembuatan revisi, dengan alasannya.</w:t>
      </w:r>
    </w:p>
    <w:p>
      <w:pPr>
        <w:keepNext/>
        <w:spacing w:after="40"/>
        <w:jc w:val="center"/>
      </w:pPr>
      <w:r>
        <w:drawing>
          <wp:inline xmlns:a="http://schemas.openxmlformats.org/drawingml/2006/main" xmlns:pic="http://schemas.openxmlformats.org/drawingml/2006/picture">
            <wp:extent cx="3510000" cy="7008041"/>
            <wp:docPr id="49" name="Picture 49"/>
            <wp:cNvGraphicFramePr>
              <a:graphicFrameLocks noChangeAspect="1"/>
            </wp:cNvGraphicFramePr>
            <a:graphic>
              <a:graphicData uri="http://schemas.openxmlformats.org/drawingml/2006/picture">
                <pic:pic>
                  <pic:nvPicPr>
                    <pic:cNvPr id="0" name="48-versi-keadaan-data-49.png"/>
                    <pic:cNvPicPr/>
                  </pic:nvPicPr>
                  <pic:blipFill>
                    <a:blip r:embed="rId58"/>
                    <a:stretch>
                      <a:fillRect/>
                    </a:stretch>
                  </pic:blipFill>
                  <pic:spPr>
                    <a:xfrm>
                      <a:off x="0" y="0"/>
                      <a:ext cx="3510000" cy="7008041"/>
                    </a:xfrm>
                    <a:prstGeom prst="rect"/>
                  </pic:spPr>
                </pic:pic>
              </a:graphicData>
            </a:graphic>
          </wp:inline>
        </w:drawing>
      </w:r>
    </w:p>
    <w:p>
      <w:pPr>
        <w:spacing w:after="200"/>
        <w:jc w:val="center"/>
      </w:pPr>
      <w:r>
        <w:rPr>
          <w:b/>
          <w:color w:val="595959"/>
          <w:sz w:val="18"/>
        </w:rPr>
        <w:t>Gambar 49.</w:t>
      </w:r>
      <w:r>
        <w:rPr>
          <w:color w:val="595959"/>
          <w:sz w:val="18"/>
        </w:rPr>
        <w:t xml:space="preserve"> Keadaan Data versi 1.1: rekomendasi, Keputusan Final KFT dan analisis ekonomi yang dibekukan.</w:t>
      </w:r>
    </w:p>
    <w:p>
      <w:pPr>
        <w:keepNext/>
        <w:spacing w:after="40"/>
        <w:jc w:val="center"/>
      </w:pPr>
      <w:r>
        <w:drawing>
          <wp:inline xmlns:a="http://schemas.openxmlformats.org/drawingml/2006/main" xmlns:pic="http://schemas.openxmlformats.org/drawingml/2006/picture">
            <wp:extent cx="3744875" cy="6829453"/>
            <wp:docPr id="50" name="Picture 50"/>
            <wp:cNvGraphicFramePr>
              <a:graphicFrameLocks noChangeAspect="1"/>
            </wp:cNvGraphicFramePr>
            <a:graphic>
              <a:graphicData uri="http://schemas.openxmlformats.org/drawingml/2006/picture">
                <pic:pic>
                  <pic:nvPicPr>
                    <pic:cNvPr id="0" name="48-versi-keadaan-data-50.png"/>
                    <pic:cNvPicPr/>
                  </pic:nvPicPr>
                  <pic:blipFill>
                    <a:blip r:embed="rId59"/>
                    <a:stretch>
                      <a:fillRect/>
                    </a:stretch>
                  </pic:blipFill>
                  <pic:spPr>
                    <a:xfrm>
                      <a:off x="0" y="0"/>
                      <a:ext cx="3744875" cy="6829453"/>
                    </a:xfrm>
                    <a:prstGeom prst="rect"/>
                  </pic:spPr>
                </pic:pic>
              </a:graphicData>
            </a:graphic>
          </wp:inline>
        </w:drawing>
      </w:r>
    </w:p>
    <w:p>
      <w:pPr>
        <w:spacing w:after="200"/>
        <w:jc w:val="center"/>
      </w:pPr>
      <w:r>
        <w:rPr>
          <w:b/>
          <w:color w:val="595959"/>
          <w:sz w:val="18"/>
        </w:rPr>
        <w:t>Gambar 50.</w:t>
      </w:r>
      <w:r>
        <w:rPr>
          <w:color w:val="595959"/>
          <w:sz w:val="18"/>
        </w:rPr>
        <w:t xml:space="preserve"> Keadaan Data versi 1.1 (lanjutan): BIA, PSA, tanda tangan dan brief v2.</w:t>
      </w:r>
    </w:p>
    <w:p>
      <w:pPr>
        <w:keepNext/>
        <w:spacing w:after="40"/>
        <w:jc w:val="center"/>
      </w:pPr>
      <w:r>
        <w:drawing>
          <wp:inline xmlns:a="http://schemas.openxmlformats.org/drawingml/2006/main" xmlns:pic="http://schemas.openxmlformats.org/drawingml/2006/picture">
            <wp:extent cx="4598843" cy="6114816"/>
            <wp:docPr id="51" name="Picture 51"/>
            <wp:cNvGraphicFramePr>
              <a:graphicFrameLocks noChangeAspect="1"/>
            </wp:cNvGraphicFramePr>
            <a:graphic>
              <a:graphicData uri="http://schemas.openxmlformats.org/drawingml/2006/picture">
                <pic:pic>
                  <pic:nvPicPr>
                    <pic:cNvPr id="0" name="49-versi-diff-51.png"/>
                    <pic:cNvPicPr/>
                  </pic:nvPicPr>
                  <pic:blipFill>
                    <a:blip r:embed="rId60"/>
                    <a:stretch>
                      <a:fillRect/>
                    </a:stretch>
                  </pic:blipFill>
                  <pic:spPr>
                    <a:xfrm>
                      <a:off x="0" y="0"/>
                      <a:ext cx="4598843" cy="6114816"/>
                    </a:xfrm>
                    <a:prstGeom prst="rect"/>
                  </pic:spPr>
                </pic:pic>
              </a:graphicData>
            </a:graphic>
          </wp:inline>
        </w:drawing>
      </w:r>
    </w:p>
    <w:p>
      <w:pPr>
        <w:spacing w:after="200"/>
        <w:jc w:val="center"/>
      </w:pPr>
      <w:r>
        <w:rPr>
          <w:b/>
          <w:color w:val="595959"/>
          <w:sz w:val="18"/>
        </w:rPr>
        <w:t>Gambar 51.</w:t>
      </w:r>
      <w:r>
        <w:rPr>
          <w:color w:val="595959"/>
          <w:sz w:val="18"/>
        </w:rPr>
        <w:t xml:space="preserve"> Perbandingan v1.0 dan v1.1: angka yang berubah karena revisi harga.</w:t>
      </w:r>
    </w:p>
    <w:p>
      <w:pPr>
        <w:keepNext/>
        <w:spacing w:after="40"/>
        <w:jc w:val="center"/>
      </w:pPr>
      <w:r>
        <w:drawing>
          <wp:inline xmlns:a="http://schemas.openxmlformats.org/drawingml/2006/main" xmlns:pic="http://schemas.openxmlformats.org/drawingml/2006/picture">
            <wp:extent cx="6120000" cy="3998330"/>
            <wp:docPr id="52" name="Picture 52"/>
            <wp:cNvGraphicFramePr>
              <a:graphicFrameLocks noChangeAspect="1"/>
            </wp:cNvGraphicFramePr>
            <a:graphic>
              <a:graphicData uri="http://schemas.openxmlformats.org/drawingml/2006/picture">
                <pic:pic>
                  <pic:nvPicPr>
                    <pic:cNvPr id="0" name="49-versi-diff-52.png"/>
                    <pic:cNvPicPr/>
                  </pic:nvPicPr>
                  <pic:blipFill>
                    <a:blip r:embed="rId61"/>
                    <a:stretch>
                      <a:fillRect/>
                    </a:stretch>
                  </pic:blipFill>
                  <pic:spPr>
                    <a:xfrm>
                      <a:off x="0" y="0"/>
                      <a:ext cx="6120000" cy="3998330"/>
                    </a:xfrm>
                    <a:prstGeom prst="rect"/>
                  </pic:spPr>
                </pic:pic>
              </a:graphicData>
            </a:graphic>
          </wp:inline>
        </w:drawing>
      </w:r>
    </w:p>
    <w:p>
      <w:pPr>
        <w:spacing w:after="200"/>
        <w:jc w:val="center"/>
      </w:pPr>
      <w:r>
        <w:rPr>
          <w:b/>
          <w:color w:val="595959"/>
          <w:sz w:val="18"/>
        </w:rPr>
        <w:t>Gambar 52.</w:t>
      </w:r>
      <w:r>
        <w:rPr>
          <w:color w:val="595959"/>
          <w:sz w:val="18"/>
        </w:rPr>
        <w:t xml:space="preserve"> Perbandingan v1.0 dan v1.1 (lanjutan): rekomendasi dan Keputusan Final KFT tiap versi.</w:t>
      </w:r>
    </w:p>
    <w:p>
      <w:pPr>
        <w:keepNext/>
        <w:spacing w:after="40"/>
        <w:jc w:val="center"/>
      </w:pPr>
      <w:r>
        <w:drawing>
          <wp:inline xmlns:a="http://schemas.openxmlformats.org/drawingml/2006/main" xmlns:pic="http://schemas.openxmlformats.org/drawingml/2006/picture">
            <wp:extent cx="6120000" cy="1777817"/>
            <wp:docPr id="53" name="Picture 53"/>
            <wp:cNvGraphicFramePr>
              <a:graphicFrameLocks noChangeAspect="1"/>
            </wp:cNvGraphicFramePr>
            <a:graphic>
              <a:graphicData uri="http://schemas.openxmlformats.org/drawingml/2006/picture">
                <pic:pic>
                  <pic:nvPicPr>
                    <pic:cNvPr id="0" name="50-versi-terkunci-53.png"/>
                    <pic:cNvPicPr/>
                  </pic:nvPicPr>
                  <pic:blipFill>
                    <a:blip r:embed="rId62"/>
                    <a:stretch>
                      <a:fillRect/>
                    </a:stretch>
                  </pic:blipFill>
                  <pic:spPr>
                    <a:xfrm>
                      <a:off x="0" y="0"/>
                      <a:ext cx="6120000" cy="1777817"/>
                    </a:xfrm>
                    <a:prstGeom prst="rect"/>
                  </pic:spPr>
                </pic:pic>
              </a:graphicData>
            </a:graphic>
          </wp:inline>
        </w:drawing>
      </w:r>
    </w:p>
    <w:p>
      <w:pPr>
        <w:spacing w:after="200"/>
        <w:jc w:val="center"/>
      </w:pPr>
      <w:r>
        <w:rPr>
          <w:b/>
          <w:color w:val="595959"/>
          <w:sz w:val="18"/>
        </w:rPr>
        <w:t>Gambar 53.</w:t>
      </w:r>
      <w:r>
        <w:rPr>
          <w:color w:val="595959"/>
          <w:sz w:val="18"/>
        </w:rPr>
        <w:t xml:space="preserve"> Setelah dikunci, isian pada semua tab hanya dapat dibaca.</w:t>
      </w: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FFF3D6"/>
          </w:tcPr>
          <w:p>
            <w:pPr>
              <w:spacing w:after="40"/>
            </w:pPr>
            <w:r>
              <w:rPr>
                <w:b/>
                <w:sz w:val="20"/>
              </w:rPr>
              <w:t>Yang perlu diketahui tentang versi</w:t>
            </w:r>
          </w:p>
          <w:p>
            <w:pPr>
              <w:spacing w:after="40"/>
            </w:pPr>
            <w:r>
              <w:rPr>
                <w:sz w:val="20"/>
              </w:rPr>
              <w:t>Penomoran paket v0.1 dan v0.2 sepadan dengan v1.0 dan v1.1 di dashboard: keduanya adalah keputusan yang sudah dikunci.</w:t>
            </w:r>
          </w:p>
          <w:p>
            <w:pPr>
              <w:spacing w:after="40"/>
            </w:pPr>
            <w:r>
              <w:rPr>
                <w:sz w:val="20"/>
              </w:rPr>
              <w:t>Versi baru selalu memerlukan Keputusan Final KFT dan tanda tangan Ketua KFT yang baru; yang dicatat untuk versi sebelumnya tidak berlaku lagi.</w:t>
            </w:r>
          </w:p>
          <w:p>
            <w:pPr>
              <w:spacing w:after="40"/>
            </w:pPr>
            <w:r>
              <w:rPr>
                <w:sz w:val="20"/>
              </w:rPr>
              <w:t xml:space="preserve">Kasus yang sudah diarsipkan adalah rekam keputusan resmi dan tidak dapat direvisi. Pengarsipan (Tindakan, </w:t>
            </w:r>
            <w:r>
              <w:rPr>
                <w:b/>
                <w:sz w:val="20"/>
              </w:rPr>
              <w:t>Arsipkan</w:t>
            </w:r>
            <w:r>
              <w:rPr>
                <w:sz w:val="20"/>
              </w:rPr>
              <w:t>, oleh Ketua KFT) tidak dibahas dalam panduan ini.</w:t>
            </w:r>
          </w:p>
        </w:tc>
      </w:tr>
    </w:tbl>
    <w:p>
      <w:pPr>
        <w:spacing w:after="0"/>
      </w:pPr>
    </w:p>
    <w:p>
      <w:r>
        <w:br w:type="page"/>
      </w:r>
    </w:p>
    <w:p>
      <w:pPr>
        <w:pStyle w:val="Heading1"/>
      </w:pPr>
      <w:r>
        <w:t>Lampiran A - Kunci hasil</w:t>
      </w:r>
    </w:p>
    <w:p>
      <w:r>
        <w:rPr/>
        <w:t>Tabel berikut membandingkan hasil dashboard pada pengerjaan ini dengan 11_INSTRUCTOR_KEY. Hasil deterministik dan BIA harus sama persis; hasil BIA dan PSA ada pada Bab 4 dan Bab 5, dan hasil revisi pada Bab 10.</w:t>
      </w:r>
    </w:p>
    <w:p>
      <w:pPr>
        <w:keepNext/>
        <w:spacing w:after="60"/>
      </w:pPr>
      <w:r>
        <w:rPr>
          <w:b/>
          <w:sz w:val="19"/>
        </w:rPr>
        <w:t>Tabel 16.</w:t>
      </w:r>
      <w:r>
        <w:rPr>
          <w:sz w:val="19"/>
        </w:rPr>
        <w:t xml:space="preserve"> Hasil deterministik dibanding kunci</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3175"/>
            <w:shd w:val="clear" w:color="auto" w:fill="1F4E79"/>
          </w:tcPr>
          <w:p>
            <w:pPr>
              <w:spacing w:after="0"/>
            </w:pPr>
            <w:r>
              <w:rPr>
                <w:b/>
                <w:color w:val="FFFFFF"/>
                <w:sz w:val="18"/>
              </w:rPr>
              <w:t>Keluaran deterministik</w:t>
            </w:r>
          </w:p>
        </w:tc>
        <w:tc>
          <w:tcPr>
            <w:tcW w:type="dxa" w:w="2381"/>
            <w:shd w:val="clear" w:color="auto" w:fill="1F4E79"/>
          </w:tcPr>
          <w:p>
            <w:pPr>
              <w:spacing w:after="0"/>
            </w:pPr>
            <w:r>
              <w:rPr>
                <w:b/>
                <w:color w:val="FFFFFF"/>
                <w:sz w:val="18"/>
              </w:rPr>
              <w:t>Dashboard</w:t>
            </w:r>
          </w:p>
        </w:tc>
        <w:tc>
          <w:tcPr>
            <w:tcW w:type="dxa" w:w="2381"/>
            <w:shd w:val="clear" w:color="auto" w:fill="1F4E79"/>
          </w:tcPr>
          <w:p>
            <w:pPr>
              <w:spacing w:after="0"/>
            </w:pPr>
            <w:r>
              <w:rPr>
                <w:b/>
                <w:color w:val="FFFFFF"/>
                <w:sz w:val="18"/>
              </w:rPr>
              <w:t>Kunci instruktur</w:t>
            </w:r>
          </w:p>
        </w:tc>
        <w:tc>
          <w:tcPr>
            <w:tcW w:type="dxa" w:w="1701"/>
            <w:shd w:val="clear" w:color="auto" w:fill="1F4E79"/>
          </w:tcPr>
          <w:p>
            <w:pPr>
              <w:spacing w:after="0"/>
            </w:pPr>
            <w:r>
              <w:rPr>
                <w:b/>
                <w:color w:val="FFFFFF"/>
                <w:sz w:val="18"/>
              </w:rPr>
              <w:t>Status</w:t>
            </w:r>
          </w:p>
        </w:tc>
      </w:tr>
      <w:tr>
        <w:tc>
          <w:tcPr>
            <w:tcW w:type="dxa" w:w="3175"/>
          </w:tcPr>
          <w:p>
            <w:pPr>
              <w:spacing w:after="0"/>
            </w:pPr>
            <w:r>
              <w:rPr>
                <w:sz w:val="18"/>
              </w:rPr>
              <w:t>Total cost - intervensi</w:t>
            </w:r>
          </w:p>
        </w:tc>
        <w:tc>
          <w:tcPr>
            <w:tcW w:type="dxa" w:w="2381"/>
          </w:tcPr>
          <w:p>
            <w:pPr>
              <w:spacing w:after="0"/>
            </w:pPr>
            <w:r>
              <w:rPr>
                <w:sz w:val="18"/>
              </w:rPr>
              <w:t>Rp16.500.000</w:t>
            </w:r>
          </w:p>
        </w:tc>
        <w:tc>
          <w:tcPr>
            <w:tcW w:type="dxa" w:w="2381"/>
          </w:tcPr>
          <w:p>
            <w:pPr>
              <w:spacing w:after="0"/>
            </w:pPr>
            <w:r>
              <w:rPr>
                <w:sz w:val="18"/>
              </w:rPr>
              <w:t>Rp16.500.000</w:t>
            </w:r>
          </w:p>
        </w:tc>
        <w:tc>
          <w:tcPr>
            <w:tcW w:type="dxa" w:w="1701"/>
          </w:tcPr>
          <w:p>
            <w:pPr>
              <w:spacing w:after="0"/>
            </w:pPr>
            <w:r>
              <w:rPr>
                <w:sz w:val="18"/>
              </w:rPr>
              <w:t>Sesuai</w:t>
            </w:r>
          </w:p>
        </w:tc>
      </w:tr>
      <w:tr>
        <w:tc>
          <w:tcPr>
            <w:tcW w:type="dxa" w:w="3175"/>
          </w:tcPr>
          <w:p>
            <w:pPr>
              <w:spacing w:after="0"/>
            </w:pPr>
            <w:r>
              <w:rPr>
                <w:sz w:val="18"/>
              </w:rPr>
              <w:t>Total cost - komparator</w:t>
            </w:r>
          </w:p>
        </w:tc>
        <w:tc>
          <w:tcPr>
            <w:tcW w:type="dxa" w:w="2381"/>
          </w:tcPr>
          <w:p>
            <w:pPr>
              <w:spacing w:after="0"/>
            </w:pPr>
            <w:r>
              <w:rPr>
                <w:sz w:val="18"/>
              </w:rPr>
              <w:t>Rp4.100.000</w:t>
            </w:r>
          </w:p>
        </w:tc>
        <w:tc>
          <w:tcPr>
            <w:tcW w:type="dxa" w:w="2381"/>
          </w:tcPr>
          <w:p>
            <w:pPr>
              <w:spacing w:after="0"/>
            </w:pPr>
            <w:r>
              <w:rPr>
                <w:sz w:val="18"/>
              </w:rPr>
              <w:t>Rp4.100.000</w:t>
            </w:r>
          </w:p>
        </w:tc>
        <w:tc>
          <w:tcPr>
            <w:tcW w:type="dxa" w:w="1701"/>
          </w:tcPr>
          <w:p>
            <w:pPr>
              <w:spacing w:after="0"/>
            </w:pPr>
            <w:r>
              <w:rPr>
                <w:sz w:val="18"/>
              </w:rPr>
              <w:t>Sesuai</w:t>
            </w:r>
          </w:p>
        </w:tc>
      </w:tr>
      <w:tr>
        <w:tc>
          <w:tcPr>
            <w:tcW w:type="dxa" w:w="3175"/>
          </w:tcPr>
          <w:p>
            <w:pPr>
              <w:spacing w:after="0"/>
            </w:pPr>
            <w:r>
              <w:rPr>
                <w:sz w:val="18"/>
              </w:rPr>
              <w:t>Incremental cost</w:t>
            </w:r>
          </w:p>
        </w:tc>
        <w:tc>
          <w:tcPr>
            <w:tcW w:type="dxa" w:w="2381"/>
          </w:tcPr>
          <w:p>
            <w:pPr>
              <w:spacing w:after="0"/>
            </w:pPr>
            <w:r>
              <w:rPr>
                <w:sz w:val="18"/>
              </w:rPr>
              <w:t>Rp12.400.000</w:t>
            </w:r>
          </w:p>
        </w:tc>
        <w:tc>
          <w:tcPr>
            <w:tcW w:type="dxa" w:w="2381"/>
          </w:tcPr>
          <w:p>
            <w:pPr>
              <w:spacing w:after="0"/>
            </w:pPr>
            <w:r>
              <w:rPr>
                <w:sz w:val="18"/>
              </w:rPr>
              <w:t>Rp12.400.000</w:t>
            </w:r>
          </w:p>
        </w:tc>
        <w:tc>
          <w:tcPr>
            <w:tcW w:type="dxa" w:w="1701"/>
          </w:tcPr>
          <w:p>
            <w:pPr>
              <w:spacing w:after="0"/>
            </w:pPr>
            <w:r>
              <w:rPr>
                <w:sz w:val="18"/>
              </w:rPr>
              <w:t>Sesuai</w:t>
            </w:r>
          </w:p>
        </w:tc>
      </w:tr>
      <w:tr>
        <w:tc>
          <w:tcPr>
            <w:tcW w:type="dxa" w:w="3175"/>
          </w:tcPr>
          <w:p>
            <w:pPr>
              <w:spacing w:after="0"/>
            </w:pPr>
            <w:r>
              <w:rPr>
                <w:sz w:val="18"/>
              </w:rPr>
              <w:t>QALY - intervensi</w:t>
            </w:r>
          </w:p>
        </w:tc>
        <w:tc>
          <w:tcPr>
            <w:tcW w:type="dxa" w:w="2381"/>
          </w:tcPr>
          <w:p>
            <w:pPr>
              <w:spacing w:after="0"/>
            </w:pPr>
            <w:r>
              <w:rPr>
                <w:sz w:val="18"/>
              </w:rPr>
              <w:t>0,750</w:t>
            </w:r>
          </w:p>
        </w:tc>
        <w:tc>
          <w:tcPr>
            <w:tcW w:type="dxa" w:w="2381"/>
          </w:tcPr>
          <w:p>
            <w:pPr>
              <w:spacing w:after="0"/>
            </w:pPr>
            <w:r>
              <w:rPr>
                <w:sz w:val="18"/>
              </w:rPr>
              <w:t>0,750</w:t>
            </w:r>
          </w:p>
        </w:tc>
        <w:tc>
          <w:tcPr>
            <w:tcW w:type="dxa" w:w="1701"/>
          </w:tcPr>
          <w:p>
            <w:pPr>
              <w:spacing w:after="0"/>
            </w:pPr>
            <w:r>
              <w:rPr>
                <w:sz w:val="18"/>
              </w:rPr>
              <w:t>Sesuai</w:t>
            </w:r>
          </w:p>
        </w:tc>
      </w:tr>
      <w:tr>
        <w:tc>
          <w:tcPr>
            <w:tcW w:type="dxa" w:w="3175"/>
          </w:tcPr>
          <w:p>
            <w:pPr>
              <w:spacing w:after="0"/>
            </w:pPr>
            <w:r>
              <w:rPr>
                <w:sz w:val="18"/>
              </w:rPr>
              <w:t>QALY - komparator</w:t>
            </w:r>
          </w:p>
        </w:tc>
        <w:tc>
          <w:tcPr>
            <w:tcW w:type="dxa" w:w="2381"/>
          </w:tcPr>
          <w:p>
            <w:pPr>
              <w:spacing w:after="0"/>
            </w:pPr>
            <w:r>
              <w:rPr>
                <w:sz w:val="18"/>
              </w:rPr>
              <w:t>0,695</w:t>
            </w:r>
          </w:p>
        </w:tc>
        <w:tc>
          <w:tcPr>
            <w:tcW w:type="dxa" w:w="2381"/>
          </w:tcPr>
          <w:p>
            <w:pPr>
              <w:spacing w:after="0"/>
            </w:pPr>
            <w:r>
              <w:rPr>
                <w:sz w:val="18"/>
              </w:rPr>
              <w:t>0,695</w:t>
            </w:r>
          </w:p>
        </w:tc>
        <w:tc>
          <w:tcPr>
            <w:tcW w:type="dxa" w:w="1701"/>
          </w:tcPr>
          <w:p>
            <w:pPr>
              <w:spacing w:after="0"/>
            </w:pPr>
            <w:r>
              <w:rPr>
                <w:sz w:val="18"/>
              </w:rPr>
              <w:t>Sesuai</w:t>
            </w:r>
          </w:p>
        </w:tc>
      </w:tr>
      <w:tr>
        <w:tc>
          <w:tcPr>
            <w:tcW w:type="dxa" w:w="3175"/>
          </w:tcPr>
          <w:p>
            <w:pPr>
              <w:spacing w:after="0"/>
            </w:pPr>
            <w:r>
              <w:rPr>
                <w:sz w:val="18"/>
              </w:rPr>
              <w:t>Incremental QALY</w:t>
            </w:r>
          </w:p>
        </w:tc>
        <w:tc>
          <w:tcPr>
            <w:tcW w:type="dxa" w:w="2381"/>
          </w:tcPr>
          <w:p>
            <w:pPr>
              <w:spacing w:after="0"/>
            </w:pPr>
            <w:r>
              <w:rPr>
                <w:sz w:val="18"/>
              </w:rPr>
              <w:t>0,055</w:t>
            </w:r>
          </w:p>
        </w:tc>
        <w:tc>
          <w:tcPr>
            <w:tcW w:type="dxa" w:w="2381"/>
          </w:tcPr>
          <w:p>
            <w:pPr>
              <w:spacing w:after="0"/>
            </w:pPr>
            <w:r>
              <w:rPr>
                <w:sz w:val="18"/>
              </w:rPr>
              <w:t>0,055</w:t>
            </w:r>
          </w:p>
        </w:tc>
        <w:tc>
          <w:tcPr>
            <w:tcW w:type="dxa" w:w="1701"/>
          </w:tcPr>
          <w:p>
            <w:pPr>
              <w:spacing w:after="0"/>
            </w:pPr>
            <w:r>
              <w:rPr>
                <w:sz w:val="18"/>
              </w:rPr>
              <w:t>Sesuai</w:t>
            </w:r>
          </w:p>
        </w:tc>
      </w:tr>
      <w:tr>
        <w:tc>
          <w:tcPr>
            <w:tcW w:type="dxa" w:w="3175"/>
          </w:tcPr>
          <w:p>
            <w:pPr>
              <w:spacing w:after="0"/>
            </w:pPr>
            <w:r>
              <w:rPr>
                <w:sz w:val="18"/>
              </w:rPr>
              <w:t>ICER per QALY</w:t>
            </w:r>
          </w:p>
        </w:tc>
        <w:tc>
          <w:tcPr>
            <w:tcW w:type="dxa" w:w="2381"/>
          </w:tcPr>
          <w:p>
            <w:pPr>
              <w:spacing w:after="0"/>
            </w:pPr>
            <w:r>
              <w:rPr>
                <w:sz w:val="18"/>
              </w:rPr>
              <w:t>Rp225.454.545,45</w:t>
            </w:r>
          </w:p>
        </w:tc>
        <w:tc>
          <w:tcPr>
            <w:tcW w:type="dxa" w:w="2381"/>
          </w:tcPr>
          <w:p>
            <w:pPr>
              <w:spacing w:after="0"/>
            </w:pPr>
            <w:r>
              <w:rPr>
                <w:sz w:val="18"/>
              </w:rPr>
              <w:t>Rp225.454.545,45</w:t>
            </w:r>
          </w:p>
        </w:tc>
        <w:tc>
          <w:tcPr>
            <w:tcW w:type="dxa" w:w="1701"/>
          </w:tcPr>
          <w:p>
            <w:pPr>
              <w:spacing w:after="0"/>
            </w:pPr>
            <w:r>
              <w:rPr>
                <w:sz w:val="18"/>
              </w:rPr>
              <w:t>Sesuai</w:t>
            </w:r>
          </w:p>
        </w:tc>
      </w:tr>
      <w:tr>
        <w:tc>
          <w:tcPr>
            <w:tcW w:type="dxa" w:w="3175"/>
          </w:tcPr>
          <w:p>
            <w:pPr>
              <w:spacing w:after="0"/>
            </w:pPr>
            <w:r>
              <w:rPr>
                <w:sz w:val="18"/>
              </w:rPr>
              <w:t>NMB - intervensi</w:t>
            </w:r>
          </w:p>
        </w:tc>
        <w:tc>
          <w:tcPr>
            <w:tcW w:type="dxa" w:w="2381"/>
          </w:tcPr>
          <w:p>
            <w:pPr>
              <w:spacing w:after="0"/>
            </w:pPr>
            <w:r>
              <w:rPr>
                <w:sz w:val="18"/>
              </w:rPr>
              <w:t>Rp208.500.000</w:t>
            </w:r>
          </w:p>
        </w:tc>
        <w:tc>
          <w:tcPr>
            <w:tcW w:type="dxa" w:w="2381"/>
          </w:tcPr>
          <w:p>
            <w:pPr>
              <w:spacing w:after="0"/>
            </w:pPr>
            <w:r>
              <w:rPr>
                <w:sz w:val="18"/>
              </w:rPr>
              <w:t>Rp208.500.000</w:t>
            </w:r>
          </w:p>
        </w:tc>
        <w:tc>
          <w:tcPr>
            <w:tcW w:type="dxa" w:w="1701"/>
          </w:tcPr>
          <w:p>
            <w:pPr>
              <w:spacing w:after="0"/>
            </w:pPr>
            <w:r>
              <w:rPr>
                <w:sz w:val="18"/>
              </w:rPr>
              <w:t>Sesuai</w:t>
            </w:r>
          </w:p>
        </w:tc>
      </w:tr>
      <w:tr>
        <w:tc>
          <w:tcPr>
            <w:tcW w:type="dxa" w:w="3175"/>
          </w:tcPr>
          <w:p>
            <w:pPr>
              <w:spacing w:after="0"/>
            </w:pPr>
            <w:r>
              <w:rPr>
                <w:sz w:val="18"/>
              </w:rPr>
              <w:t>NMB - komparator</w:t>
            </w:r>
          </w:p>
        </w:tc>
        <w:tc>
          <w:tcPr>
            <w:tcW w:type="dxa" w:w="2381"/>
          </w:tcPr>
          <w:p>
            <w:pPr>
              <w:spacing w:after="0"/>
            </w:pPr>
            <w:r>
              <w:rPr>
                <w:sz w:val="18"/>
              </w:rPr>
              <w:t>Rp204.400.000</w:t>
            </w:r>
          </w:p>
        </w:tc>
        <w:tc>
          <w:tcPr>
            <w:tcW w:type="dxa" w:w="2381"/>
          </w:tcPr>
          <w:p>
            <w:pPr>
              <w:spacing w:after="0"/>
            </w:pPr>
            <w:r>
              <w:rPr>
                <w:sz w:val="18"/>
              </w:rPr>
              <w:t>Rp204.400.000</w:t>
            </w:r>
          </w:p>
        </w:tc>
        <w:tc>
          <w:tcPr>
            <w:tcW w:type="dxa" w:w="1701"/>
          </w:tcPr>
          <w:p>
            <w:pPr>
              <w:spacing w:after="0"/>
            </w:pPr>
            <w:r>
              <w:rPr>
                <w:sz w:val="18"/>
              </w:rPr>
              <w:t>Sesuai</w:t>
            </w:r>
          </w:p>
        </w:tc>
      </w:tr>
      <w:tr>
        <w:tc>
          <w:tcPr>
            <w:tcW w:type="dxa" w:w="3175"/>
          </w:tcPr>
          <w:p>
            <w:pPr>
              <w:spacing w:after="0"/>
            </w:pPr>
            <w:r>
              <w:rPr>
                <w:sz w:val="18"/>
              </w:rPr>
              <w:t>INB</w:t>
            </w:r>
          </w:p>
        </w:tc>
        <w:tc>
          <w:tcPr>
            <w:tcW w:type="dxa" w:w="2381"/>
          </w:tcPr>
          <w:p>
            <w:pPr>
              <w:spacing w:after="0"/>
            </w:pPr>
            <w:r>
              <w:rPr>
                <w:sz w:val="18"/>
              </w:rPr>
              <w:t>Rp4.100.000</w:t>
            </w:r>
          </w:p>
        </w:tc>
        <w:tc>
          <w:tcPr>
            <w:tcW w:type="dxa" w:w="2381"/>
          </w:tcPr>
          <w:p>
            <w:pPr>
              <w:spacing w:after="0"/>
            </w:pPr>
            <w:r>
              <w:rPr>
                <w:sz w:val="18"/>
              </w:rPr>
              <w:t>Rp4.100.000</w:t>
            </w:r>
          </w:p>
        </w:tc>
        <w:tc>
          <w:tcPr>
            <w:tcW w:type="dxa" w:w="1701"/>
          </w:tcPr>
          <w:p>
            <w:pPr>
              <w:spacing w:after="0"/>
            </w:pPr>
            <w:r>
              <w:rPr>
                <w:sz w:val="18"/>
              </w:rPr>
              <w:t>Sesuai</w:t>
            </w:r>
          </w:p>
        </w:tc>
      </w:tr>
    </w:tbl>
    <w:p>
      <w:pPr>
        <w:spacing w:after="0"/>
      </w:pPr>
    </w:p>
    <w:p>
      <w:pPr>
        <w:spacing w:after="0" w:line="80" w:lineRule="exact"/>
      </w:pPr>
    </w:p>
    <w:tbl>
      <w:tblPr>
        <w:tblW w:type="auto" w:w="0"/>
        <w:jc w:val="center"/>
        <w:tblLook w:firstColumn="1" w:firstRow="1" w:lastColumn="0" w:lastRow="0" w:noHBand="0" w:noVBand="1" w:val="04A0"/>
      </w:tblPr>
      <w:tblGrid>
        <w:gridCol w:w="9638"/>
      </w:tblGrid>
      <w:tr>
        <w:tc>
          <w:tcPr>
            <w:tcW w:type="dxa" w:w="9638"/>
            <w:shd w:val="clear" w:color="auto" w:fill="E6F4EA"/>
          </w:tcPr>
          <w:p>
            <w:pPr>
              <w:spacing w:after="40"/>
            </w:pPr>
            <w:r>
              <w:rPr>
                <w:b/>
                <w:sz w:val="20"/>
              </w:rPr>
              <w:t>Kesimpulan belajar pada paket</w:t>
            </w:r>
          </w:p>
          <w:p>
            <w:pPr>
              <w:spacing w:after="40"/>
            </w:pPr>
            <w:r>
              <w:rPr>
                <w:sz w:val="20"/>
              </w:rPr>
              <w:t>Hasil deterministik tampak cost-effective pada WTP demo karena ICER sekitar Rp225,45 juta per QALY dan INB positif. Namun PSA hanya sekitar 56% cost-effective dan BIA naik sampai sekitar Rp1,488 miliar per tahun. Keputusan latihan yang koheren adalah adopsi dengan akses berbasis kriteria, bukan adopsi tanpa batas.</w:t>
            </w:r>
          </w:p>
        </w:tc>
      </w:tr>
    </w:tbl>
    <w:p>
      <w:pPr>
        <w:spacing w:after="0"/>
      </w:pPr>
    </w:p>
    <w:p>
      <w:r>
        <w:br w:type="page"/>
      </w:r>
    </w:p>
    <w:p>
      <w:pPr>
        <w:pStyle w:val="Heading1"/>
      </w:pPr>
      <w:r>
        <w:t>Lampiran B - Perbedaan paket latihan dan dashboard</w:t>
      </w:r>
    </w:p>
    <w:p>
      <w:r>
        <w:rPr/>
        <w:t>Paket latihan ditulis untuk dashboard secara umum dan beberapa kali meminta pengguna memilih opsi terdekat. Tabel berikut mencatat setiap tempat build ini berbeda dari langkah paket, dan cara panduan ini menanganinya.</w:t>
      </w:r>
    </w:p>
    <w:p>
      <w:pPr>
        <w:keepNext/>
        <w:spacing w:after="60"/>
      </w:pPr>
      <w:r>
        <w:rPr>
          <w:b/>
          <w:sz w:val="19"/>
        </w:rPr>
        <w:t>Tabel 17.</w:t>
      </w:r>
      <w:r>
        <w:rPr>
          <w:sz w:val="19"/>
        </w:rPr>
        <w:t xml:space="preserve"> Perbedaan langkah paket dan dashboard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07"/>
            <w:shd w:val="clear" w:color="auto" w:fill="1F4E79"/>
          </w:tcPr>
          <w:p>
            <w:pPr>
              <w:spacing w:after="0"/>
            </w:pPr>
            <w:r>
              <w:rPr>
                <w:b/>
                <w:color w:val="FFFFFF"/>
                <w:sz w:val="18"/>
              </w:rPr>
              <w:t>Langkah</w:t>
            </w:r>
          </w:p>
        </w:tc>
        <w:tc>
          <w:tcPr>
            <w:tcW w:type="dxa" w:w="3061"/>
            <w:shd w:val="clear" w:color="auto" w:fill="1F4E79"/>
          </w:tcPr>
          <w:p>
            <w:pPr>
              <w:spacing w:after="0"/>
            </w:pPr>
            <w:r>
              <w:rPr>
                <w:b/>
                <w:color w:val="FFFFFF"/>
                <w:sz w:val="18"/>
              </w:rPr>
              <w:t>Pada paket</w:t>
            </w:r>
          </w:p>
        </w:tc>
        <w:tc>
          <w:tcPr>
            <w:tcW w:type="dxa" w:w="5669"/>
            <w:shd w:val="clear" w:color="auto" w:fill="1F4E79"/>
          </w:tcPr>
          <w:p>
            <w:pPr>
              <w:spacing w:after="0"/>
            </w:pPr>
            <w:r>
              <w:rPr>
                <w:b/>
                <w:color w:val="FFFFFF"/>
                <w:sz w:val="18"/>
              </w:rPr>
              <w:t>Pada dashboard (build ini)</w:t>
            </w:r>
          </w:p>
        </w:tc>
      </w:tr>
      <w:tr>
        <w:tc>
          <w:tcPr>
            <w:tcW w:type="dxa" w:w="907"/>
          </w:tcPr>
          <w:p>
            <w:pPr>
              <w:spacing w:after="0"/>
            </w:pPr>
            <w:r>
              <w:rPr>
                <w:sz w:val="18"/>
              </w:rPr>
              <w:t>1</w:t>
            </w:r>
          </w:p>
        </w:tc>
        <w:tc>
          <w:tcPr>
            <w:tcW w:type="dxa" w:w="3061"/>
          </w:tcPr>
          <w:p>
            <w:pPr>
              <w:spacing w:after="0"/>
            </w:pPr>
            <w:r>
              <w:rPr>
                <w:sz w:val="18"/>
              </w:rPr>
              <w:t>Case ID DB_DEMO_HF_001</w:t>
            </w:r>
          </w:p>
        </w:tc>
        <w:tc>
          <w:tcPr>
            <w:tcW w:type="dxa" w:w="5669"/>
          </w:tcPr>
          <w:p>
            <w:pPr>
              <w:spacing w:after="0"/>
            </w:pPr>
            <w:r>
              <w:rPr>
                <w:sz w:val="18"/>
              </w:rPr>
              <w:t>Di situs bersama ID itu sudah dipakai kasus rujukan. Gunakan ID sendiri.</w:t>
            </w:r>
          </w:p>
        </w:tc>
      </w:tr>
      <w:tr>
        <w:tc>
          <w:tcPr>
            <w:tcW w:type="dxa" w:w="907"/>
          </w:tcPr>
          <w:p>
            <w:pPr>
              <w:spacing w:after="0"/>
            </w:pPr>
            <w:r>
              <w:rPr>
                <w:sz w:val="18"/>
              </w:rPr>
              <w:t>9</w:t>
            </w:r>
          </w:p>
        </w:tc>
        <w:tc>
          <w:tcPr>
            <w:tcW w:type="dxa" w:w="3061"/>
          </w:tcPr>
          <w:p>
            <w:pPr>
              <w:spacing w:after="0"/>
            </w:pPr>
            <w:r>
              <w:rPr>
                <w:sz w:val="18"/>
              </w:rPr>
              <w:t>Time horizon diisi di Ringkasan</w:t>
            </w:r>
          </w:p>
        </w:tc>
        <w:tc>
          <w:tcPr>
            <w:tcW w:type="dxa" w:w="5669"/>
          </w:tcPr>
          <w:p>
            <w:pPr>
              <w:spacing w:after="0"/>
            </w:pPr>
            <w:r>
              <w:rPr>
                <w:sz w:val="18"/>
              </w:rPr>
              <w:t>Diisi di Analisis Ekonomi sebagai Horizon CEA.</w:t>
            </w:r>
          </w:p>
        </w:tc>
      </w:tr>
      <w:tr>
        <w:tc>
          <w:tcPr>
            <w:tcW w:type="dxa" w:w="907"/>
          </w:tcPr>
          <w:p>
            <w:pPr>
              <w:spacing w:after="0"/>
            </w:pPr>
            <w:r>
              <w:rPr>
                <w:sz w:val="18"/>
              </w:rPr>
              <w:t>10</w:t>
            </w:r>
          </w:p>
        </w:tc>
        <w:tc>
          <w:tcPr>
            <w:tcW w:type="dxa" w:w="3061"/>
          </w:tcPr>
          <w:p>
            <w:pPr>
              <w:spacing w:after="0"/>
            </w:pPr>
            <w:r>
              <w:rPr>
                <w:sz w:val="18"/>
              </w:rPr>
              <w:t>Outcome diisi di Ringkasan</w:t>
            </w:r>
          </w:p>
        </w:tc>
        <w:tc>
          <w:tcPr>
            <w:tcW w:type="dxa" w:w="5669"/>
          </w:tcPr>
          <w:p>
            <w:pPr>
              <w:spacing w:after="0"/>
            </w:pPr>
            <w:r>
              <w:rPr>
                <w:sz w:val="18"/>
              </w:rPr>
              <w:t>Diisi pada Outcome (O) di langkah PICO.</w:t>
            </w:r>
          </w:p>
        </w:tc>
      </w:tr>
      <w:tr>
        <w:tc>
          <w:tcPr>
            <w:tcW w:type="dxa" w:w="907"/>
          </w:tcPr>
          <w:p>
            <w:pPr>
              <w:spacing w:after="0"/>
            </w:pPr>
            <w:r>
              <w:rPr>
                <w:sz w:val="18"/>
              </w:rPr>
              <w:t>11-12</w:t>
            </w:r>
          </w:p>
        </w:tc>
        <w:tc>
          <w:tcPr>
            <w:tcW w:type="dxa" w:w="3061"/>
          </w:tcPr>
          <w:p>
            <w:pPr>
              <w:spacing w:after="0"/>
            </w:pPr>
            <w:r>
              <w:rPr>
                <w:sz w:val="18"/>
              </w:rPr>
              <w:t>Biaya obat per bulan</w:t>
            </w:r>
          </w:p>
        </w:tc>
        <w:tc>
          <w:tcPr>
            <w:tcW w:type="dxa" w:w="5669"/>
          </w:tcPr>
          <w:p>
            <w:pPr>
              <w:spacing w:after="0"/>
            </w:pPr>
            <w:r>
              <w:rPr>
                <w:sz w:val="18"/>
              </w:rPr>
              <w:t>Isian per pasien per tahun; nilai paket dikalikan 12.</w:t>
            </w:r>
          </w:p>
        </w:tc>
      </w:tr>
      <w:tr>
        <w:tc>
          <w:tcPr>
            <w:tcW w:type="dxa" w:w="907"/>
          </w:tcPr>
          <w:p>
            <w:pPr>
              <w:spacing w:after="0"/>
            </w:pPr>
            <w:r>
              <w:rPr>
                <w:sz w:val="18"/>
              </w:rPr>
              <w:t>25-33</w:t>
            </w:r>
          </w:p>
        </w:tc>
        <w:tc>
          <w:tcPr>
            <w:tcW w:type="dxa" w:w="3061"/>
          </w:tcPr>
          <w:p>
            <w:pPr>
              <w:spacing w:after="0"/>
            </w:pPr>
            <w:r>
              <w:rPr>
                <w:sz w:val="18"/>
              </w:rPr>
              <w:t>Input BIA di menu BIA</w:t>
            </w:r>
          </w:p>
        </w:tc>
        <w:tc>
          <w:tcPr>
            <w:tcW w:type="dxa" w:w="5669"/>
          </w:tcPr>
          <w:p>
            <w:pPr>
              <w:spacing w:after="0"/>
            </w:pPr>
            <w:r>
              <w:rPr>
                <w:sz w:val="18"/>
              </w:rPr>
              <w:t>Diisi di Analisis Ekonomi; tab BIA hanya menghitung dan menampilkan.</w:t>
            </w:r>
          </w:p>
        </w:tc>
      </w:tr>
      <w:tr>
        <w:tc>
          <w:tcPr>
            <w:tcW w:type="dxa" w:w="907"/>
          </w:tcPr>
          <w:p>
            <w:pPr>
              <w:spacing w:after="0"/>
            </w:pPr>
            <w:r>
              <w:rPr>
                <w:sz w:val="18"/>
              </w:rPr>
              <w:t>32</w:t>
            </w:r>
          </w:p>
        </w:tc>
        <w:tc>
          <w:tcPr>
            <w:tcW w:type="dxa" w:w="3061"/>
          </w:tcPr>
          <w:p>
            <w:pPr>
              <w:spacing w:after="0"/>
            </w:pPr>
            <w:r>
              <w:rPr>
                <w:sz w:val="18"/>
              </w:rPr>
              <w:t>Market share baseline ARNI = 0</w:t>
            </w:r>
          </w:p>
        </w:tc>
        <w:tc>
          <w:tcPr>
            <w:tcW w:type="dxa" w:w="5669"/>
          </w:tcPr>
          <w:p>
            <w:pPr>
              <w:spacing w:after="0"/>
            </w:pPr>
            <w:r>
              <w:rPr>
                <w:sz w:val="18"/>
              </w:rPr>
              <w:t>Tidak diisi. Market share di dashboard adalah pengali jumlah pasien; nilai 0 membuat BIA nol.</w:t>
            </w:r>
          </w:p>
        </w:tc>
      </w:tr>
      <w:tr>
        <w:tc>
          <w:tcPr>
            <w:tcW w:type="dxa" w:w="907"/>
          </w:tcPr>
          <w:p>
            <w:pPr>
              <w:spacing w:after="0"/>
            </w:pPr>
            <w:r>
              <w:rPr>
                <w:sz w:val="18"/>
              </w:rPr>
              <w:t>37-39</w:t>
            </w:r>
          </w:p>
        </w:tc>
        <w:tc>
          <w:tcPr>
            <w:tcW w:type="dxa" w:w="3061"/>
          </w:tcPr>
          <w:p>
            <w:pPr>
              <w:spacing w:after="0"/>
            </w:pPr>
            <w:r>
              <w:rPr>
                <w:sz w:val="18"/>
              </w:rPr>
              <w:t>Distribusi per kelompok parameter</w:t>
            </w:r>
          </w:p>
        </w:tc>
        <w:tc>
          <w:tcPr>
            <w:tcW w:type="dxa" w:w="5669"/>
          </w:tcPr>
          <w:p>
            <w:pPr>
              <w:spacing w:after="0"/>
            </w:pPr>
            <w:r>
              <w:rPr>
                <w:sz w:val="18"/>
              </w:rPr>
              <w:t>Diatur per parameter pada tab PSA. SE biaya diketik 10%; utility memakai SD.</w:t>
            </w:r>
          </w:p>
        </w:tc>
      </w:tr>
      <w:tr>
        <w:tc>
          <w:tcPr>
            <w:tcW w:type="dxa" w:w="907"/>
          </w:tcPr>
          <w:p>
            <w:pPr>
              <w:spacing w:after="0"/>
            </w:pPr>
            <w:r>
              <w:rPr>
                <w:sz w:val="18"/>
              </w:rPr>
              <w:t>41-49</w:t>
            </w:r>
          </w:p>
        </w:tc>
        <w:tc>
          <w:tcPr>
            <w:tcW w:type="dxa" w:w="3061"/>
          </w:tcPr>
          <w:p>
            <w:pPr>
              <w:spacing w:after="0"/>
            </w:pPr>
            <w:r>
              <w:rPr>
                <w:sz w:val="18"/>
              </w:rPr>
              <w:t>Judgement dengan istilah tiap domain</w:t>
            </w:r>
          </w:p>
        </w:tc>
        <w:tc>
          <w:tcPr>
            <w:tcW w:type="dxa" w:w="5669"/>
          </w:tcPr>
          <w:p>
            <w:pPr>
              <w:spacing w:after="0"/>
            </w:pPr>
            <w:r>
              <w:rPr>
                <w:sz w:val="18"/>
              </w:rPr>
              <w:t>Skala lima pilihan (Tidak sampai Ya) ditambah kepastian GRADE per domain. Padanannya pada Bab 6.</w:t>
            </w:r>
          </w:p>
        </w:tc>
      </w:tr>
      <w:tr>
        <w:tc>
          <w:tcPr>
            <w:tcW w:type="dxa" w:w="907"/>
          </w:tcPr>
          <w:p>
            <w:pPr>
              <w:spacing w:after="0"/>
            </w:pPr>
            <w:r>
              <w:rPr>
                <w:sz w:val="18"/>
              </w:rPr>
              <w:t>50</w:t>
            </w:r>
          </w:p>
        </w:tc>
        <w:tc>
          <w:tcPr>
            <w:tcW w:type="dxa" w:w="3061"/>
          </w:tcPr>
          <w:p>
            <w:pPr>
              <w:spacing w:after="0"/>
            </w:pPr>
            <w:r>
              <w:rPr>
                <w:sz w:val="18"/>
              </w:rPr>
              <w:t>Decision type dipilih pengguna</w:t>
            </w:r>
          </w:p>
        </w:tc>
        <w:tc>
          <w:tcPr>
            <w:tcW w:type="dxa" w:w="5669"/>
          </w:tcPr>
          <w:p>
            <w:pPr>
              <w:spacing w:after="0"/>
            </w:pPr>
            <w:r>
              <w:rPr>
                <w:sz w:val="18"/>
              </w:rPr>
              <w:t>Dipilih pada kartu Keputusan Final KFT (tab Rekomendasi) oleh Anggota atau Ketua KFT. Warna dan skor sistem tetap ditampilkan sebagai bahan pertimbangan.</w:t>
            </w:r>
          </w:p>
        </w:tc>
      </w:tr>
      <w:tr>
        <w:tc>
          <w:tcPr>
            <w:tcW w:type="dxa" w:w="907"/>
          </w:tcPr>
          <w:p>
            <w:pPr>
              <w:spacing w:after="0"/>
            </w:pPr>
            <w:r>
              <w:rPr>
                <w:sz w:val="18"/>
              </w:rPr>
              <w:t>51</w:t>
            </w:r>
          </w:p>
        </w:tc>
        <w:tc>
          <w:tcPr>
            <w:tcW w:type="dxa" w:w="3061"/>
          </w:tcPr>
          <w:p>
            <w:pPr>
              <w:spacing w:after="0"/>
            </w:pPr>
            <w:r>
              <w:rPr>
                <w:sz w:val="18"/>
              </w:rPr>
              <w:t>Target population diisi di Rekomendasi</w:t>
            </w:r>
          </w:p>
        </w:tc>
        <w:tc>
          <w:tcPr>
            <w:tcW w:type="dxa" w:w="5669"/>
          </w:tcPr>
          <w:p>
            <w:pPr>
              <w:spacing w:after="0"/>
            </w:pPr>
            <w:r>
              <w:rPr>
                <w:sz w:val="18"/>
              </w:rPr>
              <w:t>Tidak ada isian terpisah. Tercatat di Ringkasan dan pertanyaan PICO, dan dicetak pada brief sebagai Populasi target.</w:t>
            </w:r>
          </w:p>
        </w:tc>
      </w:tr>
      <w:tr>
        <w:tc>
          <w:tcPr>
            <w:tcW w:type="dxa" w:w="907"/>
          </w:tcPr>
          <w:p>
            <w:pPr>
              <w:spacing w:after="0"/>
            </w:pPr>
            <w:r>
              <w:rPr>
                <w:sz w:val="18"/>
              </w:rPr>
              <w:t>52</w:t>
            </w:r>
          </w:p>
        </w:tc>
        <w:tc>
          <w:tcPr>
            <w:tcW w:type="dxa" w:w="3061"/>
          </w:tcPr>
          <w:p>
            <w:pPr>
              <w:spacing w:after="0"/>
            </w:pPr>
            <w:r>
              <w:rPr>
                <w:sz w:val="18"/>
              </w:rPr>
              <w:t>Access criteria</w:t>
            </w:r>
          </w:p>
        </w:tc>
        <w:tc>
          <w:tcPr>
            <w:tcW w:type="dxa" w:w="5669"/>
          </w:tcPr>
          <w:p>
            <w:pPr>
              <w:spacing w:after="0"/>
            </w:pPr>
            <w:r>
              <w:rPr>
                <w:sz w:val="18"/>
              </w:rPr>
              <w:t>Diisi sebagai Kriteria Akses (CBA).</w:t>
            </w:r>
          </w:p>
        </w:tc>
      </w:tr>
      <w:tr>
        <w:tc>
          <w:tcPr>
            <w:tcW w:type="dxa" w:w="907"/>
          </w:tcPr>
          <w:p>
            <w:pPr>
              <w:spacing w:after="0"/>
            </w:pPr>
            <w:r>
              <w:rPr>
                <w:sz w:val="18"/>
              </w:rPr>
              <w:t>53</w:t>
            </w:r>
          </w:p>
        </w:tc>
        <w:tc>
          <w:tcPr>
            <w:tcW w:type="dxa" w:w="3061"/>
          </w:tcPr>
          <w:p>
            <w:pPr>
              <w:spacing w:after="0"/>
            </w:pPr>
            <w:r>
              <w:rPr>
                <w:sz w:val="18"/>
              </w:rPr>
              <w:t>Rationale terintegrasi diisi pengguna</w:t>
            </w:r>
          </w:p>
        </w:tc>
        <w:tc>
          <w:tcPr>
            <w:tcW w:type="dxa" w:w="5669"/>
          </w:tcPr>
          <w:p>
            <w:pPr>
              <w:spacing w:after="0"/>
            </w:pPr>
            <w:r>
              <w:rPr>
                <w:sz w:val="18"/>
              </w:rPr>
              <w:t>Ditulis sebagai Alasan pada Keputusan Final KFT (wajib). Sistem tetap menulis Justifikasi untuk rekomendasinya.</w:t>
            </w:r>
          </w:p>
        </w:tc>
      </w:tr>
      <w:tr>
        <w:tc>
          <w:tcPr>
            <w:tcW w:type="dxa" w:w="907"/>
          </w:tcPr>
          <w:p>
            <w:pPr>
              <w:spacing w:after="0"/>
            </w:pPr>
            <w:r>
              <w:rPr>
                <w:sz w:val="18"/>
              </w:rPr>
              <w:t>54</w:t>
            </w:r>
          </w:p>
        </w:tc>
        <w:tc>
          <w:tcPr>
            <w:tcW w:type="dxa" w:w="3061"/>
          </w:tcPr>
          <w:p>
            <w:pPr>
              <w:spacing w:after="0"/>
            </w:pPr>
            <w:r>
              <w:rPr>
                <w:sz w:val="18"/>
              </w:rPr>
              <w:t>Checklist delapan butir, termasuk PSA</w:t>
            </w:r>
          </w:p>
        </w:tc>
        <w:tc>
          <w:tcPr>
            <w:tcW w:type="dxa" w:w="5669"/>
          </w:tcPr>
          <w:p>
            <w:pPr>
              <w:spacing w:after="0"/>
            </w:pPr>
            <w:r>
              <w:rPr>
                <w:sz w:val="18"/>
              </w:rPr>
              <w:t>Kelengkapan Dossier memuat PSA pada input terbaru, rekomendasi yang masih sesuai input, dan Keputusan Final KFT; sign-off ditolak bila ada yang kurang.</w:t>
            </w:r>
          </w:p>
        </w:tc>
      </w:tr>
      <w:tr>
        <w:tc>
          <w:tcPr>
            <w:tcW w:type="dxa" w:w="907"/>
          </w:tcPr>
          <w:p>
            <w:pPr>
              <w:spacing w:after="0"/>
            </w:pPr>
            <w:r>
              <w:rPr>
                <w:sz w:val="18"/>
              </w:rPr>
              <w:t>55</w:t>
            </w:r>
          </w:p>
        </w:tc>
        <w:tc>
          <w:tcPr>
            <w:tcW w:type="dxa" w:w="3061"/>
          </w:tcPr>
          <w:p>
            <w:pPr>
              <w:spacing w:after="0"/>
            </w:pPr>
            <w:r>
              <w:rPr>
                <w:sz w:val="18"/>
              </w:rPr>
              <w:t>Approver memilih keputusan</w:t>
            </w:r>
          </w:p>
        </w:tc>
        <w:tc>
          <w:tcPr>
            <w:tcW w:type="dxa" w:w="5669"/>
          </w:tcPr>
          <w:p>
            <w:pPr>
              <w:spacing w:after="0"/>
            </w:pPr>
            <w:r>
              <w:rPr>
                <w:sz w:val="18"/>
              </w:rPr>
              <w:t>Ketua KFT menandatangani Keputusan Final KFT yang tercatat (atau mencatat keputusan baru lebih dulu); tanda tangan mengikat keputusan itu.</w:t>
            </w:r>
          </w:p>
        </w:tc>
      </w:tr>
      <w:tr>
        <w:tc>
          <w:tcPr>
            <w:tcW w:type="dxa" w:w="907"/>
          </w:tcPr>
          <w:p>
            <w:pPr>
              <w:spacing w:after="0"/>
            </w:pPr>
            <w:r>
              <w:rPr>
                <w:sz w:val="18"/>
              </w:rPr>
              <w:t>56</w:t>
            </w:r>
          </w:p>
        </w:tc>
        <w:tc>
          <w:tcPr>
            <w:tcW w:type="dxa" w:w="3061"/>
          </w:tcPr>
          <w:p>
            <w:pPr>
              <w:spacing w:after="0"/>
            </w:pPr>
            <w:r>
              <w:rPr>
                <w:sz w:val="18"/>
              </w:rPr>
              <w:t>Brief memuat ringkasan PSA dan pertanyaan keputusan</w:t>
            </w:r>
          </w:p>
        </w:tc>
        <w:tc>
          <w:tcPr>
            <w:tcW w:type="dxa" w:w="5669"/>
          </w:tcPr>
          <w:p>
            <w:pPr>
              <w:spacing w:after="0"/>
            </w:pPr>
            <w:r>
              <w:rPr>
                <w:sz w:val="18"/>
              </w:rPr>
              <w:t>Sama: brief memuat ringkasan PSA, pertanyaan keputusan, populasi target dan Keputusan Final KFT.</w:t>
            </w:r>
          </w:p>
        </w:tc>
      </w:tr>
      <w:tr>
        <w:tc>
          <w:tcPr>
            <w:tcW w:type="dxa" w:w="907"/>
          </w:tcPr>
          <w:p>
            <w:pPr>
              <w:spacing w:after="0"/>
            </w:pPr>
            <w:r>
              <w:rPr>
                <w:sz w:val="18"/>
              </w:rPr>
              <w:t>57</w:t>
            </w:r>
          </w:p>
        </w:tc>
        <w:tc>
          <w:tcPr>
            <w:tcW w:type="dxa" w:w="3061"/>
          </w:tcPr>
          <w:p>
            <w:pPr>
              <w:spacing w:after="0"/>
            </w:pPr>
            <w:r>
              <w:rPr>
                <w:sz w:val="18"/>
              </w:rPr>
              <w:t>Versi awal disimpan sebagai v0.1</w:t>
            </w:r>
          </w:p>
        </w:tc>
        <w:tc>
          <w:tcPr>
            <w:tcW w:type="dxa" w:w="5669"/>
          </w:tcPr>
          <w:p>
            <w:pPr>
              <w:spacing w:after="0"/>
            </w:pPr>
            <w:r>
              <w:rPr>
                <w:sz w:val="18"/>
              </w:rPr>
              <w:t>v0.1.0 dibuat otomatis ketika kasus dibuat.</w:t>
            </w:r>
          </w:p>
        </w:tc>
      </w:tr>
      <w:tr>
        <w:tc>
          <w:tcPr>
            <w:tcW w:type="dxa" w:w="907"/>
          </w:tcPr>
          <w:p>
            <w:pPr>
              <w:spacing w:after="0"/>
            </w:pPr>
            <w:r>
              <w:rPr>
                <w:sz w:val="18"/>
              </w:rPr>
              <w:t>58-59</w:t>
            </w:r>
          </w:p>
        </w:tc>
        <w:tc>
          <w:tcPr>
            <w:tcW w:type="dxa" w:w="3061"/>
          </w:tcPr>
          <w:p>
            <w:pPr>
              <w:spacing w:after="0"/>
            </w:pPr>
            <w:r>
              <w:rPr>
                <w:sz w:val="18"/>
              </w:rPr>
              <w:t>Buat versi baru v0.2 dengan alasan</w:t>
            </w:r>
          </w:p>
        </w:tc>
        <w:tc>
          <w:tcPr>
            <w:tcW w:type="dxa" w:w="5669"/>
          </w:tcPr>
          <w:p>
            <w:pPr>
              <w:spacing w:after="0"/>
            </w:pPr>
            <w:r>
              <w:rPr>
                <w:sz w:val="18"/>
              </w:rPr>
              <w:t xml:space="preserve">Keputusan dikunci sebagai v1.0, lalu </w:t>
            </w:r>
            <w:r>
              <w:rPr>
                <w:b/>
                <w:sz w:val="18"/>
              </w:rPr>
              <w:t>Buat Revisi (Versi Baru)</w:t>
            </w:r>
            <w:r>
              <w:rPr>
                <w:sz w:val="18"/>
              </w:rPr>
              <w:t xml:space="preserve"> dengan alasan membuka versi berikutnya tanpa mengubah v1.0. Setelah dikunci ulang menjadi v1.1. Penomoran v1.0/v1.1 sepadan dengan v0.1/v0.2 pada paket.</w:t>
            </w:r>
          </w:p>
        </w:tc>
      </w:tr>
    </w:tbl>
    <w:p>
      <w:pPr>
        <w:spacing w:after="0"/>
      </w:pPr>
    </w:p>
    <w:p>
      <w:r>
        <w:br w:type="page"/>
      </w:r>
    </w:p>
    <w:p>
      <w:pPr>
        <w:pStyle w:val="Heading1"/>
      </w:pPr>
      <w:r>
        <w:t>Lampiran C - Masalah yang sering terjadi</w:t>
      </w:r>
    </w:p>
    <w:p>
      <w:pPr>
        <w:keepNext/>
        <w:spacing w:after="60"/>
      </w:pPr>
      <w:r>
        <w:rPr>
          <w:b/>
          <w:sz w:val="19"/>
        </w:rPr>
        <w:t>Tabel 18.</w:t>
      </w:r>
      <w:r>
        <w:rPr>
          <w:sz w:val="19"/>
        </w:rPr>
        <w:t xml:space="preserve"> Masalah umum dan penyelesaiannya</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061"/>
            <w:shd w:val="clear" w:color="auto" w:fill="1F4E79"/>
          </w:tcPr>
          <w:p>
            <w:pPr>
              <w:spacing w:after="0"/>
            </w:pPr>
            <w:r>
              <w:rPr>
                <w:b/>
                <w:color w:val="FFFFFF"/>
                <w:sz w:val="18"/>
              </w:rPr>
              <w:t>Yang terlihat</w:t>
            </w:r>
          </w:p>
        </w:tc>
        <w:tc>
          <w:tcPr>
            <w:tcW w:type="dxa" w:w="3175"/>
            <w:shd w:val="clear" w:color="auto" w:fill="1F4E79"/>
          </w:tcPr>
          <w:p>
            <w:pPr>
              <w:spacing w:after="0"/>
            </w:pPr>
            <w:r>
              <w:rPr>
                <w:b/>
                <w:color w:val="FFFFFF"/>
                <w:sz w:val="18"/>
              </w:rPr>
              <w:t>Penyebab</w:t>
            </w:r>
          </w:p>
        </w:tc>
        <w:tc>
          <w:tcPr>
            <w:tcW w:type="dxa" w:w="3402"/>
            <w:shd w:val="clear" w:color="auto" w:fill="1F4E79"/>
          </w:tcPr>
          <w:p>
            <w:pPr>
              <w:spacing w:after="0"/>
            </w:pPr>
            <w:r>
              <w:rPr>
                <w:b/>
                <w:color w:val="FFFFFF"/>
                <w:sz w:val="18"/>
              </w:rPr>
              <w:t>Yang dilakukan</w:t>
            </w:r>
          </w:p>
        </w:tc>
      </w:tr>
      <w:tr>
        <w:tc>
          <w:tcPr>
            <w:tcW w:type="dxa" w:w="3061"/>
          </w:tcPr>
          <w:p>
            <w:pPr>
              <w:spacing w:after="0"/>
            </w:pPr>
            <w:r>
              <w:rPr>
                <w:sz w:val="18"/>
              </w:rPr>
              <w:t xml:space="preserve">Pesan </w:t>
            </w:r>
            <w:r>
              <w:rPr>
                <w:b/>
                <w:sz w:val="18"/>
              </w:rPr>
              <w:t>Parameter belum tersimpan</w:t>
            </w:r>
            <w:r>
              <w:rPr>
                <w:sz w:val="18"/>
              </w:rPr>
              <w:t xml:space="preserve"> dan ada baris bertanda merah</w:t>
            </w:r>
          </w:p>
        </w:tc>
        <w:tc>
          <w:tcPr>
            <w:tcW w:type="dxa" w:w="3175"/>
          </w:tcPr>
          <w:p>
            <w:pPr>
              <w:spacing w:after="0"/>
            </w:pPr>
            <w:r>
              <w:rPr>
                <w:sz w:val="18"/>
              </w:rPr>
              <w:t>Proporsi diketik sebagai persen, misalnya 30 untuk 30%</w:t>
            </w:r>
          </w:p>
        </w:tc>
        <w:tc>
          <w:tcPr>
            <w:tcW w:type="dxa" w:w="3402"/>
          </w:tcPr>
          <w:p>
            <w:pPr>
              <w:spacing w:after="0"/>
            </w:pPr>
            <w:r>
              <w:rPr>
                <w:sz w:val="18"/>
              </w:rPr>
              <w:t>Ketik 0.30. Tidak ada baris yang tersimpan sampai semua baris benar.</w:t>
            </w:r>
          </w:p>
        </w:tc>
      </w:tr>
      <w:tr>
        <w:tc>
          <w:tcPr>
            <w:tcW w:type="dxa" w:w="3061"/>
          </w:tcPr>
          <w:p>
            <w:pPr>
              <w:spacing w:after="0"/>
            </w:pPr>
            <w:r>
              <w:rPr>
                <w:b/>
                <w:sz w:val="18"/>
              </w:rPr>
              <w:t>Belum dapat dihitung - input wajib yang kurang</w:t>
            </w:r>
          </w:p>
        </w:tc>
        <w:tc>
          <w:tcPr>
            <w:tcW w:type="dxa" w:w="3175"/>
          </w:tcPr>
          <w:p>
            <w:pPr>
              <w:spacing w:after="0"/>
            </w:pPr>
            <w:r>
              <w:rPr>
                <w:sz w:val="18"/>
              </w:rPr>
              <w:t>Parameter belum disimpan, atau ada parameter wajib yang belum ada</w:t>
            </w:r>
          </w:p>
        </w:tc>
        <w:tc>
          <w:tcPr>
            <w:tcW w:type="dxa" w:w="3402"/>
          </w:tcPr>
          <w:p>
            <w:pPr>
              <w:spacing w:after="0"/>
            </w:pPr>
            <w:r>
              <w:rPr>
                <w:sz w:val="18"/>
              </w:rPr>
              <w:t>Simpan parameter, lalu lengkapi yang disebut pada daftar.</w:t>
            </w:r>
          </w:p>
        </w:tc>
      </w:tr>
      <w:tr>
        <w:tc>
          <w:tcPr>
            <w:tcW w:type="dxa" w:w="3061"/>
          </w:tcPr>
          <w:p>
            <w:pPr>
              <w:spacing w:after="0"/>
            </w:pPr>
            <w:r>
              <w:rPr>
                <w:sz w:val="18"/>
              </w:rPr>
              <w:t>Hasil BIA nol atau pasien nol</w:t>
            </w:r>
          </w:p>
        </w:tc>
        <w:tc>
          <w:tcPr>
            <w:tcW w:type="dxa" w:w="3175"/>
          </w:tcPr>
          <w:p>
            <w:pPr>
              <w:spacing w:after="0"/>
            </w:pPr>
            <w:r>
              <w:rPr>
                <w:sz w:val="18"/>
              </w:rPr>
              <w:t>Market share diisi 0</w:t>
            </w:r>
          </w:p>
        </w:tc>
        <w:tc>
          <w:tcPr>
            <w:tcW w:type="dxa" w:w="3402"/>
          </w:tcPr>
          <w:p>
            <w:pPr>
              <w:spacing w:after="0"/>
            </w:pPr>
            <w:r>
              <w:rPr>
                <w:sz w:val="18"/>
              </w:rPr>
              <w:t>Hapus baris market share, lalu hitung ulang.</w:t>
            </w:r>
          </w:p>
        </w:tc>
      </w:tr>
      <w:tr>
        <w:tc>
          <w:tcPr>
            <w:tcW w:type="dxa" w:w="3061"/>
          </w:tcPr>
          <w:p>
            <w:pPr>
              <w:spacing w:after="0"/>
            </w:pPr>
            <w:r>
              <w:rPr>
                <w:sz w:val="18"/>
              </w:rPr>
              <w:t xml:space="preserve">Pilihan </w:t>
            </w:r>
            <w:r>
              <w:rPr>
                <w:b/>
                <w:sz w:val="18"/>
              </w:rPr>
              <w:t>Tahun 1</w:t>
            </w:r>
            <w:r>
              <w:rPr>
                <w:sz w:val="18"/>
              </w:rPr>
              <w:t xml:space="preserve"> tidak ada saat menambah parameter</w:t>
            </w:r>
          </w:p>
        </w:tc>
        <w:tc>
          <w:tcPr>
            <w:tcW w:type="dxa" w:w="3175"/>
          </w:tcPr>
          <w:p>
            <w:pPr>
              <w:spacing w:after="0"/>
            </w:pPr>
            <w:r>
              <w:rPr>
                <w:sz w:val="18"/>
              </w:rPr>
              <w:t>Horizon BIA belum diisi</w:t>
            </w:r>
          </w:p>
        </w:tc>
        <w:tc>
          <w:tcPr>
            <w:tcW w:type="dxa" w:w="3402"/>
          </w:tcPr>
          <w:p>
            <w:pPr>
              <w:spacing w:after="0"/>
            </w:pPr>
            <w:r>
              <w:rPr>
                <w:sz w:val="18"/>
              </w:rPr>
              <w:t>Isi Horizon BIA 3 pada Parameter Model Ekonomi.</w:t>
            </w:r>
          </w:p>
        </w:tc>
      </w:tr>
      <w:tr>
        <w:tc>
          <w:tcPr>
            <w:tcW w:type="dxa" w:w="3061"/>
          </w:tcPr>
          <w:p>
            <w:pPr>
              <w:spacing w:after="0"/>
            </w:pPr>
            <w:r>
              <w:rPr>
                <w:sz w:val="18"/>
              </w:rPr>
              <w:t xml:space="preserve">Tombol </w:t>
            </w:r>
            <w:r>
              <w:rPr>
                <w:b/>
                <w:sz w:val="18"/>
              </w:rPr>
              <w:t>Hitung PSA</w:t>
            </w:r>
            <w:r>
              <w:rPr>
                <w:sz w:val="18"/>
              </w:rPr>
              <w:t xml:space="preserve"> tidak aktif</w:t>
            </w:r>
          </w:p>
        </w:tc>
        <w:tc>
          <w:tcPr>
            <w:tcW w:type="dxa" w:w="3175"/>
          </w:tcPr>
          <w:p>
            <w:pPr>
              <w:spacing w:after="0"/>
            </w:pPr>
            <w:r>
              <w:rPr>
                <w:sz w:val="18"/>
              </w:rPr>
              <w:t>Ada perubahan distribusi yang belum disimpan</w:t>
            </w:r>
          </w:p>
        </w:tc>
        <w:tc>
          <w:tcPr>
            <w:tcW w:type="dxa" w:w="3402"/>
          </w:tcPr>
          <w:p>
            <w:pPr>
              <w:spacing w:after="0"/>
            </w:pPr>
            <w:r>
              <w:rPr>
                <w:sz w:val="18"/>
              </w:rPr>
              <w:t>Klik Simpan Distribusi lebih dulu.</w:t>
            </w:r>
          </w:p>
        </w:tc>
      </w:tr>
      <w:tr>
        <w:tc>
          <w:tcPr>
            <w:tcW w:type="dxa" w:w="3061"/>
          </w:tcPr>
          <w:p>
            <w:pPr>
              <w:spacing w:after="0"/>
            </w:pPr>
            <w:r>
              <w:rPr>
                <w:sz w:val="18"/>
              </w:rPr>
              <w:t xml:space="preserve">PSA </w:t>
            </w:r>
            <w:r>
              <w:rPr>
                <w:b/>
                <w:sz w:val="18"/>
              </w:rPr>
              <w:t>Belum dapat dihitung</w:t>
            </w:r>
            <w:r>
              <w:rPr>
                <w:sz w:val="18"/>
              </w:rPr>
              <w:t xml:space="preserve"> dengan keterangan distribusi</w:t>
            </w:r>
          </w:p>
        </w:tc>
        <w:tc>
          <w:tcPr>
            <w:tcW w:type="dxa" w:w="3175"/>
          </w:tcPr>
          <w:p>
            <w:pPr>
              <w:spacing w:after="0"/>
            </w:pPr>
            <w:r>
              <w:rPr>
                <w:sz w:val="18"/>
              </w:rPr>
              <w:t>Sebuah distribusi dipilih tetapi parameternya belum lengkap</w:t>
            </w:r>
          </w:p>
        </w:tc>
        <w:tc>
          <w:tcPr>
            <w:tcW w:type="dxa" w:w="3402"/>
          </w:tcPr>
          <w:p>
            <w:pPr>
              <w:spacing w:after="0"/>
            </w:pPr>
            <w:r>
              <w:rPr>
                <w:sz w:val="18"/>
              </w:rPr>
              <w:t>Lengkapi baris yang disebut, atau kembalikan ke Tetap.</w:t>
            </w:r>
          </w:p>
        </w:tc>
      </w:tr>
      <w:tr>
        <w:tc>
          <w:tcPr>
            <w:tcW w:type="dxa" w:w="3061"/>
          </w:tcPr>
          <w:p>
            <w:pPr>
              <w:spacing w:after="0"/>
            </w:pPr>
            <w:r>
              <w:rPr>
                <w:sz w:val="18"/>
              </w:rPr>
              <w:t xml:space="preserve">Peringatan </w:t>
            </w:r>
            <w:r>
              <w:rPr>
                <w:b/>
                <w:sz w:val="18"/>
              </w:rPr>
              <w:t>Hasil PSA ini tidak lagi sesuai input</w:t>
            </w:r>
          </w:p>
        </w:tc>
        <w:tc>
          <w:tcPr>
            <w:tcW w:type="dxa" w:w="3175"/>
          </w:tcPr>
          <w:p>
            <w:pPr>
              <w:spacing w:after="0"/>
            </w:pPr>
            <w:r>
              <w:rPr>
                <w:sz w:val="18"/>
              </w:rPr>
              <w:t>Parameter atau distribusi berubah setelah PSA dijalankan</w:t>
            </w:r>
          </w:p>
        </w:tc>
        <w:tc>
          <w:tcPr>
            <w:tcW w:type="dxa" w:w="3402"/>
          </w:tcPr>
          <w:p>
            <w:pPr>
              <w:spacing w:after="0"/>
            </w:pPr>
            <w:r>
              <w:rPr>
                <w:sz w:val="18"/>
              </w:rPr>
              <w:t>Jalankan ulang PSA.</w:t>
            </w:r>
          </w:p>
        </w:tc>
      </w:tr>
      <w:tr>
        <w:tc>
          <w:tcPr>
            <w:tcW w:type="dxa" w:w="3061"/>
          </w:tcPr>
          <w:p>
            <w:pPr>
              <w:spacing w:after="0"/>
            </w:pPr>
            <w:r>
              <w:rPr>
                <w:sz w:val="18"/>
              </w:rPr>
              <w:t xml:space="preserve">Peringatan </w:t>
            </w:r>
            <w:r>
              <w:rPr>
                <w:b/>
                <w:sz w:val="18"/>
              </w:rPr>
              <w:t>Rekomendasi ini tidak lagi sesuai input</w:t>
            </w:r>
          </w:p>
        </w:tc>
        <w:tc>
          <w:tcPr>
            <w:tcW w:type="dxa" w:w="3175"/>
          </w:tcPr>
          <w:p>
            <w:pPr>
              <w:spacing w:after="0"/>
            </w:pPr>
            <w:r>
              <w:rPr>
                <w:sz w:val="18"/>
              </w:rPr>
              <w:t>Analisis ekonomi, BIA, EtD atau kriteria berubah setelah rekomendasi dihitung</w:t>
            </w:r>
          </w:p>
        </w:tc>
        <w:tc>
          <w:tcPr>
            <w:tcW w:type="dxa" w:w="3402"/>
          </w:tcPr>
          <w:p>
            <w:pPr>
              <w:spacing w:after="0"/>
            </w:pPr>
            <w:r>
              <w:rPr>
                <w:sz w:val="18"/>
              </w:rPr>
              <w:t>Klik Hitung Rekomendasi; sign-off dan penguncian ditolak sampai itu dilakukan.</w:t>
            </w:r>
          </w:p>
        </w:tc>
      </w:tr>
      <w:tr>
        <w:tc>
          <w:tcPr>
            <w:tcW w:type="dxa" w:w="3061"/>
          </w:tcPr>
          <w:p>
            <w:pPr>
              <w:spacing w:after="0"/>
            </w:pPr>
            <w:r>
              <w:rPr>
                <w:sz w:val="18"/>
              </w:rPr>
              <w:t xml:space="preserve">Tombol </w:t>
            </w:r>
            <w:r>
              <w:rPr>
                <w:b/>
                <w:sz w:val="18"/>
              </w:rPr>
              <w:t>Setujui dengan Sign-Off</w:t>
            </w:r>
            <w:r>
              <w:rPr>
                <w:sz w:val="18"/>
              </w:rPr>
              <w:t xml:space="preserve"> tidak aktif</w:t>
            </w:r>
          </w:p>
        </w:tc>
        <w:tc>
          <w:tcPr>
            <w:tcW w:type="dxa" w:w="3175"/>
          </w:tcPr>
          <w:p>
            <w:pPr>
              <w:spacing w:after="0"/>
            </w:pPr>
            <w:r>
              <w:rPr>
                <w:sz w:val="18"/>
              </w:rPr>
              <w:t>Ada butir wajib pada Kelengkapan Dossier yang belum terpenuhi, misalnya PSA perlu dijalankan ulang atau Keputusan Final KFT belum dicatat</w:t>
            </w:r>
          </w:p>
        </w:tc>
        <w:tc>
          <w:tcPr>
            <w:tcW w:type="dxa" w:w="3402"/>
          </w:tcPr>
          <w:p>
            <w:pPr>
              <w:spacing w:after="0"/>
            </w:pPr>
            <w:r>
              <w:rPr>
                <w:sz w:val="18"/>
              </w:rPr>
              <w:t>Lengkapi butir bertanda silang, lalu buka lagi tab Sign-Off.</w:t>
            </w:r>
          </w:p>
        </w:tc>
      </w:tr>
      <w:tr>
        <w:tc>
          <w:tcPr>
            <w:tcW w:type="dxa" w:w="3061"/>
          </w:tcPr>
          <w:p>
            <w:pPr>
              <w:spacing w:after="0"/>
            </w:pPr>
            <w:r>
              <w:rPr>
                <w:sz w:val="18"/>
              </w:rPr>
              <w:t xml:space="preserve">Keputusan Final KFT minta </w:t>
            </w:r>
            <w:r>
              <w:rPr>
                <w:b/>
                <w:sz w:val="18"/>
              </w:rPr>
              <w:t>dikonfirmasi ulang</w:t>
            </w:r>
          </w:p>
        </w:tc>
        <w:tc>
          <w:tcPr>
            <w:tcW w:type="dxa" w:w="3175"/>
          </w:tcPr>
          <w:p>
            <w:pPr>
              <w:spacing w:after="0"/>
            </w:pPr>
            <w:r>
              <w:rPr>
                <w:sz w:val="18"/>
              </w:rPr>
              <w:t>Rekomendasi dihitung ulang, atau kasus sedang direvisi sebagai versi baru</w:t>
            </w:r>
          </w:p>
        </w:tc>
        <w:tc>
          <w:tcPr>
            <w:tcW w:type="dxa" w:w="3402"/>
          </w:tcPr>
          <w:p>
            <w:pPr>
              <w:spacing w:after="0"/>
            </w:pPr>
            <w:r>
              <w:rPr>
                <w:sz w:val="18"/>
              </w:rPr>
              <w:t>Anggota atau Ketua KFT mencatat keputusan baru pada tab Rekomendasi.</w:t>
            </w:r>
          </w:p>
        </w:tc>
      </w:tr>
      <w:tr>
        <w:tc>
          <w:tcPr>
            <w:tcW w:type="dxa" w:w="3061"/>
          </w:tcPr>
          <w:p>
            <w:pPr>
              <w:spacing w:after="0"/>
            </w:pPr>
            <w:r>
              <w:rPr>
                <w:sz w:val="18"/>
              </w:rPr>
              <w:t xml:space="preserve">Rekomendasi </w:t>
            </w:r>
            <w:r>
              <w:rPr>
                <w:b/>
                <w:sz w:val="18"/>
              </w:rPr>
              <w:t>Belum dapat dihitung</w:t>
            </w:r>
          </w:p>
        </w:tc>
        <w:tc>
          <w:tcPr>
            <w:tcW w:type="dxa" w:w="3175"/>
          </w:tcPr>
          <w:p>
            <w:pPr>
              <w:spacing w:after="0"/>
            </w:pPr>
            <w:r>
              <w:rPr>
                <w:sz w:val="18"/>
              </w:rPr>
              <w:t>Belum semua domain EtD terisi, atau analisis ekonomi atau BIA belum dihitung</w:t>
            </w:r>
          </w:p>
        </w:tc>
        <w:tc>
          <w:tcPr>
            <w:tcW w:type="dxa" w:w="3402"/>
          </w:tcPr>
          <w:p>
            <w:pPr>
              <w:spacing w:after="0"/>
            </w:pPr>
            <w:r>
              <w:rPr>
                <w:sz w:val="18"/>
              </w:rPr>
              <w:t>Lengkapi komponen yang disebut pada daftar.</w:t>
            </w:r>
          </w:p>
        </w:tc>
      </w:tr>
      <w:tr>
        <w:tc>
          <w:tcPr>
            <w:tcW w:type="dxa" w:w="3061"/>
          </w:tcPr>
          <w:p>
            <w:pPr>
              <w:spacing w:after="0"/>
            </w:pPr>
            <w:r>
              <w:rPr>
                <w:b/>
                <w:sz w:val="18"/>
              </w:rPr>
              <w:t>Dossier belum lengkap</w:t>
            </w:r>
            <w:r>
              <w:rPr>
                <w:sz w:val="18"/>
              </w:rPr>
              <w:t xml:space="preserve"> saat mengajukan atau menyetujui</w:t>
            </w:r>
          </w:p>
        </w:tc>
        <w:tc>
          <w:tcPr>
            <w:tcW w:type="dxa" w:w="3175"/>
          </w:tcPr>
          <w:p>
            <w:pPr>
              <w:spacing w:after="0"/>
            </w:pPr>
            <w:r>
              <w:rPr>
                <w:sz w:val="18"/>
              </w:rPr>
              <w:t>Ada butir wajib pada Kelengkapan Dossier yang belum terpenuhi</w:t>
            </w:r>
          </w:p>
        </w:tc>
        <w:tc>
          <w:tcPr>
            <w:tcW w:type="dxa" w:w="3402"/>
          </w:tcPr>
          <w:p>
            <w:pPr>
              <w:spacing w:after="0"/>
            </w:pPr>
            <w:r>
              <w:rPr>
                <w:sz w:val="18"/>
              </w:rPr>
              <w:t>Buka tab Sign-Off dan lengkapi butir bertanda silang.</w:t>
            </w:r>
          </w:p>
        </w:tc>
      </w:tr>
      <w:tr>
        <w:tc>
          <w:tcPr>
            <w:tcW w:type="dxa" w:w="3061"/>
          </w:tcPr>
          <w:p>
            <w:pPr>
              <w:spacing w:after="0"/>
            </w:pPr>
            <w:r>
              <w:rPr>
                <w:sz w:val="18"/>
              </w:rPr>
              <w:t xml:space="preserve">Tombol </w:t>
            </w:r>
            <w:r>
              <w:rPr>
                <w:b/>
                <w:sz w:val="18"/>
              </w:rPr>
              <w:t>Terbitkan Ringkasan</w:t>
            </w:r>
            <w:r>
              <w:rPr>
                <w:sz w:val="18"/>
              </w:rPr>
              <w:t xml:space="preserve"> tidak aktif</w:t>
            </w:r>
          </w:p>
        </w:tc>
        <w:tc>
          <w:tcPr>
            <w:tcW w:type="dxa" w:w="3175"/>
          </w:tcPr>
          <w:p>
            <w:pPr>
              <w:spacing w:after="0"/>
            </w:pPr>
            <w:r>
              <w:rPr>
                <w:sz w:val="18"/>
              </w:rPr>
              <w:t>Kasus belum Disetujui, atau peran tidak berwenang</w:t>
            </w:r>
          </w:p>
        </w:tc>
        <w:tc>
          <w:tcPr>
            <w:tcW w:type="dxa" w:w="3402"/>
          </w:tcPr>
          <w:p>
            <w:pPr>
              <w:spacing w:after="0"/>
            </w:pPr>
            <w:r>
              <w:rPr>
                <w:sz w:val="18"/>
              </w:rPr>
              <w:t>Minta sign-off Ketua KFT; terbitkan sebagai Analis HTA atau Ketua KFT.</w:t>
            </w:r>
          </w:p>
        </w:tc>
      </w:tr>
      <w:tr>
        <w:tc>
          <w:tcPr>
            <w:tcW w:type="dxa" w:w="3061"/>
          </w:tcPr>
          <w:p>
            <w:pPr>
              <w:spacing w:after="0"/>
            </w:pPr>
            <w:r>
              <w:rPr>
                <w:sz w:val="18"/>
              </w:rPr>
              <w:t>Tidak ada isian yang dapat diubah</w:t>
            </w:r>
          </w:p>
        </w:tc>
        <w:tc>
          <w:tcPr>
            <w:tcW w:type="dxa" w:w="3175"/>
          </w:tcPr>
          <w:p>
            <w:pPr>
              <w:spacing w:after="0"/>
            </w:pPr>
            <w:r>
              <w:rPr>
                <w:sz w:val="18"/>
              </w:rPr>
              <w:t>Kasus sudah Terkunci</w:t>
            </w:r>
          </w:p>
        </w:tc>
        <w:tc>
          <w:tcPr>
            <w:tcW w:type="dxa" w:w="3402"/>
          </w:tcPr>
          <w:p>
            <w:pPr>
              <w:spacing w:after="0"/>
            </w:pPr>
            <w:r>
              <w:rPr>
                <w:sz w:val="18"/>
              </w:rPr>
              <w:t xml:space="preserve">Untuk mengubahnya, Analis HTA atau Ketua KFT memilih Tindakan, </w:t>
            </w:r>
            <w:r>
              <w:rPr>
                <w:b/>
                <w:sz w:val="18"/>
              </w:rPr>
              <w:t>Buat Revisi (Versi Baru)</w:t>
            </w:r>
            <w:r>
              <w:rPr>
                <w:sz w:val="18"/>
              </w:rPr>
              <w:t>, dengan alasan.</w:t>
            </w:r>
          </w:p>
        </w:tc>
      </w:tr>
    </w:tbl>
    <w:p>
      <w:pPr>
        <w:spacing w:after="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DeciBridge - Buku Panduan Kasus Latihan DB_DEMO_HF_001 - data sintetis - halaman </w:t>
    </w:r>
    <w:r>
      <w:rPr>
        <w:color w:val="595959"/>
        <w:sz w:val="16"/>
      </w:rPr>
      <w:fldChar w:fldCharType="begin"/>
    </w:r>
    <w:r>
      <w:rPr>
        <w:color w:val="595959"/>
        <w:sz w:val="16"/>
      </w:rPr>
      <w:instrText xml:space="preserve">PAGE</w:instrText>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eastAsia="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DeciBridge - Kasus Latihan ARNI vs Ramipril</dc:title>
  <dc:subject>Kasus DB_DEMO_HF_001, data latihan sintetis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