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32575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257550" cy="1200150"/>
                    </a:xfrm>
                    <a:prstGeom prst="rect">
                      <a:avLst/>
                    </a:prstGeom>
                  </pic:spPr>
                </pic:pic>
              </a:graphicData>
            </a:graphic>
          </wp:inline>
        </w:drawing>
      </w:r>
    </w:p>
    <w:p>
      <w:pPr>
        <w:spacing w:after="160" w:before="120"/>
      </w:pPr>
      <w:r>
        <w:rPr>
          <w:rFonts w:ascii="Arial" w:cs="Arial" w:eastAsia="Arial" w:hAnsi="Arial"/>
          <w:sz w:val="40"/>
          <w:szCs w:val="40"/>
        </w:rPr>
        <w:t xml:space="preserve">Eduvos Assessment Coversheet</w:t>
      </w:r>
    </w:p>
    <w:p>
      <w:pPr>
        <w:spacing w:after="80" w:before="200"/>
      </w:pPr>
      <w:r>
        <w:rPr>
          <w:rFonts w:ascii="Arial" w:cs="Arial" w:eastAsia="Arial" w:hAnsi="Arial"/>
          <w:b/>
          <w:bCs/>
          <w:color w:val="1B2A5C"/>
          <w:sz w:val="22"/>
          <w:szCs w:val="22"/>
        </w:rPr>
        <w:t xml:space="preserve">Academic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c>
          <w:tcPr>
            <w:tcW w:type="dxa" w:w="29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Campus:</w:t>
            </w:r>
          </w:p>
        </w:tc>
        <w:tc>
          <w:tcPr>
            <w:tcW w:type="dxa" w:w="61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Nasional</w:t>
            </w:r>
          </w:p>
        </w:tc>
      </w:tr>
      <w:tr>
        <w:tc>
          <w:tcPr>
            <w:tcW w:type="dxa" w:w="29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Faculty:</w:t>
            </w:r>
          </w:p>
        </w:tc>
        <w:tc>
          <w:tcPr>
            <w:tcW w:type="dxa" w:w="61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Information Technology</w:t>
            </w:r>
          </w:p>
        </w:tc>
      </w:tr>
      <w:tr>
        <w:tc>
          <w:tcPr>
            <w:tcW w:type="dxa" w:w="29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Module Code:</w:t>
            </w:r>
          </w:p>
        </w:tc>
        <w:tc>
          <w:tcPr>
            <w:tcW w:type="dxa" w:w="61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ITNPA3-34</w:t>
            </w:r>
          </w:p>
        </w:tc>
      </w:tr>
      <w:tr>
        <w:tc>
          <w:tcPr>
            <w:tcW w:type="dxa" w:w="29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Lecturer’s Name:</w:t>
            </w:r>
          </w:p>
        </w:tc>
        <w:tc>
          <w:tcPr>
            <w:tcW w:type="dxa" w:w="61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Emmanuel Mordi</w:t>
            </w:r>
          </w:p>
        </w:tc>
      </w:tr>
      <w:tr>
        <w:tc>
          <w:tcPr>
            <w:tcW w:type="dxa" w:w="29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Group (if applicable)</w:t>
            </w:r>
          </w:p>
        </w:tc>
        <w:tc>
          <w:tcPr>
            <w:tcW w:type="dxa" w:w="61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Yes</w:t>
            </w:r>
          </w:p>
        </w:tc>
      </w:tr>
    </w:tbl>
    <w:p>
      <w:pPr>
        <w:spacing w:after="80" w:before="200"/>
      </w:pPr>
      <w:r>
        <w:rPr>
          <w:rFonts w:ascii="Arial" w:cs="Arial" w:eastAsia="Arial" w:hAnsi="Arial"/>
          <w:b/>
          <w:bCs/>
          <w:color w:val="1B2A5C"/>
          <w:sz w:val="22"/>
          <w:szCs w:val="22"/>
        </w:rPr>
        <w:t xml:space="preserve">Assessment Details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Assessment Type:</w:t>
            </w:r>
          </w:p>
        </w:tc>
        <w:tc>
          <w:tcPr>
            <w:tcW w:type="dxa" w:w="55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Formative Assignment</w:t>
            </w:r>
          </w:p>
        </w:tc>
      </w:tr>
      <w:tr>
        <w:tc>
          <w:tcPr>
            <w:tcW w:type="dxa" w:w="35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Assignment/Brief Number:</w:t>
            </w:r>
          </w:p>
        </w:tc>
        <w:tc>
          <w:tcPr>
            <w:tcW w:type="dxa" w:w="55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
            </w:r>
          </w:p>
        </w:tc>
      </w:tr>
      <w:tr>
        <w:tc>
          <w:tcPr>
            <w:tcW w:type="dxa" w:w="35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Due Date/ Submission Date:</w:t>
            </w:r>
          </w:p>
        </w:tc>
        <w:tc>
          <w:tcPr>
            <w:tcW w:type="dxa" w:w="55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30 October 2026</w:t>
            </w:r>
          </w:p>
        </w:tc>
      </w:tr>
    </w:tbl>
    <w:p>
      <w:pPr>
        <w:spacing w:after="80" w:before="200"/>
      </w:pPr>
      <w:r>
        <w:rPr>
          <w:rFonts w:ascii="Arial" w:cs="Arial" w:eastAsia="Arial" w:hAnsi="Arial"/>
          <w:b/>
          <w:bCs/>
          <w:color w:val="1B2A5C"/>
          <w:sz w:val="22"/>
          <w:szCs w:val="22"/>
        </w:rPr>
        <w:t xml:space="preserve">Student Details (Group, if applicable)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500"/>
        <w:gridCol w:w="1900"/>
        <w:gridCol w:w="1650"/>
        <w:gridCol w:w="1300"/>
        <w:gridCol w:w="1276"/>
      </w:tblGrid>
      <w:tr>
        <w:tc>
          <w:tcPr>
            <w:tcW w:type="dxa" w:w="400"/>
            <w:tcBorders>
              <w:top w:val="single" w:color="000000" w:sz="4"/>
              <w:left w:val="single" w:color="000000" w:sz="4"/>
              <w:bottom w:val="single" w:color="000000" w:sz="4"/>
              <w:right w:val="single" w:color="000000" w:sz="4"/>
            </w:tcBorders>
            <w:shd w:fill="1B2A5C" w:val="clear"/>
            <w:tcMar>
              <w:top w:type="dxa" w:w="60"/>
              <w:left w:type="dxa" w:w="100"/>
              <w:bottom w:type="dxa" w:w="40"/>
              <w:right w:type="dxa" w:w="100"/>
            </w:tcMar>
            <w:vAlign w:val="center"/>
          </w:tcPr>
          <w:p>
            <w:r>
              <w:rPr>
                <w:rFonts w:ascii="Arial" w:cs="Arial" w:eastAsia="Arial" w:hAnsi="Arial"/>
                <w:b/>
                <w:bCs/>
                <w:color w:val="FFFFFF"/>
                <w:sz w:val="19"/>
                <w:szCs w:val="19"/>
              </w:rPr>
              <w:t xml:space="preserve">#</w:t>
            </w:r>
          </w:p>
        </w:tc>
        <w:tc>
          <w:tcPr>
            <w:tcW w:type="dxa" w:w="2500"/>
            <w:tcBorders>
              <w:top w:val="single" w:color="000000" w:sz="4"/>
              <w:left w:val="single" w:color="000000" w:sz="4"/>
              <w:bottom w:val="single" w:color="000000" w:sz="4"/>
              <w:right w:val="single" w:color="000000" w:sz="4"/>
            </w:tcBorders>
            <w:shd w:fill="1B2A5C" w:val="clear"/>
            <w:tcMar>
              <w:top w:type="dxa" w:w="60"/>
              <w:left w:type="dxa" w:w="100"/>
              <w:bottom w:type="dxa" w:w="40"/>
              <w:right w:type="dxa" w:w="100"/>
            </w:tcMar>
            <w:vAlign w:val="center"/>
          </w:tcPr>
          <w:p>
            <w:r>
              <w:rPr>
                <w:rFonts w:ascii="Arial" w:cs="Arial" w:eastAsia="Arial" w:hAnsi="Arial"/>
                <w:b/>
                <w:bCs/>
                <w:color w:val="FFFFFF"/>
                <w:sz w:val="19"/>
                <w:szCs w:val="19"/>
              </w:rPr>
              <w:t xml:space="preserve">Full Name</w:t>
            </w:r>
          </w:p>
        </w:tc>
        <w:tc>
          <w:tcPr>
            <w:tcW w:type="dxa" w:w="1900"/>
            <w:tcBorders>
              <w:top w:val="single" w:color="000000" w:sz="4"/>
              <w:left w:val="single" w:color="000000" w:sz="4"/>
              <w:bottom w:val="single" w:color="000000" w:sz="4"/>
              <w:right w:val="single" w:color="000000" w:sz="4"/>
            </w:tcBorders>
            <w:shd w:fill="1B2A5C" w:val="clear"/>
            <w:tcMar>
              <w:top w:type="dxa" w:w="60"/>
              <w:left w:type="dxa" w:w="100"/>
              <w:bottom w:type="dxa" w:w="40"/>
              <w:right w:type="dxa" w:w="100"/>
            </w:tcMar>
            <w:vAlign w:val="center"/>
          </w:tcPr>
          <w:p>
            <w:r>
              <w:rPr>
                <w:rFonts w:ascii="Arial" w:cs="Arial" w:eastAsia="Arial" w:hAnsi="Arial"/>
                <w:b/>
                <w:bCs/>
                <w:color w:val="FFFFFF"/>
                <w:sz w:val="19"/>
                <w:szCs w:val="19"/>
              </w:rPr>
              <w:t xml:space="preserve">Student Number</w:t>
            </w:r>
          </w:p>
        </w:tc>
        <w:tc>
          <w:tcPr>
            <w:tcW w:type="dxa" w:w="1650"/>
            <w:tcBorders>
              <w:top w:val="single" w:color="000000" w:sz="4"/>
              <w:left w:val="single" w:color="000000" w:sz="4"/>
              <w:bottom w:val="single" w:color="000000" w:sz="4"/>
              <w:right w:val="single" w:color="000000" w:sz="4"/>
            </w:tcBorders>
            <w:shd w:fill="1B2A5C" w:val="clear"/>
            <w:tcMar>
              <w:top w:type="dxa" w:w="60"/>
              <w:left w:type="dxa" w:w="100"/>
              <w:bottom w:type="dxa" w:w="40"/>
              <w:right w:type="dxa" w:w="100"/>
            </w:tcMar>
            <w:vAlign w:val="center"/>
          </w:tcPr>
          <w:p>
            <w:r>
              <w:rPr>
                <w:rFonts w:ascii="Arial" w:cs="Arial" w:eastAsia="Arial" w:hAnsi="Arial"/>
                <w:b/>
                <w:bCs/>
                <w:color w:val="FFFFFF"/>
                <w:sz w:val="19"/>
                <w:szCs w:val="19"/>
              </w:rPr>
              <w:t xml:space="preserve">Contact Number</w:t>
            </w:r>
          </w:p>
        </w:tc>
        <w:tc>
          <w:tcPr>
            <w:tcW w:type="dxa" w:w="1300"/>
            <w:tcBorders>
              <w:top w:val="single" w:color="000000" w:sz="4"/>
              <w:left w:val="single" w:color="000000" w:sz="4"/>
              <w:bottom w:val="single" w:color="000000" w:sz="4"/>
              <w:right w:val="single" w:color="000000" w:sz="4"/>
            </w:tcBorders>
            <w:shd w:fill="1B2A5C" w:val="clear"/>
            <w:tcMar>
              <w:top w:type="dxa" w:w="60"/>
              <w:left w:type="dxa" w:w="100"/>
              <w:bottom w:type="dxa" w:w="40"/>
              <w:right w:type="dxa" w:w="100"/>
            </w:tcMar>
            <w:vAlign w:val="center"/>
          </w:tcPr>
          <w:p>
            <w:r>
              <w:rPr>
                <w:rFonts w:ascii="Arial" w:cs="Arial" w:eastAsia="Arial" w:hAnsi="Arial"/>
                <w:b/>
                <w:bCs/>
                <w:color w:val="FFFFFF"/>
                <w:sz w:val="19"/>
                <w:szCs w:val="19"/>
              </w:rPr>
              <w:t xml:space="preserve">% Participation</w:t>
            </w:r>
          </w:p>
        </w:tc>
        <w:tc>
          <w:tcPr>
            <w:tcW w:type="dxa" w:w="1276"/>
            <w:tcBorders>
              <w:top w:val="single" w:color="000000" w:sz="4"/>
              <w:left w:val="single" w:color="000000" w:sz="4"/>
              <w:bottom w:val="single" w:color="000000" w:sz="4"/>
              <w:right w:val="single" w:color="000000" w:sz="4"/>
            </w:tcBorders>
            <w:shd w:fill="1B2A5C" w:val="clear"/>
            <w:tcMar>
              <w:top w:type="dxa" w:w="60"/>
              <w:left w:type="dxa" w:w="100"/>
              <w:bottom w:type="dxa" w:w="40"/>
              <w:right w:type="dxa" w:w="100"/>
            </w:tcMar>
            <w:vAlign w:val="center"/>
          </w:tcPr>
          <w:p>
            <w:r>
              <w:rPr>
                <w:rFonts w:ascii="Arial" w:cs="Arial" w:eastAsia="Arial" w:hAnsi="Arial"/>
                <w:b/>
                <w:bCs/>
                <w:color w:val="FFFFFF"/>
                <w:sz w:val="19"/>
                <w:szCs w:val="19"/>
              </w:rPr>
              <w:t xml:space="preserve">Signature</w:t>
            </w:r>
          </w:p>
        </w:tc>
      </w:tr>
      <w:tr>
        <w:trPr>
          <w:trHeight w:val="560" w:hRule="atLeast"/>
        </w:trPr>
        <w:tc>
          <w:tcPr>
            <w:tcW w:type="dxa" w:w="4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1</w:t>
            </w:r>
          </w:p>
        </w:tc>
        <w:tc>
          <w:tcPr>
            <w:tcW w:type="dxa" w:w="25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Divan Immelman</w:t>
            </w:r>
          </w:p>
        </w:tc>
        <w:tc>
          <w:tcPr>
            <w:tcW w:type="dxa" w:w="19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BE.2023.G1J9X0</w:t>
            </w:r>
          </w:p>
        </w:tc>
        <w:tc>
          <w:tcPr>
            <w:tcW w:type="dxa" w:w="165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083 283 2093</w:t>
            </w:r>
          </w:p>
        </w:tc>
        <w:tc>
          <w:tcPr>
            <w:tcW w:type="dxa" w:w="13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20%</w:t>
            </w:r>
          </w:p>
        </w:tc>
        <w:tc>
          <w:tcPr>
            <w:tcW w:type="dxa" w:w="1276"/>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D.I</w:t>
            </w:r>
          </w:p>
        </w:tc>
      </w:tr>
      <w:tr>
        <w:trPr>
          <w:trHeight w:val="560" w:hRule="atLeast"/>
        </w:trPr>
        <w:tc>
          <w:tcPr>
            <w:tcW w:type="dxa" w:w="4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2</w:t>
            </w:r>
          </w:p>
        </w:tc>
        <w:tc>
          <w:tcPr>
            <w:tcW w:type="dxa" w:w="25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Leo Lona Ntluka</w:t>
            </w:r>
          </w:p>
        </w:tc>
        <w:tc>
          <w:tcPr>
            <w:tcW w:type="dxa" w:w="19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EDUV4941540</w:t>
            </w:r>
          </w:p>
        </w:tc>
        <w:tc>
          <w:tcPr>
            <w:tcW w:type="dxa" w:w="165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072 137 0443</w:t>
            </w:r>
          </w:p>
        </w:tc>
        <w:tc>
          <w:tcPr>
            <w:tcW w:type="dxa" w:w="13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20%</w:t>
            </w:r>
          </w:p>
        </w:tc>
        <w:tc>
          <w:tcPr>
            <w:tcW w:type="dxa" w:w="1276"/>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L.L.N</w:t>
            </w:r>
          </w:p>
        </w:tc>
      </w:tr>
      <w:tr>
        <w:trPr>
          <w:trHeight w:val="560" w:hRule="atLeast"/>
        </w:trPr>
        <w:tc>
          <w:tcPr>
            <w:tcW w:type="dxa" w:w="4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3</w:t>
            </w:r>
          </w:p>
        </w:tc>
        <w:tc>
          <w:tcPr>
            <w:tcW w:type="dxa" w:w="25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Njabuliso Zimele Ngoma</w:t>
            </w:r>
          </w:p>
        </w:tc>
        <w:tc>
          <w:tcPr>
            <w:tcW w:type="dxa" w:w="19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EDUV4970152</w:t>
            </w:r>
          </w:p>
        </w:tc>
        <w:tc>
          <w:tcPr>
            <w:tcW w:type="dxa" w:w="165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079 973 8240</w:t>
            </w:r>
          </w:p>
        </w:tc>
        <w:tc>
          <w:tcPr>
            <w:tcW w:type="dxa" w:w="13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20%</w:t>
            </w:r>
          </w:p>
        </w:tc>
        <w:tc>
          <w:tcPr>
            <w:tcW w:type="dxa" w:w="1276"/>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N.Z.N</w:t>
            </w:r>
          </w:p>
        </w:tc>
      </w:tr>
      <w:tr>
        <w:trPr>
          <w:trHeight w:val="560" w:hRule="atLeast"/>
        </w:trPr>
        <w:tc>
          <w:tcPr>
            <w:tcW w:type="dxa" w:w="4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4</w:t>
            </w:r>
          </w:p>
        </w:tc>
        <w:tc>
          <w:tcPr>
            <w:tcW w:type="dxa" w:w="25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Zinceba Mnqokoyi</w:t>
            </w:r>
          </w:p>
        </w:tc>
        <w:tc>
          <w:tcPr>
            <w:tcW w:type="dxa" w:w="19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Pt.2022.h8n4f0</w:t>
            </w:r>
          </w:p>
        </w:tc>
        <w:tc>
          <w:tcPr>
            <w:tcW w:type="dxa" w:w="165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073 326 3071</w:t>
            </w:r>
          </w:p>
        </w:tc>
        <w:tc>
          <w:tcPr>
            <w:tcW w:type="dxa" w:w="13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20%</w:t>
            </w:r>
          </w:p>
        </w:tc>
        <w:tc>
          <w:tcPr>
            <w:tcW w:type="dxa" w:w="1276"/>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Z.M</w:t>
            </w:r>
          </w:p>
        </w:tc>
      </w:tr>
      <w:tr>
        <w:trPr>
          <w:trHeight w:val="560" w:hRule="atLeast"/>
        </w:trPr>
        <w:tc>
          <w:tcPr>
            <w:tcW w:type="dxa" w:w="4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5</w:t>
            </w:r>
          </w:p>
        </w:tc>
        <w:tc>
          <w:tcPr>
            <w:tcW w:type="dxa" w:w="25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Rayan Rihani</w:t>
            </w:r>
          </w:p>
        </w:tc>
        <w:tc>
          <w:tcPr>
            <w:tcW w:type="dxa" w:w="19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Eduv4841920</w:t>
            </w:r>
          </w:p>
        </w:tc>
        <w:tc>
          <w:tcPr>
            <w:tcW w:type="dxa" w:w="165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0658420370</w:t>
            </w:r>
          </w:p>
        </w:tc>
        <w:tc>
          <w:tcPr>
            <w:tcW w:type="dxa" w:w="1300"/>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20%</w:t>
            </w:r>
          </w:p>
        </w:tc>
        <w:tc>
          <w:tcPr>
            <w:tcW w:type="dxa" w:w="1276"/>
            <w:tcBorders>
              <w:top w:val="single" w:color="000000" w:sz="4"/>
              <w:left w:val="single" w:color="000000" w:sz="4"/>
              <w:bottom w:val="single" w:color="000000" w:sz="4"/>
              <w:right w:val="single" w:color="000000" w:sz="4"/>
            </w:tcBorders>
            <w:tcMar>
              <w:top w:type="dxa" w:w="60"/>
              <w:left w:type="dxa" w:w="100"/>
              <w:bottom w:type="dxa" w:w="40"/>
              <w:right w:type="dxa" w:w="100"/>
            </w:tcMar>
            <w:vAlign w:val="center"/>
          </w:tcPr>
          <w:p>
            <w:r>
              <w:rPr>
                <w:rFonts w:ascii="Arial" w:cs="Arial" w:eastAsia="Arial" w:hAnsi="Arial"/>
                <w:b/>
                <w:bCs/>
                <w:color w:val="1B2A5C"/>
                <w:sz w:val="20"/>
                <w:szCs w:val="20"/>
              </w:rPr>
              <w:t xml:space="preserve">R.R</w:t>
            </w:r>
          </w:p>
        </w:tc>
      </w:tr>
    </w:tbl>
    <w:p>
      <w:r>
        <w:br w:type="page"/>
      </w:r>
    </w:p>
    <w:p>
      <w:pPr>
        <w:spacing w:after="80" w:before="200"/>
      </w:pPr>
      <w:r>
        <w:rPr>
          <w:rFonts w:ascii="Arial" w:cs="Arial" w:eastAsia="Arial" w:hAnsi="Arial"/>
          <w:b/>
          <w:bCs/>
          <w:color w:val="1B2A5C"/>
          <w:sz w:val="22"/>
          <w:szCs w:val="22"/>
        </w:rPr>
        <w:t xml:space="preserve">Academic Integrity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trHeight w:val="700" w:hRule="atLeast"/>
        </w:trPr>
        <w:tc>
          <w:tcPr>
            <w:tcW w:type="dxa" w:w="3000"/>
            <w:tcBorders>
              <w:top w:val="none" w:color="FFFFFF" w:sz="0"/>
              <w:left w:val="none" w:color="FFFFFF" w:sz="0"/>
              <w:bottom w:val="none" w:color="FFFFFF" w:sz="0"/>
              <w:right w:val="none" w:color="FFFFFF" w:sz="0"/>
            </w:tcBorders>
            <w:shd w:fill="1B2A5C" w:val="clear"/>
            <w:tcMar>
              <w:top w:type="dxa" w:w="60"/>
              <w:left w:type="dxa" w:w="100"/>
              <w:bottom w:type="dxa" w:w="40"/>
              <w:right w:type="dxa" w:w="100"/>
            </w:tcMar>
            <w:vAlign w:val="center"/>
          </w:tcPr>
          <w:p>
            <w:r>
              <w:rPr>
                <w:rFonts w:ascii="Arial" w:cs="Arial" w:eastAsia="Arial" w:hAnsi="Arial"/>
                <w:color w:val="FFFFFF"/>
                <w:sz w:val="22"/>
                <w:szCs w:val="22"/>
              </w:rPr>
              <w:t xml:space="preserve">AI Disclosure Completed</w:t>
            </w:r>
          </w:p>
        </w:tc>
        <w:tc>
          <w:tcPr>
            <w:tcW w:type="dxa" w:w="3000"/>
            <w:tcBorders>
              <w:top w:val="none" w:color="FFFFFF" w:sz="0"/>
              <w:left w:val="none" w:color="FFFFFF" w:sz="0"/>
              <w:bottom w:val="none" w:color="FFFFFF" w:sz="0"/>
              <w:right w:val="none" w:color="FFFFFF" w:sz="0"/>
            </w:tcBorders>
            <w:shd w:fill="1B2A5C" w:val="clear"/>
            <w:tcMar>
              <w:top w:type="dxa" w:w="60"/>
              <w:left w:type="dxa" w:w="100"/>
              <w:bottom w:type="dxa" w:w="40"/>
              <w:right w:type="dxa" w:w="100"/>
            </w:tcMar>
            <w:vAlign w:val="center"/>
          </w:tcPr>
          <w:p>
            <w:r>
              <w:rPr>
                <w:rFonts w:ascii="Arial" w:cs="Arial" w:eastAsia="Arial" w:hAnsi="Arial"/>
                <w:b/>
                <w:bCs/>
                <w:color w:val="FFFFFF"/>
                <w:sz w:val="22"/>
                <w:szCs w:val="22"/>
              </w:rPr>
              <w:t xml:space="preserve">☒ Yes</w:t>
            </w:r>
          </w:p>
        </w:tc>
        <w:tc>
          <w:tcPr>
            <w:tcW w:type="dxa" w:w="3026"/>
            <w:tcBorders>
              <w:top w:val="none" w:color="FFFFFF" w:sz="0"/>
              <w:left w:val="none" w:color="FFFFFF" w:sz="0"/>
              <w:bottom w:val="none" w:color="FFFFFF" w:sz="0"/>
              <w:right w:val="none" w:color="FFFFFF" w:sz="0"/>
            </w:tcBorders>
            <w:shd w:fill="1B2A5C" w:val="clear"/>
            <w:tcMar>
              <w:top w:type="dxa" w:w="60"/>
              <w:left w:type="dxa" w:w="100"/>
              <w:bottom w:type="dxa" w:w="40"/>
              <w:right w:type="dxa" w:w="100"/>
            </w:tcMar>
            <w:vAlign w:val="center"/>
          </w:tcPr>
          <w:p>
            <w:r>
              <w:rPr>
                <w:rFonts w:ascii="Arial" w:cs="Arial" w:eastAsia="Arial" w:hAnsi="Arial"/>
                <w:b/>
                <w:bCs/>
                <w:color w:val="FFFFFF"/>
                <w:sz w:val="22"/>
                <w:szCs w:val="22"/>
              </w:rPr>
              <w:t xml:space="preserve">☐ No</w:t>
            </w:r>
          </w:p>
        </w:tc>
      </w:tr>
    </w:tbl>
    <w:p>
      <w:pPr>
        <w:spacing w:after="60" w:before="200"/>
      </w:pPr>
      <w:r>
        <w:rPr>
          <w:rFonts w:ascii="Arial" w:cs="Arial" w:eastAsia="Arial" w:hAnsi="Arial"/>
          <w:sz w:val="20"/>
          <w:szCs w:val="20"/>
        </w:rPr>
        <w:t xml:space="preserve">Declaration:</w:t>
      </w:r>
    </w:p>
    <w:p>
      <w:pPr>
        <w:spacing w:after="300"/>
      </w:pPr>
      <w:r>
        <w:rPr>
          <w:rFonts w:ascii="Arial" w:cs="Arial" w:eastAsia="Arial" w:hAnsi="Arial"/>
          <w:sz w:val="20"/>
          <w:szCs w:val="20"/>
        </w:rPr>
        <w:t xml:space="preserve">I declare that this assessment is my own original work except for source material explicitly acknowledged. I confirm that this work has not previously been submitted for assessments in any course. I acknowledge the institutional AI policy and confirm that AI tools have only been used as stipulated and documented in the AI Disclosure Appendix.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Student Signature</w:t>
            </w:r>
          </w:p>
        </w:tc>
        <w:tc>
          <w:tcPr>
            <w:tcW w:type="dxa" w:w="55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D.I, L.L.N, N.Z.N, Z.M, R.R</w:t>
            </w:r>
          </w:p>
        </w:tc>
      </w:tr>
      <w:tr>
        <w:tc>
          <w:tcPr>
            <w:tcW w:type="dxa" w:w="35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Date</w:t>
            </w:r>
          </w:p>
        </w:tc>
        <w:tc>
          <w:tcPr>
            <w:tcW w:type="dxa" w:w="55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30 October 2026</w:t>
            </w:r>
          </w:p>
        </w:tc>
      </w:tr>
    </w:tbl>
    <w:p>
      <w:pPr>
        <w:spacing w:after="80" w:before="200"/>
      </w:pPr>
      <w:r>
        <w:rPr>
          <w:rFonts w:ascii="Arial" w:cs="Arial" w:eastAsia="Arial" w:hAnsi="Arial"/>
          <w:b/>
          <w:bCs/>
          <w:color w:val="1B2A5C"/>
          <w:sz w:val="22"/>
          <w:szCs w:val="22"/>
        </w:rPr>
        <w:t xml:space="preserve">Lecturer Use Only</w:t>
      </w:r>
    </w:p>
    <w:p>
      <w:pPr>
        <w:spacing w:after="400"/>
      </w:pPr>
      <w:r>
        <w:rPr>
          <w:rFonts w:ascii="Arial" w:cs="Arial" w:eastAsia="Arial" w:hAnsi="Arial"/>
          <w:sz w:val="22"/>
          <w:szCs w:val="22"/>
        </w:rPr>
        <w:t xml:space="preserve">Lecturer Comments:</w:t>
      </w:r>
    </w:p>
    <w:p>
      <w:pPr>
        <w:pBdr>
          <w:bottom w:val="single" w:color="000000" w:sz="6"/>
        </w:pBdr>
        <w:spacing w:after="360"/>
      </w:pPr>
    </w:p>
    <w:p>
      <w:pPr>
        <w:pBdr>
          <w:bottom w:val="single" w:color="000000" w:sz="6"/>
        </w:pBdr>
        <w:spacing w:after="360"/>
      </w:pPr>
    </w:p>
    <w:p>
      <w:pPr>
        <w:pBdr>
          <w:bottom w:val="single" w:color="000000" w:sz="6"/>
        </w:pBdr>
        <w:spacing w:after="3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Marks Awarded (%):</w:t>
            </w:r>
          </w:p>
        </w:tc>
        <w:tc>
          <w:tcPr>
            <w:tcW w:type="dxa" w:w="55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
            </w:r>
          </w:p>
        </w:tc>
      </w:tr>
      <w:tr>
        <w:tc>
          <w:tcPr>
            <w:tcW w:type="dxa" w:w="35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Lecturer Signature:</w:t>
            </w:r>
          </w:p>
        </w:tc>
        <w:tc>
          <w:tcPr>
            <w:tcW w:type="dxa" w:w="55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
            </w:r>
          </w:p>
        </w:tc>
      </w:tr>
      <w:tr>
        <w:tc>
          <w:tcPr>
            <w:tcW w:type="dxa" w:w="3500"/>
            <w:tcBorders>
              <w:top w:val="none" w:color="FFFFFF" w:sz="0"/>
              <w:left w:val="none" w:color="FFFFFF" w:sz="0"/>
              <w:bottom w:val="none" w:color="FFFFFF" w:sz="0"/>
              <w:right w:val="none" w:color="FFFFFF" w:sz="0"/>
            </w:tcBorders>
            <w:tcMar>
              <w:top w:type="dxa" w:w="60"/>
              <w:left w:type="dxa" w:w="100"/>
              <w:bottom w:type="dxa" w:w="40"/>
              <w:right w:type="dxa" w:w="100"/>
            </w:tcMar>
          </w:tcPr>
          <w:p>
            <w:r>
              <w:rPr>
                <w:rFonts w:ascii="Arial" w:cs="Arial" w:eastAsia="Arial" w:hAnsi="Arial"/>
                <w:sz w:val="22"/>
                <w:szCs w:val="22"/>
              </w:rPr>
              <w:t xml:space="preserve">Date:</w:t>
            </w:r>
          </w:p>
        </w:tc>
        <w:tc>
          <w:tcPr>
            <w:tcW w:type="dxa" w:w="5526"/>
            <w:tcBorders>
              <w:top w:val="none" w:color="FFFFFF" w:sz="0"/>
              <w:left w:val="none" w:color="FFFFFF" w:sz="0"/>
              <w:bottom w:val="single" w:color="000000" w:sz="6"/>
              <w:right w:val="none" w:color="FFFFFF" w:sz="0"/>
            </w:tcBorders>
            <w:tcMar>
              <w:top w:type="dxa" w:w="60"/>
              <w:left w:type="dxa" w:w="100"/>
              <w:bottom w:type="dxa" w:w="40"/>
              <w:right w:type="dxa" w:w="100"/>
            </w:tcMar>
          </w:tcPr>
          <w:p>
            <w:r>
              <w:rPr>
                <w:rFonts w:ascii="Arial" w:cs="Arial" w:eastAsia="Arial" w:hAnsi="Arial"/>
                <w:b/>
                <w:bCs/>
                <w:color w:val="1B2A5C"/>
                <w:sz w:val="22"/>
                <w:szCs w:val="22"/>
              </w:rPr>
              <w:t xml:space="preserve"/>
            </w:r>
          </w:p>
        </w:tc>
      </w:tr>
    </w:tbl>
    <w:p>
      <w:r>
        <w:br w:type="page"/>
      </w:r>
    </w:p>
    <w:p>
      <w:pPr>
        <w:spacing w:after="60"/>
      </w:pPr>
      <w:r>
        <w:rPr>
          <w:rFonts w:ascii="Arial" w:cs="Arial" w:eastAsia="Arial" w:hAnsi="Arial"/>
          <w:color w:val="1B2A5C"/>
          <w:sz w:val="44"/>
          <w:szCs w:val="44"/>
        </w:rPr>
        <w:t xml:space="preserve">ITNPA3 – Deliverable 5</w:t>
      </w:r>
    </w:p>
    <w:p>
      <w:pPr>
        <w:spacing w:after="160"/>
      </w:pPr>
      <w:r>
        <w:rPr>
          <w:rFonts w:ascii="Arial" w:cs="Arial" w:eastAsia="Arial" w:hAnsi="Arial"/>
          <w:b/>
          <w:bCs/>
          <w:sz w:val="26"/>
          <w:szCs w:val="26"/>
        </w:rPr>
        <w:t xml:space="preserve">Tests and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8C8C8C" w:sz="4"/>
              <w:left w:val="single" w:color="8C8C8C" w:sz="4"/>
              <w:bottom w:val="single" w:color="8C8C8C" w:sz="4"/>
              <w:right w:val="single" w:color="8C8C8C" w:sz="4"/>
            </w:tcBorders>
            <w:shd w:fill="1B2A5C" w:val="clear"/>
            <w:tcMar>
              <w:top w:type="dxa" w:w="60"/>
              <w:left w:type="dxa" w:w="100"/>
              <w:bottom w:type="dxa" w:w="60"/>
              <w:right w:type="dxa" w:w="100"/>
            </w:tcMar>
            <w:vAlign w:val="center"/>
          </w:tcPr>
          <w:p>
            <w:r>
              <w:rPr>
                <w:rFonts w:ascii="Arial" w:cs="Arial" w:eastAsia="Arial" w:hAnsi="Arial"/>
                <w:color w:val="FFFFFF"/>
                <w:sz w:val="20"/>
                <w:szCs w:val="20"/>
              </w:rPr>
              <w:t xml:space="preserve">Group number and name</w:t>
            </w:r>
          </w:p>
        </w:tc>
        <w:tc>
          <w:tcPr>
            <w:tcW w:type="dxa" w:w="6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60"/>
            </w:pPr>
            <w:r>
              <w:rPr>
                <w:rFonts w:ascii="Arial" w:cs="Arial" w:eastAsia="Arial" w:hAnsi="Arial"/>
                <w:sz w:val="20"/>
                <w:szCs w:val="20"/>
              </w:rPr>
              <w:t xml:space="preserve">Network Security</w:t>
            </w:r>
          </w:p>
        </w:tc>
      </w:tr>
      <w:tr>
        <w:tc>
          <w:tcPr>
            <w:tcW w:type="dxa" w:w="3000"/>
            <w:tcBorders>
              <w:top w:val="single" w:color="8C8C8C" w:sz="4"/>
              <w:left w:val="single" w:color="8C8C8C" w:sz="4"/>
              <w:bottom w:val="single" w:color="8C8C8C" w:sz="4"/>
              <w:right w:val="single" w:color="8C8C8C" w:sz="4"/>
            </w:tcBorders>
            <w:shd w:fill="1B2A5C" w:val="clear"/>
            <w:tcMar>
              <w:top w:type="dxa" w:w="60"/>
              <w:left w:type="dxa" w:w="100"/>
              <w:bottom w:type="dxa" w:w="60"/>
              <w:right w:type="dxa" w:w="100"/>
            </w:tcMar>
            <w:vAlign w:val="center"/>
          </w:tcPr>
          <w:p>
            <w:r>
              <w:rPr>
                <w:rFonts w:ascii="Arial" w:cs="Arial" w:eastAsia="Arial" w:hAnsi="Arial"/>
                <w:color w:val="FFFFFF"/>
                <w:sz w:val="20"/>
                <w:szCs w:val="20"/>
              </w:rPr>
              <w:t xml:space="preserve">Group member details</w:t>
            </w:r>
          </w:p>
        </w:tc>
        <w:tc>
          <w:tcPr>
            <w:tcW w:type="dxa" w:w="6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60"/>
            </w:pPr>
            <w:r>
              <w:rPr>
                <w:rFonts w:ascii="Arial" w:cs="Arial" w:eastAsia="Arial" w:hAnsi="Arial"/>
                <w:sz w:val="20"/>
                <w:szCs w:val="20"/>
              </w:rPr>
              <w:t xml:space="preserve">BE.2023.G1J9X0 – Immelman; Divan (leader)</w:t>
            </w:r>
          </w:p>
          <w:p>
            <w:pPr>
              <w:spacing w:after="60"/>
            </w:pPr>
            <w:r>
              <w:rPr>
                <w:rFonts w:ascii="Arial" w:cs="Arial" w:eastAsia="Arial" w:hAnsi="Arial"/>
                <w:sz w:val="20"/>
                <w:szCs w:val="20"/>
              </w:rPr>
              <w:t xml:space="preserve">EDUV4941540 – Ntluka; Leo</w:t>
            </w:r>
          </w:p>
          <w:p>
            <w:pPr>
              <w:spacing w:after="60"/>
            </w:pPr>
            <w:r>
              <w:rPr>
                <w:rFonts w:ascii="Arial" w:cs="Arial" w:eastAsia="Arial" w:hAnsi="Arial"/>
                <w:sz w:val="20"/>
                <w:szCs w:val="20"/>
              </w:rPr>
              <w:t xml:space="preserve">EDUV4970152 – Ngoma; Zimele</w:t>
            </w:r>
          </w:p>
          <w:p>
            <w:pPr>
              <w:spacing w:after="60"/>
            </w:pPr>
            <w:r>
              <w:rPr>
                <w:rFonts w:ascii="Arial" w:cs="Arial" w:eastAsia="Arial" w:hAnsi="Arial"/>
                <w:sz w:val="20"/>
                <w:szCs w:val="20"/>
              </w:rPr>
              <w:t xml:space="preserve">PT.2022.H8N4F0 – Mnqokoyi; Zinceba</w:t>
            </w:r>
          </w:p>
          <w:p>
            <w:pPr>
              <w:spacing w:after="60"/>
            </w:pPr>
            <w:r>
              <w:rPr>
                <w:rFonts w:ascii="Arial" w:cs="Arial" w:eastAsia="Arial" w:hAnsi="Arial"/>
                <w:sz w:val="20"/>
                <w:szCs w:val="20"/>
              </w:rPr>
              <w:t xml:space="preserve">EDUV4841920 – Rihani; Rayan</w:t>
            </w:r>
          </w:p>
        </w:tc>
      </w:tr>
      <w:tr>
        <w:tc>
          <w:tcPr>
            <w:tcW w:type="dxa" w:w="3000"/>
            <w:tcBorders>
              <w:top w:val="single" w:color="8C8C8C" w:sz="4"/>
              <w:left w:val="single" w:color="8C8C8C" w:sz="4"/>
              <w:bottom w:val="single" w:color="8C8C8C" w:sz="4"/>
              <w:right w:val="single" w:color="8C8C8C" w:sz="4"/>
            </w:tcBorders>
            <w:shd w:fill="1B2A5C" w:val="clear"/>
            <w:tcMar>
              <w:top w:type="dxa" w:w="60"/>
              <w:left w:type="dxa" w:w="100"/>
              <w:bottom w:type="dxa" w:w="60"/>
              <w:right w:type="dxa" w:w="100"/>
            </w:tcMar>
            <w:vAlign w:val="center"/>
          </w:tcPr>
          <w:p>
            <w:r>
              <w:rPr>
                <w:rFonts w:ascii="Arial" w:cs="Arial" w:eastAsia="Arial" w:hAnsi="Arial"/>
                <w:color w:val="FFFFFF"/>
                <w:sz w:val="20"/>
                <w:szCs w:val="20"/>
              </w:rPr>
              <w:t xml:space="preserve">Project title</w:t>
            </w:r>
          </w:p>
        </w:tc>
        <w:tc>
          <w:tcPr>
            <w:tcW w:type="dxa" w:w="6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60"/>
            </w:pPr>
            <w:r>
              <w:rPr>
                <w:rFonts w:ascii="Arial" w:cs="Arial" w:eastAsia="Arial" w:hAnsi="Arial"/>
                <w:sz w:val="20"/>
                <w:szCs w:val="20"/>
              </w:rPr>
              <w:t xml:space="preserve">Phishing Detection in South African Languages and Mixed Language Email: A Benchmark and Baseline Evaluation</w:t>
            </w:r>
          </w:p>
        </w:tc>
      </w:tr>
      <w:tr>
        <w:tc>
          <w:tcPr>
            <w:tcW w:type="dxa" w:w="3000"/>
            <w:tcBorders>
              <w:top w:val="single" w:color="8C8C8C" w:sz="4"/>
              <w:left w:val="single" w:color="8C8C8C" w:sz="4"/>
              <w:bottom w:val="single" w:color="8C8C8C" w:sz="4"/>
              <w:right w:val="single" w:color="8C8C8C" w:sz="4"/>
            </w:tcBorders>
            <w:shd w:fill="1B2A5C" w:val="clear"/>
            <w:tcMar>
              <w:top w:type="dxa" w:w="60"/>
              <w:left w:type="dxa" w:w="100"/>
              <w:bottom w:type="dxa" w:w="60"/>
              <w:right w:type="dxa" w:w="100"/>
            </w:tcMar>
            <w:vAlign w:val="center"/>
          </w:tcPr>
          <w:p>
            <w:r>
              <w:rPr>
                <w:rFonts w:ascii="Arial" w:cs="Arial" w:eastAsia="Arial" w:hAnsi="Arial"/>
                <w:color w:val="FFFFFF"/>
                <w:sz w:val="20"/>
                <w:szCs w:val="20"/>
              </w:rPr>
              <w:t xml:space="preserve">Submission date</w:t>
            </w:r>
          </w:p>
        </w:tc>
        <w:tc>
          <w:tcPr>
            <w:tcW w:type="dxa" w:w="6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60"/>
            </w:pPr>
            <w:r>
              <w:rPr>
                <w:rFonts w:ascii="Arial" w:cs="Arial" w:eastAsia="Arial" w:hAnsi="Arial"/>
                <w:sz w:val="20"/>
                <w:szCs w:val="20"/>
              </w:rPr>
              <w:t xml:space="preserve">30 October 2026</w:t>
            </w:r>
          </w:p>
        </w:tc>
      </w:tr>
      <w:tr>
        <w:tc>
          <w:tcPr>
            <w:tcW w:type="dxa" w:w="3000"/>
            <w:tcBorders>
              <w:top w:val="single" w:color="8C8C8C" w:sz="4"/>
              <w:left w:val="single" w:color="8C8C8C" w:sz="4"/>
              <w:bottom w:val="single" w:color="8C8C8C" w:sz="4"/>
              <w:right w:val="single" w:color="8C8C8C" w:sz="4"/>
            </w:tcBorders>
            <w:shd w:fill="1B2A5C" w:val="clear"/>
            <w:tcMar>
              <w:top w:type="dxa" w:w="60"/>
              <w:left w:type="dxa" w:w="100"/>
              <w:bottom w:type="dxa" w:w="60"/>
              <w:right w:type="dxa" w:w="100"/>
            </w:tcMar>
            <w:vAlign w:val="center"/>
          </w:tcPr>
          <w:p>
            <w:r>
              <w:rPr>
                <w:rFonts w:ascii="Arial" w:cs="Arial" w:eastAsia="Arial" w:hAnsi="Arial"/>
                <w:color w:val="FFFFFF"/>
                <w:sz w:val="20"/>
                <w:szCs w:val="20"/>
              </w:rPr>
              <w:t xml:space="preserve">Signature of group leader</w:t>
            </w:r>
          </w:p>
        </w:tc>
        <w:tc>
          <w:tcPr>
            <w:tcW w:type="dxa" w:w="6026"/>
            <w:tcBorders>
              <w:top w:val="single" w:color="8C8C8C" w:sz="4"/>
              <w:left w:val="single" w:color="8C8C8C" w:sz="4"/>
              <w:bottom w:val="single" w:color="8C8C8C" w:sz="4"/>
              <w:right w:val="single" w:color="8C8C8C" w:sz="4"/>
            </w:tcBorders>
            <w:tcMar>
              <w:top w:type="dxa" w:w="60"/>
              <w:left w:type="dxa" w:w="100"/>
              <w:bottom w:type="dxa" w:w="60"/>
              <w:right w:type="dxa" w:w="100"/>
            </w:tcMar>
          </w:tcPr>
          <w:p>
            <w:pPr>
              <w:spacing w:after="60"/>
            </w:pPr>
            <w:r>
              <w:rPr>
                <w:rFonts w:ascii="Arial" w:cs="Arial" w:eastAsia="Arial" w:hAnsi="Arial"/>
                <w:sz w:val="20"/>
                <w:szCs w:val="20"/>
              </w:rPr>
              <w:t xml:space="preserve">D.I</w:t>
            </w:r>
          </w:p>
        </w:tc>
      </w:tr>
    </w:tbl>
    <w:p>
      <w:r>
        <w:br w:type="page"/>
      </w:r>
    </w:p>
    <w:p>
      <w:pPr>
        <w:spacing w:after="200"/>
      </w:pPr>
      <w:r>
        <w:rPr>
          <w:rFonts w:ascii="Cambria" w:cs="Cambria" w:eastAsia="Cambria" w:hAnsi="Cambria"/>
          <w:color w:val="365F91"/>
          <w:sz w:val="30"/>
          <w:szCs w:val="30"/>
        </w:rPr>
        <w:t xml:space="preserve">Contents</w:t>
      </w:r>
    </w:p>
    <w:p>
      <w:pPr>
        <w:tabs>
          <w:tab w:val="right" w:pos="9026" w:leader="dot"/>
        </w:tabs>
        <w:spacing w:after="100"/>
        <w:ind w:left="0"/>
      </w:pPr>
      <w:r>
        <w:rPr>
          <w:rFonts w:ascii="Arial" w:cs="Arial" w:eastAsia="Arial" w:hAnsi="Arial"/>
          <w:b/>
          <w:bCs/>
          <w:sz w:val="21"/>
          <w:szCs w:val="21"/>
        </w:rPr>
        <w:t xml:space="preserve">Introduction to the Testing Phase</w:t>
      </w:r>
      <w:r>
        <w:rPr>
          <w:rFonts w:ascii="Arial" w:cs="Arial" w:eastAsia="Arial" w:hAnsi="Arial"/>
          <w:sz w:val="21"/>
          <w:szCs w:val="21"/>
        </w:rPr>
        <w:t xml:space="preserve">	5</w:t>
      </w:r>
    </w:p>
    <w:p>
      <w:pPr>
        <w:tabs>
          <w:tab w:val="right" w:pos="9026" w:leader="dot"/>
        </w:tabs>
        <w:spacing w:after="100"/>
        <w:ind w:left="0"/>
      </w:pPr>
      <w:r>
        <w:rPr>
          <w:rFonts w:ascii="Arial" w:cs="Arial" w:eastAsia="Arial" w:hAnsi="Arial"/>
          <w:b/>
          <w:bCs/>
          <w:sz w:val="21"/>
          <w:szCs w:val="21"/>
        </w:rPr>
        <w:t xml:space="preserve">1. Testing plan</w:t>
      </w:r>
      <w:r>
        <w:rPr>
          <w:rFonts w:ascii="Arial" w:cs="Arial" w:eastAsia="Arial" w:hAnsi="Arial"/>
          <w:sz w:val="21"/>
          <w:szCs w:val="21"/>
        </w:rPr>
        <w:t xml:space="preserve">	5</w:t>
      </w:r>
    </w:p>
    <w:p>
      <w:pPr>
        <w:tabs>
          <w:tab w:val="right" w:pos="9026" w:leader="dot"/>
        </w:tabs>
        <w:spacing w:after="50"/>
        <w:ind w:left="300"/>
      </w:pPr>
      <w:r>
        <w:rPr>
          <w:rFonts w:ascii="Arial" w:cs="Arial" w:eastAsia="Arial" w:hAnsi="Arial"/>
          <w:b w:val="false"/>
          <w:bCs w:val="false"/>
          <w:sz w:val="19"/>
          <w:szCs w:val="19"/>
        </w:rPr>
        <w:t xml:space="preserve">1.1 Test cases</w:t>
      </w:r>
      <w:r>
        <w:rPr>
          <w:rFonts w:ascii="Arial" w:cs="Arial" w:eastAsia="Arial" w:hAnsi="Arial"/>
          <w:sz w:val="19"/>
          <w:szCs w:val="19"/>
        </w:rPr>
        <w:t xml:space="preserve">	5</w:t>
      </w:r>
    </w:p>
    <w:p>
      <w:pPr>
        <w:tabs>
          <w:tab w:val="right" w:pos="9026" w:leader="dot"/>
        </w:tabs>
        <w:spacing w:after="50"/>
        <w:ind w:left="300"/>
      </w:pPr>
      <w:r>
        <w:rPr>
          <w:rFonts w:ascii="Arial" w:cs="Arial" w:eastAsia="Arial" w:hAnsi="Arial"/>
          <w:b w:val="false"/>
          <w:bCs w:val="false"/>
          <w:sz w:val="19"/>
          <w:szCs w:val="19"/>
        </w:rPr>
        <w:t xml:space="preserve">1.2 Benchmarks and success criteria</w:t>
      </w:r>
      <w:r>
        <w:rPr>
          <w:rFonts w:ascii="Arial" w:cs="Arial" w:eastAsia="Arial" w:hAnsi="Arial"/>
          <w:sz w:val="19"/>
          <w:szCs w:val="19"/>
        </w:rPr>
        <w:t xml:space="preserve">	6</w:t>
      </w:r>
    </w:p>
    <w:p>
      <w:pPr>
        <w:tabs>
          <w:tab w:val="right" w:pos="9026" w:leader="dot"/>
        </w:tabs>
        <w:spacing w:after="100"/>
        <w:ind w:left="0"/>
      </w:pPr>
      <w:r>
        <w:rPr>
          <w:rFonts w:ascii="Arial" w:cs="Arial" w:eastAsia="Arial" w:hAnsi="Arial"/>
          <w:b/>
          <w:bCs/>
          <w:sz w:val="21"/>
          <w:szCs w:val="21"/>
        </w:rPr>
        <w:t xml:space="preserve">2. Test execution</w:t>
      </w:r>
      <w:r>
        <w:rPr>
          <w:rFonts w:ascii="Arial" w:cs="Arial" w:eastAsia="Arial" w:hAnsi="Arial"/>
          <w:sz w:val="21"/>
          <w:szCs w:val="21"/>
        </w:rPr>
        <w:t xml:space="preserve">	6</w:t>
      </w:r>
    </w:p>
    <w:p>
      <w:pPr>
        <w:tabs>
          <w:tab w:val="right" w:pos="9026" w:leader="dot"/>
        </w:tabs>
        <w:spacing w:after="50"/>
        <w:ind w:left="300"/>
      </w:pPr>
      <w:r>
        <w:rPr>
          <w:rFonts w:ascii="Arial" w:cs="Arial" w:eastAsia="Arial" w:hAnsi="Arial"/>
          <w:b w:val="false"/>
          <w:bCs w:val="false"/>
          <w:sz w:val="19"/>
          <w:szCs w:val="19"/>
        </w:rPr>
        <w:t xml:space="preserve">2.1 Vulnerability Assessment</w:t>
      </w:r>
      <w:r>
        <w:rPr>
          <w:rFonts w:ascii="Arial" w:cs="Arial" w:eastAsia="Arial" w:hAnsi="Arial"/>
          <w:sz w:val="19"/>
          <w:szCs w:val="19"/>
        </w:rPr>
        <w:t xml:space="preserve">	7</w:t>
      </w:r>
    </w:p>
    <w:p>
      <w:pPr>
        <w:tabs>
          <w:tab w:val="right" w:pos="9026" w:leader="dot"/>
        </w:tabs>
        <w:spacing w:after="50"/>
        <w:ind w:left="300"/>
      </w:pPr>
      <w:r>
        <w:rPr>
          <w:rFonts w:ascii="Arial" w:cs="Arial" w:eastAsia="Arial" w:hAnsi="Arial"/>
          <w:b w:val="false"/>
          <w:bCs w:val="false"/>
          <w:sz w:val="19"/>
          <w:szCs w:val="19"/>
        </w:rPr>
        <w:t xml:space="preserve">2.2 Penetration Testing (Ethical Hacking)</w:t>
      </w:r>
      <w:r>
        <w:rPr>
          <w:rFonts w:ascii="Arial" w:cs="Arial" w:eastAsia="Arial" w:hAnsi="Arial"/>
          <w:sz w:val="19"/>
          <w:szCs w:val="19"/>
        </w:rPr>
        <w:t xml:space="preserve">	8</w:t>
      </w:r>
    </w:p>
    <w:p>
      <w:pPr>
        <w:tabs>
          <w:tab w:val="right" w:pos="9026" w:leader="dot"/>
        </w:tabs>
        <w:spacing w:after="50"/>
        <w:ind w:left="300"/>
      </w:pPr>
      <w:r>
        <w:rPr>
          <w:rFonts w:ascii="Arial" w:cs="Arial" w:eastAsia="Arial" w:hAnsi="Arial"/>
          <w:b w:val="false"/>
          <w:bCs w:val="false"/>
          <w:sz w:val="19"/>
          <w:szCs w:val="19"/>
        </w:rPr>
        <w:t xml:space="preserve">2.3 Configuration Audits</w:t>
      </w:r>
      <w:r>
        <w:rPr>
          <w:rFonts w:ascii="Arial" w:cs="Arial" w:eastAsia="Arial" w:hAnsi="Arial"/>
          <w:sz w:val="19"/>
          <w:szCs w:val="19"/>
        </w:rPr>
        <w:t xml:space="preserve">	9</w:t>
      </w:r>
    </w:p>
    <w:p>
      <w:pPr>
        <w:tabs>
          <w:tab w:val="right" w:pos="9026" w:leader="dot"/>
        </w:tabs>
        <w:spacing w:after="50"/>
        <w:ind w:left="300"/>
      </w:pPr>
      <w:r>
        <w:rPr>
          <w:rFonts w:ascii="Arial" w:cs="Arial" w:eastAsia="Arial" w:hAnsi="Arial"/>
          <w:b w:val="false"/>
          <w:bCs w:val="false"/>
          <w:sz w:val="19"/>
          <w:szCs w:val="19"/>
        </w:rPr>
        <w:t xml:space="preserve">2.4 Incident Response Testing</w:t>
      </w:r>
      <w:r>
        <w:rPr>
          <w:rFonts w:ascii="Arial" w:cs="Arial" w:eastAsia="Arial" w:hAnsi="Arial"/>
          <w:sz w:val="19"/>
          <w:szCs w:val="19"/>
        </w:rPr>
        <w:t xml:space="preserve">	9</w:t>
      </w:r>
    </w:p>
    <w:p>
      <w:pPr>
        <w:tabs>
          <w:tab w:val="right" w:pos="9026" w:leader="dot"/>
        </w:tabs>
        <w:spacing w:after="50"/>
        <w:ind w:left="300"/>
      </w:pPr>
      <w:r>
        <w:rPr>
          <w:rFonts w:ascii="Arial" w:cs="Arial" w:eastAsia="Arial" w:hAnsi="Arial"/>
          <w:b w:val="false"/>
          <w:bCs w:val="false"/>
          <w:sz w:val="19"/>
          <w:szCs w:val="19"/>
        </w:rPr>
        <w:t xml:space="preserve">2.5 Compliance and Regulatory Testing</w:t>
      </w:r>
      <w:r>
        <w:rPr>
          <w:rFonts w:ascii="Arial" w:cs="Arial" w:eastAsia="Arial" w:hAnsi="Arial"/>
          <w:sz w:val="19"/>
          <w:szCs w:val="19"/>
        </w:rPr>
        <w:t xml:space="preserve">	9</w:t>
      </w:r>
    </w:p>
    <w:p>
      <w:pPr>
        <w:tabs>
          <w:tab w:val="right" w:pos="9026" w:leader="dot"/>
        </w:tabs>
        <w:spacing w:after="50"/>
        <w:ind w:left="300"/>
      </w:pPr>
      <w:r>
        <w:rPr>
          <w:rFonts w:ascii="Arial" w:cs="Arial" w:eastAsia="Arial" w:hAnsi="Arial"/>
          <w:b w:val="false"/>
          <w:bCs w:val="false"/>
          <w:sz w:val="19"/>
          <w:szCs w:val="19"/>
        </w:rPr>
        <w:t xml:space="preserve">2.6 User Awareness and Social Engineering Testing</w:t>
      </w:r>
      <w:r>
        <w:rPr>
          <w:rFonts w:ascii="Arial" w:cs="Arial" w:eastAsia="Arial" w:hAnsi="Arial"/>
          <w:sz w:val="19"/>
          <w:szCs w:val="19"/>
        </w:rPr>
        <w:t xml:space="preserve">	10</w:t>
      </w:r>
    </w:p>
    <w:p>
      <w:pPr>
        <w:tabs>
          <w:tab w:val="right" w:pos="9026" w:leader="dot"/>
        </w:tabs>
        <w:spacing w:after="100"/>
        <w:ind w:left="0"/>
      </w:pPr>
      <w:r>
        <w:rPr>
          <w:rFonts w:ascii="Arial" w:cs="Arial" w:eastAsia="Arial" w:hAnsi="Arial"/>
          <w:b/>
          <w:bCs/>
          <w:sz w:val="21"/>
          <w:szCs w:val="21"/>
        </w:rPr>
        <w:t xml:space="preserve">3. Results</w:t>
      </w:r>
      <w:r>
        <w:rPr>
          <w:rFonts w:ascii="Arial" w:cs="Arial" w:eastAsia="Arial" w:hAnsi="Arial"/>
          <w:sz w:val="21"/>
          <w:szCs w:val="21"/>
        </w:rPr>
        <w:t xml:space="preserve">	10</w:t>
      </w:r>
    </w:p>
    <w:p>
      <w:pPr>
        <w:tabs>
          <w:tab w:val="right" w:pos="9026" w:leader="dot"/>
        </w:tabs>
        <w:spacing w:after="50"/>
        <w:ind w:left="300"/>
      </w:pPr>
      <w:r>
        <w:rPr>
          <w:rFonts w:ascii="Arial" w:cs="Arial" w:eastAsia="Arial" w:hAnsi="Arial"/>
          <w:b w:val="false"/>
          <w:bCs w:val="false"/>
          <w:sz w:val="19"/>
          <w:szCs w:val="19"/>
        </w:rPr>
        <w:t xml:space="preserve">3.1 Summary of findings</w:t>
      </w:r>
      <w:r>
        <w:rPr>
          <w:rFonts w:ascii="Arial" w:cs="Arial" w:eastAsia="Arial" w:hAnsi="Arial"/>
          <w:sz w:val="19"/>
          <w:szCs w:val="19"/>
        </w:rPr>
        <w:t xml:space="preserve">	10</w:t>
      </w:r>
    </w:p>
    <w:p>
      <w:pPr>
        <w:tabs>
          <w:tab w:val="right" w:pos="9026" w:leader="dot"/>
        </w:tabs>
        <w:spacing w:after="50"/>
        <w:ind w:left="300"/>
      </w:pPr>
      <w:r>
        <w:rPr>
          <w:rFonts w:ascii="Arial" w:cs="Arial" w:eastAsia="Arial" w:hAnsi="Arial"/>
          <w:b w:val="false"/>
          <w:bCs w:val="false"/>
          <w:sz w:val="19"/>
          <w:szCs w:val="19"/>
        </w:rPr>
        <w:t xml:space="preserve">3.2 Performance metrics</w:t>
      </w:r>
      <w:r>
        <w:rPr>
          <w:rFonts w:ascii="Arial" w:cs="Arial" w:eastAsia="Arial" w:hAnsi="Arial"/>
          <w:sz w:val="19"/>
          <w:szCs w:val="19"/>
        </w:rPr>
        <w:t xml:space="preserve">	11</w:t>
      </w:r>
    </w:p>
    <w:p>
      <w:pPr>
        <w:tabs>
          <w:tab w:val="right" w:pos="9026" w:leader="dot"/>
        </w:tabs>
        <w:spacing w:after="50"/>
        <w:ind w:left="300"/>
      </w:pPr>
      <w:r>
        <w:rPr>
          <w:rFonts w:ascii="Arial" w:cs="Arial" w:eastAsia="Arial" w:hAnsi="Arial"/>
          <w:b w:val="false"/>
          <w:bCs w:val="false"/>
          <w:sz w:val="19"/>
          <w:szCs w:val="19"/>
        </w:rPr>
        <w:t xml:space="preserve">3.3 Issues and anomalies</w:t>
      </w:r>
      <w:r>
        <w:rPr>
          <w:rFonts w:ascii="Arial" w:cs="Arial" w:eastAsia="Arial" w:hAnsi="Arial"/>
          <w:sz w:val="19"/>
          <w:szCs w:val="19"/>
        </w:rPr>
        <w:t xml:space="preserve">	13</w:t>
      </w:r>
    </w:p>
    <w:p>
      <w:pPr>
        <w:tabs>
          <w:tab w:val="right" w:pos="9026" w:leader="dot"/>
        </w:tabs>
        <w:spacing w:after="100"/>
        <w:ind w:left="0"/>
      </w:pPr>
      <w:r>
        <w:rPr>
          <w:rFonts w:ascii="Arial" w:cs="Arial" w:eastAsia="Arial" w:hAnsi="Arial"/>
          <w:b/>
          <w:bCs/>
          <w:sz w:val="21"/>
          <w:szCs w:val="21"/>
        </w:rPr>
        <w:t xml:space="preserve">4. Analysis of result discussion</w:t>
      </w:r>
      <w:r>
        <w:rPr>
          <w:rFonts w:ascii="Arial" w:cs="Arial" w:eastAsia="Arial" w:hAnsi="Arial"/>
          <w:sz w:val="21"/>
          <w:szCs w:val="21"/>
        </w:rPr>
        <w:t xml:space="preserve">	13</w:t>
      </w:r>
    </w:p>
    <w:p>
      <w:pPr>
        <w:tabs>
          <w:tab w:val="right" w:pos="9026" w:leader="dot"/>
        </w:tabs>
        <w:spacing w:after="100"/>
        <w:ind w:left="0"/>
      </w:pPr>
      <w:r>
        <w:rPr>
          <w:rFonts w:ascii="Arial" w:cs="Arial" w:eastAsia="Arial" w:hAnsi="Arial"/>
          <w:b/>
          <w:bCs/>
          <w:sz w:val="21"/>
          <w:szCs w:val="21"/>
        </w:rPr>
        <w:t xml:space="preserve">5. List of Figures</w:t>
      </w:r>
      <w:r>
        <w:rPr>
          <w:rFonts w:ascii="Arial" w:cs="Arial" w:eastAsia="Arial" w:hAnsi="Arial"/>
          <w:sz w:val="21"/>
          <w:szCs w:val="21"/>
        </w:rPr>
        <w:t xml:space="preserve">	14</w:t>
      </w:r>
    </w:p>
    <w:p>
      <w:pPr>
        <w:tabs>
          <w:tab w:val="right" w:pos="9026" w:leader="dot"/>
        </w:tabs>
        <w:spacing w:after="100"/>
        <w:ind w:left="0"/>
      </w:pPr>
      <w:r>
        <w:rPr>
          <w:rFonts w:ascii="Arial" w:cs="Arial" w:eastAsia="Arial" w:hAnsi="Arial"/>
          <w:b/>
          <w:bCs/>
          <w:sz w:val="21"/>
          <w:szCs w:val="21"/>
        </w:rPr>
        <w:t xml:space="preserve">6. List of Tables</w:t>
      </w:r>
      <w:r>
        <w:rPr>
          <w:rFonts w:ascii="Arial" w:cs="Arial" w:eastAsia="Arial" w:hAnsi="Arial"/>
          <w:sz w:val="21"/>
          <w:szCs w:val="21"/>
        </w:rPr>
        <w:t xml:space="preserve">	14</w:t>
      </w:r>
    </w:p>
    <w:p>
      <w:pPr>
        <w:tabs>
          <w:tab w:val="right" w:pos="9026" w:leader="dot"/>
        </w:tabs>
        <w:spacing w:after="100"/>
        <w:ind w:left="0"/>
      </w:pPr>
      <w:r>
        <w:rPr>
          <w:rFonts w:ascii="Arial" w:cs="Arial" w:eastAsia="Arial" w:hAnsi="Arial"/>
          <w:b/>
          <w:bCs/>
          <w:sz w:val="21"/>
          <w:szCs w:val="21"/>
        </w:rPr>
        <w:t xml:space="preserve">References</w:t>
      </w:r>
      <w:r>
        <w:rPr>
          <w:rFonts w:ascii="Arial" w:cs="Arial" w:eastAsia="Arial" w:hAnsi="Arial"/>
          <w:sz w:val="21"/>
          <w:szCs w:val="21"/>
        </w:rPr>
        <w:t xml:space="preserve">	15</w:t>
      </w:r>
    </w:p>
    <w:p>
      <w:pPr>
        <w:tabs>
          <w:tab w:val="right" w:pos="9026" w:leader="dot"/>
        </w:tabs>
        <w:spacing w:after="100"/>
        <w:ind w:left="0"/>
      </w:pPr>
      <w:r>
        <w:rPr>
          <w:rFonts w:ascii="Arial" w:cs="Arial" w:eastAsia="Arial" w:hAnsi="Arial"/>
          <w:b/>
          <w:bCs/>
          <w:sz w:val="21"/>
          <w:szCs w:val="21"/>
        </w:rPr>
        <w:t xml:space="preserve">AI Disclosure Appendix</w:t>
      </w:r>
      <w:r>
        <w:rPr>
          <w:rFonts w:ascii="Arial" w:cs="Arial" w:eastAsia="Arial" w:hAnsi="Arial"/>
          <w:sz w:val="21"/>
          <w:szCs w:val="21"/>
        </w:rPr>
        <w:t xml:space="preserve">	17</w:t>
      </w:r>
    </w:p>
    <w:p>
      <w:r>
        <w:br w:type="page"/>
      </w:r>
    </w:p>
    <w:p>
      <w:pPr>
        <w:pStyle w:val="Heading1"/>
        <w:spacing w:after="160" w:before="240"/>
      </w:pPr>
      <w:r>
        <w:rPr>
          <w:rFonts w:ascii="Arial" w:cs="Arial" w:eastAsia="Arial" w:hAnsi="Arial"/>
          <w:b/>
          <w:bCs/>
          <w:sz w:val="30"/>
          <w:szCs w:val="30"/>
        </w:rPr>
        <w:t xml:space="preserve">Introduction to the Testing Phase</w:t>
      </w:r>
    </w:p>
    <w:p>
      <w:pPr>
        <w:spacing w:after="140" w:line="300"/>
      </w:pPr>
      <w:r>
        <w:rPr>
          <w:rFonts w:ascii="Arial" w:cs="Arial" w:eastAsia="Arial" w:hAnsi="Arial"/>
        </w:rPr>
        <w:t xml:space="preserve">Deliverable 4 built a prototype that runs Apache SpamAssassin over the same phishing and legitimate emails in English and in Afrikaans, isiXhosa, isiZulu and isiNdebele. This deliverable tests it. The system under test is that prototype: the dataset, the scoring scripts and the laptops and accounts they run on. There is no client network, so the template's organisation-level tests are applied to the prototype instead. </w:t>
      </w:r>
      <w:r>
        <w:rPr>
          <w:rFonts w:ascii="Arial" w:cs="Arial" w:eastAsia="Arial" w:hAnsi="Arial"/>
          <w:highlight w:val="yellow"/>
        </w:rPr>
        <w:t xml:space="preserve">[Attach the lecturer's written confirmation of this framing.]</w:t>
      </w:r>
    </w:p>
    <w:p>
      <w:pPr>
        <w:spacing w:after="140" w:line="300"/>
      </w:pPr>
      <w:r>
        <w:rPr>
          <w:rFonts w:ascii="Arial" w:cs="Arial" w:eastAsia="Arial" w:hAnsi="Arial"/>
        </w:rPr>
        <w:t xml:space="preserve">Two kinds of testing are covered. Performance testing answers the research question directly: does an English-trained filter still recognise phishing once the email is written in a South African language? Security testing checks that the prototype is safe to run and to share, which covers its code, its settings, how it handles hostile input and how the group would deal with an incident.</w:t>
      </w:r>
    </w:p>
    <w:p>
      <w:pPr>
        <w:spacing w:after="140" w:line="300"/>
      </w:pPr>
      <w:r>
        <w:rPr>
          <w:rFonts w:ascii="Arial" w:cs="Arial" w:eastAsia="Arial" w:hAnsi="Arial"/>
        </w:rPr>
        <w:t xml:space="preserve">Section 1 sets out the test cases and the benchmarks they are judged against. Section 2 records how each test was run and what changed along the way. Section 3 gives the results and section 4 discusses what they mean.</w:t>
      </w:r>
    </w:p>
    <w:p>
      <w:pPr>
        <w:pStyle w:val="Heading1"/>
        <w:spacing w:after="160" w:before="240"/>
      </w:pPr>
      <w:r>
        <w:rPr>
          <w:rFonts w:ascii="Arial" w:cs="Arial" w:eastAsia="Arial" w:hAnsi="Arial"/>
          <w:b/>
          <w:bCs/>
          <w:sz w:val="30"/>
          <w:szCs w:val="30"/>
        </w:rPr>
        <w:t xml:space="preserve">1. Testing plan</w:t>
      </w:r>
    </w:p>
    <w:p>
      <w:pPr>
        <w:pStyle w:val="Heading2"/>
        <w:spacing w:after="120" w:before="220"/>
      </w:pPr>
      <w:r>
        <w:rPr>
          <w:rFonts w:ascii="Arial" w:cs="Arial" w:eastAsia="Arial" w:hAnsi="Arial"/>
          <w:b/>
          <w:bCs/>
          <w:sz w:val="24"/>
          <w:szCs w:val="24"/>
        </w:rPr>
        <w:t xml:space="preserve">1.1 Test cases</w:t>
      </w:r>
    </w:p>
    <w:p>
      <w:pPr>
        <w:spacing w:after="140" w:line="300"/>
      </w:pPr>
      <w:r>
        <w:rPr>
          <w:rFonts w:ascii="Arial" w:cs="Arial" w:eastAsia="Arial" w:hAnsi="Arial"/>
        </w:rPr>
        <w:t xml:space="preserve">Every test case traces back to the research aim or to a threat from the Deliverable 3 STRIDE model (TH-01 to TH-06). Table 1 lists them.</w:t>
      </w:r>
    </w:p>
    <w:p>
      <w:pPr>
        <w:keepNext/>
        <w:spacing w:after="60" w:before="120"/>
      </w:pPr>
      <w:r>
        <w:rPr>
          <w:rFonts w:ascii="Arial" w:cs="Arial" w:eastAsia="Arial" w:hAnsi="Arial"/>
          <w:i/>
          <w:iCs/>
          <w:color w:val="404040"/>
          <w:sz w:val="18"/>
          <w:szCs w:val="18"/>
        </w:rPr>
        <w:t xml:space="preserve">Table 1: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300"/>
        <w:gridCol w:w="1900"/>
        <w:gridCol w:w="2100"/>
        <w:gridCol w:w="1926"/>
      </w:tblGrid>
      <w:tr>
        <w:trPr>
          <w:cantSplit/>
          <w:tblHeader/>
        </w:trPr>
        <w:tc>
          <w:tcPr>
            <w:tcW w:type="dxa" w:w="8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ID</w:t>
            </w:r>
          </w:p>
        </w:tc>
        <w:tc>
          <w:tcPr>
            <w:tcW w:type="dxa" w:w="23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Test</w:t>
            </w:r>
          </w:p>
        </w:tc>
        <w:tc>
          <w:tcPr>
            <w:tcW w:type="dxa" w:w="19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Traces to</w:t>
            </w:r>
          </w:p>
        </w:tc>
        <w:tc>
          <w:tcPr>
            <w:tcW w:type="dxa" w:w="21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Method</w:t>
            </w:r>
          </w:p>
        </w:tc>
        <w:tc>
          <w:tcPr>
            <w:tcW w:type="dxa" w:w="19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Pass criterion</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TC-01</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Harness self-check</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Trustworthy measurement</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Run with rules removed; score the GTUBE test message</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Run refuses to start without rules; GTUBE scores 5.0 or more</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TC-02</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Dataset integrity</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Matched-pairs design</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Integrity script compares each translation with its English source</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No open "fix before testing" issues</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TC-03</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Reproducibility</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TH-03 Repudiation</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Delete results and rerun from the spreadsheet</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Every score identical</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TC-04</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Baseline per language</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Research question</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Accuracy, precision, recall, F1, FPR at 5.0; ROC-AUC and PR-AUC</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Measured for every language</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TC-05</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Paired score change</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Expectation E1</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Wilcoxon signed-rank test on each phishing email, English vs translated</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Measured; p below 0.05 counts as a real change</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TC-06</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Rule-level change</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E2 and E3</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Count every rule's hits in English and in translation</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Measured per rule and language</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TC-07</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Translation agreement</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Dataset validity</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Cohen's kappa between translator and reviewer scores</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Kappa 0.41 or more</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TC-08</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Arm A and Arm C</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E5</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Same metrics on back-translated text (A) and on link and sender features (C)</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ROC-AUC within 0.05 of English</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TC-09</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Run time</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TH-05 Denial of service</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Time a full batch; count 60-second timeouts</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No timeouts; one batch under 10 minutes</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TC-10</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Code and package scan</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TH-06, patching</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Bandit and pip-audit</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No open high-severity finding</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TC-11</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Evasion attack</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TH-02 Tampering</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Hide zero-width characters inside English phishing words</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Recorded; a score drop is a finding</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TC-12</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Hostile input</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TH-02, TH-05</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Oversized, empty, injected and formula records</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No crash, no command or formula runs</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TC-13</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Configuration audit</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Deliverable 4 hardening</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Compare live settings with the Deliverable 4 baseline</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Every setting matches</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TC-14</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Incident response</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Deliverable 4 response plan</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Tabletop of three incidents plus a live recovery</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Each incident contained; data rebuilt</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TC-15</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Compliance</w:t>
            </w:r>
          </w:p>
        </w:tc>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POPIA, ECTA, Cybercrimes Act, PCI DSS</w:t>
            </w:r>
          </w:p>
        </w:tc>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Map each requirement to a control and its evidence</w:t>
            </w:r>
          </w:p>
        </w:tc>
        <w:tc>
          <w:tcPr>
            <w:tcW w:type="dxa" w:w="1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Every applicable item has evidence</w:t>
            </w:r>
          </w:p>
        </w:tc>
      </w:tr>
    </w:tbl>
    <w:p>
      <w:pPr>
        <w:spacing w:after="80"/>
      </w:pPr>
    </w:p>
    <w:p>
      <w:pPr>
        <w:pStyle w:val="Heading2"/>
        <w:spacing w:after="120" w:before="220"/>
      </w:pPr>
      <w:r>
        <w:rPr>
          <w:rFonts w:ascii="Arial" w:cs="Arial" w:eastAsia="Arial" w:hAnsi="Arial"/>
          <w:b/>
          <w:bCs/>
          <w:sz w:val="24"/>
          <w:szCs w:val="24"/>
        </w:rPr>
        <w:t xml:space="preserve">1.2 Benchmarks and success criteria</w:t>
      </w:r>
    </w:p>
    <w:p>
      <w:pPr>
        <w:spacing w:after="140" w:line="300"/>
      </w:pPr>
      <w:r>
        <w:rPr>
          <w:rFonts w:ascii="Arial" w:cs="Arial" w:eastAsia="Arial" w:hAnsi="Arial"/>
        </w:rPr>
        <w:t xml:space="preserve">Most performance tests measure the filter rather than pass or fail it, because the research asks how much it changes, not whether it hits a target. The benchmarks in Table 2 decide whether a change is real and whether the prototype itself is fit for use.</w:t>
      </w:r>
    </w:p>
    <w:p>
      <w:pPr>
        <w:keepNext/>
        <w:spacing w:after="60" w:before="120"/>
      </w:pPr>
      <w:r>
        <w:rPr>
          <w:rFonts w:ascii="Arial" w:cs="Arial" w:eastAsia="Arial" w:hAnsi="Arial"/>
          <w:i/>
          <w:iCs/>
          <w:color w:val="404040"/>
          <w:sz w:val="18"/>
          <w:szCs w:val="18"/>
        </w:rPr>
        <w:t xml:space="preserve">Table 2: Benchmarks and success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1800"/>
        <w:gridCol w:w="2926"/>
      </w:tblGrid>
      <w:tr>
        <w:trPr>
          <w:cantSplit/>
          <w:tblHeader/>
        </w:trPr>
        <w:tc>
          <w:tcPr>
            <w:tcW w:type="dxa" w:w="9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ID</w:t>
            </w:r>
          </w:p>
        </w:tc>
        <w:tc>
          <w:tcPr>
            <w:tcW w:type="dxa" w:w="34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Criterion</w:t>
            </w:r>
          </w:p>
        </w:tc>
        <w:tc>
          <w:tcPr>
            <w:tcW w:type="dxa" w:w="18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Target</w:t>
            </w:r>
          </w:p>
        </w:tc>
        <w:tc>
          <w:tcPr>
            <w:tcW w:type="dxa" w:w="29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Why this target</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BM-1</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Statistical significance of a language effect</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 &lt; 0.05</w:t>
            </w:r>
          </w:p>
        </w:tc>
        <w:tc>
          <w:tcPr>
            <w:tcW w:type="dxa" w:w="2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Usual threshold for a paired test (SciPy developers, no date)</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BM-2</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Separation of phishing from legitimate scores</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ROC-AUC reported next to every threshold metric</w:t>
            </w:r>
          </w:p>
        </w:tc>
        <w:tc>
          <w:tcPr>
            <w:tcW w:type="dxa" w:w="2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 drop at one threshold can be fixed by recalibration while the scores still separate well (Gutierrez, Villegas-Ch and Govea, 2026)</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BM-3</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Translator and reviewer agreement</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Kappa 0.41 or more</w:t>
            </w:r>
          </w:p>
        </w:tc>
        <w:tc>
          <w:tcPr>
            <w:tcW w:type="dxa" w:w="2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"Moderate" agreement or better (Landis and Koch, 1977)</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BM-4</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False positive rate</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No higher than English</w:t>
            </w:r>
          </w:p>
        </w:tc>
        <w:tc>
          <w:tcPr>
            <w:tcW w:type="dxa" w:w="2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Translation should not make legitimate mail look like spam</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BM-5</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Reproducibility</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100% identical rerun</w:t>
            </w:r>
          </w:p>
        </w:tc>
        <w:tc>
          <w:tcPr>
            <w:tcW w:type="dxa" w:w="2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Every published number must trace back to a run</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BM-6</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Security scans</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 open high or critical findings</w:t>
            </w:r>
          </w:p>
        </w:tc>
        <w:tc>
          <w:tcPr>
            <w:tcW w:type="dxa" w:w="2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Bandit and pip-audit severity levels (PyCQA, no date; Python Packaging Authority, no date)</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BM-7</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Recovery by a detection arm</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ROC-AUC within 0.05 of English</w:t>
            </w:r>
          </w:p>
        </w:tc>
        <w:tc>
          <w:tcPr>
            <w:tcW w:type="dxa" w:w="29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Practical recovery, not a perfect score</w:t>
            </w:r>
          </w:p>
        </w:tc>
      </w:tr>
    </w:tbl>
    <w:p>
      <w:pPr>
        <w:spacing w:after="80"/>
      </w:pPr>
    </w:p>
    <w:p>
      <w:pPr>
        <w:pStyle w:val="Heading1"/>
        <w:spacing w:after="160" w:before="240"/>
      </w:pPr>
      <w:r>
        <w:rPr>
          <w:rFonts w:ascii="Arial" w:cs="Arial" w:eastAsia="Arial" w:hAnsi="Arial"/>
          <w:b/>
          <w:bCs/>
          <w:sz w:val="30"/>
          <w:szCs w:val="30"/>
        </w:rPr>
        <w:t xml:space="preserve">2. Test execution</w:t>
      </w:r>
    </w:p>
    <w:p>
      <w:pPr>
        <w:spacing w:after="140" w:line="300"/>
      </w:pPr>
      <w:r>
        <w:rPr>
          <w:rFonts w:ascii="Arial" w:cs="Arial" w:eastAsia="Arial" w:hAnsi="Arial"/>
        </w:rPr>
        <w:t xml:space="preserve">All four languages were scored in one session on 20 October 2026 with </w:t>
      </w:r>
      <w:r>
        <w:rPr>
          <w:rFonts w:ascii="Consolas" w:cs="Consolas" w:eastAsia="Consolas" w:hAnsi="Consolas"/>
          <w:sz w:val="19"/>
          <w:szCs w:val="19"/>
        </w:rPr>
        <w:t xml:space="preserve">run_all.sh</w:t>
      </w:r>
      <w:r>
        <w:rPr>
          <w:rFonts w:ascii="Arial" w:cs="Arial" w:eastAsia="Arial" w:hAnsi="Arial"/>
        </w:rPr>
        <w:t xml:space="preserve">, after an Afrikaans pilot on 13 October. SpamAssassin 4.0.2 ran on Ubuntu under WSL with the rules freshly updated, Bayes learning and online lookups switched off and the default 5.0 threshold (Apache SpamAssassin Project, no date). Running every language in one session meant they were all scored with the same rule set. Each translation is compared only with its own English originals. Afrikaans and isiXhosa share the same 117 emails, so they also give one direct comparison between two languages.</w:t>
      </w:r>
    </w:p>
    <w:p>
      <w:pPr>
        <w:spacing w:after="140" w:line="300"/>
      </w:pPr>
      <w:r>
        <w:rPr>
          <w:rFonts w:ascii="Arial" w:cs="Arial" w:eastAsia="Arial" w:hAnsi="Arial"/>
        </w:rPr>
        <w:t xml:space="preserve">The prototype changed during testing. Table 3 records each change and why it was made.</w:t>
      </w:r>
    </w:p>
    <w:p>
      <w:pPr>
        <w:keepNext/>
        <w:spacing w:after="60" w:before="120"/>
      </w:pPr>
      <w:r>
        <w:rPr>
          <w:rFonts w:ascii="Arial" w:cs="Arial" w:eastAsia="Arial" w:hAnsi="Arial"/>
          <w:i/>
          <w:iCs/>
          <w:color w:val="404040"/>
          <w:sz w:val="18"/>
          <w:szCs w:val="18"/>
        </w:rPr>
        <w:t xml:space="preserve">Table 3: Changes made to the prototype during testing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226"/>
      </w:tblGrid>
      <w:tr>
        <w:trPr>
          <w:cantSplit/>
          <w:tblHeader/>
        </w:trPr>
        <w:tc>
          <w:tcPr>
            <w:tcW w:type="dxa" w:w="26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What was found</w:t>
            </w:r>
          </w:p>
        </w:tc>
        <w:tc>
          <w:tcPr>
            <w:tcW w:type="dxa" w:w="32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Change</w:t>
            </w:r>
          </w:p>
        </w:tc>
        <w:tc>
          <w:tcPr>
            <w:tcW w:type="dxa" w:w="32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Why</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 test laptop without the full rule set scored every email near 0, and the output still looked valid</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Script now checks the rule files and the GTUBE self-test before it starts (TC-01)</w:t>
            </w:r>
          </w:p>
        </w:tc>
        <w:tc>
          <w:tcPr>
            <w:tcW w:type="dxa" w:w="3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Stops meaningless results being recorded</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Rule lists that wrap over two header lines were cut short</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Parser fixed and the pilot rerun</w:t>
            </w:r>
          </w:p>
        </w:tc>
        <w:tc>
          <w:tcPr>
            <w:tcW w:type="dxa" w:w="3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Rule counts in the pilot were incomplete</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Some links and addresses were changed during translation</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Restored exactly as in English and logged</w:t>
            </w:r>
          </w:p>
        </w:tc>
        <w:tc>
          <w:tcPr>
            <w:tcW w:type="dxa" w:w="3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Link rules must only see language changes</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Running languages one at a time overwrote the English results</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run_all.sh</w:t>
            </w:r>
            <w:r>
              <w:rPr>
                <w:rFonts w:ascii="Arial" w:cs="Arial" w:eastAsia="Arial" w:hAnsi="Arial"/>
                <w:sz w:val="18"/>
                <w:szCs w:val="18"/>
              </w:rPr>
              <w:t xml:space="preserve"> runs each language in its own folder in one session</w:t>
            </w:r>
          </w:p>
        </w:tc>
        <w:tc>
          <w:tcPr>
            <w:tcW w:type="dxa" w:w="3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Same rules for every language, no overwrites</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LONGWORDS</w:t>
            </w:r>
            <w:r>
              <w:rPr>
                <w:rFonts w:ascii="Arial" w:cs="Arial" w:eastAsia="Arial" w:hAnsi="Arial"/>
                <w:sz w:val="18"/>
                <w:szCs w:val="18"/>
              </w:rPr>
              <w:t xml:space="preserve"> fired only on Nguni translations</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Scores analysed with and without this rule</w:t>
            </w:r>
          </w:p>
        </w:tc>
        <w:tc>
          <w:tcPr>
            <w:tcW w:type="dxa" w:w="3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Separates two different effects (section 3.2)</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One English email had words joined to addresses, which looked like a link</w:t>
            </w:r>
          </w:p>
        </w:tc>
        <w:tc>
          <w:tcPr>
            <w:tcW w:type="dxa" w:w="3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Kept, but reported as an artefact</w:t>
            </w:r>
          </w:p>
        </w:tc>
        <w:tc>
          <w:tcPr>
            <w:tcW w:type="dxa" w:w="3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The drop on that email is not a language effect</w:t>
            </w:r>
          </w:p>
        </w:tc>
      </w:tr>
    </w:tbl>
    <w:p>
      <w:pPr>
        <w:spacing w:after="80"/>
      </w:pPr>
    </w:p>
    <w:p>
      <w:pPr>
        <w:spacing w:after="140" w:line="300"/>
      </w:pPr>
      <w:r>
        <w:rPr>
          <w:rFonts w:ascii="Arial" w:cs="Arial" w:eastAsia="Arial" w:hAnsi="Arial"/>
        </w:rPr>
        <w:t xml:space="preserve">The steps below were run for every language. The commands are in the testing guide given to each tester.</w:t>
      </w:r>
    </w:p>
    <w:p>
      <w:pPr>
        <w:pStyle w:val="ListParagraph"/>
        <w:numPr>
          <w:ilvl w:val="0"/>
          <w:numId w:val="2"/>
        </w:numPr>
        <w:spacing w:after="80" w:line="290"/>
      </w:pPr>
      <w:r>
        <w:rPr>
          <w:rFonts w:ascii="Arial" w:cs="Arial" w:eastAsia="Arial" w:hAnsi="Arial"/>
        </w:rPr>
        <w:t xml:space="preserve">Update rules with </w:t>
      </w:r>
      <w:r>
        <w:rPr>
          <w:rFonts w:ascii="Consolas" w:cs="Consolas" w:eastAsia="Consolas" w:hAnsi="Consolas"/>
          <w:sz w:val="19"/>
          <w:szCs w:val="19"/>
        </w:rPr>
        <w:t xml:space="preserve">sa-update</w:t>
      </w:r>
      <w:r>
        <w:rPr>
          <w:rFonts w:ascii="Arial" w:cs="Arial" w:eastAsia="Arial" w:hAnsi="Arial"/>
        </w:rPr>
        <w:t xml:space="preserve"> and check </w:t>
      </w:r>
      <w:r>
        <w:rPr>
          <w:rFonts w:ascii="Consolas" w:cs="Consolas" w:eastAsia="Consolas" w:hAnsi="Consolas"/>
          <w:sz w:val="19"/>
          <w:szCs w:val="19"/>
        </w:rPr>
        <w:t xml:space="preserve">spamassassin --lint</w:t>
      </w:r>
      <w:r>
        <w:rPr>
          <w:rFonts w:ascii="Arial" w:cs="Arial" w:eastAsia="Arial" w:hAnsi="Arial"/>
        </w:rPr>
        <w:t xml:space="preserve"> reports no errors.</w:t>
      </w:r>
    </w:p>
    <w:p>
      <w:pPr>
        <w:pStyle w:val="ListParagraph"/>
        <w:numPr>
          <w:ilvl w:val="0"/>
          <w:numId w:val="2"/>
        </w:numPr>
        <w:spacing w:after="80" w:line="290"/>
      </w:pPr>
      <w:r>
        <w:rPr>
          <w:rFonts w:ascii="Arial" w:cs="Arial" w:eastAsia="Arial" w:hAnsi="Arial"/>
        </w:rPr>
        <w:t xml:space="preserve">Score the English originals and the translation with </w:t>
      </w:r>
      <w:r>
        <w:rPr>
          <w:rFonts w:ascii="Consolas" w:cs="Consolas" w:eastAsia="Consolas" w:hAnsi="Consolas"/>
          <w:sz w:val="19"/>
          <w:szCs w:val="19"/>
        </w:rPr>
        <w:t xml:space="preserve">run_baseline.py</w:t>
      </w:r>
      <w:r>
        <w:rPr>
          <w:rFonts w:ascii="Arial" w:cs="Arial" w:eastAsia="Arial" w:hAnsi="Arial"/>
        </w:rPr>
        <w:t xml:space="preserve">.</w:t>
      </w:r>
    </w:p>
    <w:p>
      <w:pPr>
        <w:pStyle w:val="ListParagraph"/>
        <w:numPr>
          <w:ilvl w:val="0"/>
          <w:numId w:val="2"/>
        </w:numPr>
        <w:spacing w:after="80" w:line="290"/>
      </w:pPr>
      <w:r>
        <w:rPr>
          <w:rFonts w:ascii="Arial" w:cs="Arial" w:eastAsia="Arial" w:hAnsi="Arial"/>
        </w:rPr>
        <w:t xml:space="preserve">Compare the two with </w:t>
      </w:r>
      <w:r>
        <w:rPr>
          <w:rFonts w:ascii="Consolas" w:cs="Consolas" w:eastAsia="Consolas" w:hAnsi="Consolas"/>
          <w:sz w:val="19"/>
          <w:szCs w:val="19"/>
        </w:rPr>
        <w:t xml:space="preserve">compare.py</w:t>
      </w:r>
      <w:r>
        <w:rPr>
          <w:rFonts w:ascii="Arial" w:cs="Arial" w:eastAsia="Arial" w:hAnsi="Arial"/>
        </w:rPr>
        <w:t xml:space="preserve">, which writes the metrics, the paired tests and the rule counts.</w:t>
      </w:r>
    </w:p>
    <w:p>
      <w:pPr>
        <w:pStyle w:val="ListParagraph"/>
        <w:numPr>
          <w:ilvl w:val="0"/>
          <w:numId w:val="2"/>
        </w:numPr>
        <w:spacing w:after="80" w:line="290"/>
      </w:pPr>
      <w:r>
        <w:rPr>
          <w:rFonts w:ascii="Arial" w:cs="Arial" w:eastAsia="Arial" w:hAnsi="Arial"/>
        </w:rPr>
        <w:t xml:space="preserve">Save the output files and a screenshot of the summary.</w:t>
      </w:r>
    </w:p>
    <w:p>
      <w:pPr>
        <w:pStyle w:val="Heading2"/>
        <w:spacing w:after="120" w:before="220"/>
      </w:pPr>
      <w:r>
        <w:rPr>
          <w:rFonts w:ascii="Arial" w:cs="Arial" w:eastAsia="Arial" w:hAnsi="Arial"/>
          <w:b/>
          <w:bCs/>
          <w:sz w:val="24"/>
          <w:szCs w:val="24"/>
        </w:rPr>
        <w:t xml:space="preserve">2.1 Vulnerability Assessment</w:t>
      </w:r>
    </w:p>
    <w:p>
      <w:pPr>
        <w:spacing w:after="140" w:line="300"/>
      </w:pPr>
      <w:r>
        <w:rPr>
          <w:rFonts w:ascii="Arial" w:cs="Arial" w:eastAsia="Arial" w:hAnsi="Arial"/>
        </w:rPr>
        <w:t xml:space="preserve">The assessment covers everything the group runs: the Python scripts, the Python packages in the test environment, the Ubuntu packages under WSL and SpamAssassin with its rules. The hosting platforms (GitHub, OneDrive and Streamlit Community Cloud) are run by their providers and are outside the scope. Findings are graded by the scanner's own severity, from low to critical.</w:t>
      </w:r>
    </w:p>
    <w:p>
      <w:pPr>
        <w:shd w:fill="F2F2F2" w:val="clear"/>
        <w:spacing w:after="0"/>
        <w:ind w:left="200" w:right="200"/>
      </w:pPr>
      <w:r>
        <w:rPr>
          <w:rFonts w:ascii="Consolas" w:cs="Consolas" w:eastAsia="Consolas" w:hAnsi="Consolas"/>
          <w:sz w:val="17"/>
          <w:szCs w:val="17"/>
        </w:rPr>
        <w:t xml:space="preserve"># inside the activated test environment, in the project folder</w:t>
      </w:r>
    </w:p>
    <w:p>
      <w:pPr>
        <w:shd w:fill="F2F2F2" w:val="clear"/>
        <w:spacing w:after="0"/>
        <w:ind w:left="200" w:right="200"/>
      </w:pPr>
      <w:r>
        <w:rPr>
          <w:rFonts w:ascii="Consolas" w:cs="Consolas" w:eastAsia="Consolas" w:hAnsi="Consolas"/>
          <w:sz w:val="17"/>
          <w:szCs w:val="17"/>
        </w:rPr>
        <w:t xml:space="preserve">pip install bandit pip-audit</w:t>
      </w:r>
    </w:p>
    <w:p>
      <w:pPr>
        <w:shd w:fill="F2F2F2" w:val="clear"/>
        <w:spacing w:after="0"/>
        <w:ind w:left="200" w:right="200"/>
      </w:pPr>
      <w:r>
        <w:rPr>
          <w:rFonts w:ascii="Consolas" w:cs="Consolas" w:eastAsia="Consolas" w:hAnsi="Consolas"/>
          <w:sz w:val="17"/>
          <w:szCs w:val="17"/>
        </w:rPr>
        <w:t xml:space="preserve">bandit -r . -f txt -o bandit.txt        # Python code scan</w:t>
      </w:r>
    </w:p>
    <w:p>
      <w:pPr>
        <w:shd w:fill="F2F2F2" w:val="clear"/>
        <w:spacing w:after="0"/>
        <w:ind w:left="200" w:right="200"/>
      </w:pPr>
      <w:r>
        <w:rPr>
          <w:rFonts w:ascii="Consolas" w:cs="Consolas" w:eastAsia="Consolas" w:hAnsi="Consolas"/>
          <w:sz w:val="17"/>
          <w:szCs w:val="17"/>
        </w:rPr>
        <w:t xml:space="preserve">pip-audit -o pip-audit.txt               # known CVEs in installed packages</w:t>
      </w:r>
    </w:p>
    <w:p>
      <w:pPr>
        <w:shd w:fill="F2F2F2" w:val="clear"/>
        <w:spacing w:after="0"/>
        <w:ind w:left="200" w:right="200"/>
      </w:pPr>
      <w:r>
        <w:rPr>
          <w:rFonts w:ascii="Consolas" w:cs="Consolas" w:eastAsia="Consolas" w:hAnsi="Consolas"/>
          <w:sz w:val="17"/>
          <w:szCs w:val="17"/>
        </w:rPr>
        <w:t xml:space="preserve">apt list --upgradable 2&gt;/dev/null | wc -l   # Ubuntu packages behind</w:t>
      </w:r>
    </w:p>
    <w:p>
      <w:pPr>
        <w:shd w:fill="F2F2F2" w:val="clear"/>
        <w:spacing w:after="160"/>
        <w:ind w:left="200" w:right="200"/>
      </w:pPr>
      <w:r>
        <w:rPr>
          <w:rFonts w:ascii="Consolas" w:cs="Consolas" w:eastAsia="Consolas" w:hAnsi="Consolas"/>
          <w:sz w:val="17"/>
          <w:szCs w:val="17"/>
        </w:rPr>
        <w:t xml:space="preserve">spamassassin -V                          # version in use</w:t>
      </w:r>
    </w:p>
    <w:p>
      <w:pPr>
        <w:spacing w:after="140" w:line="300"/>
      </w:pPr>
      <w:r>
        <w:rPr>
          <w:rFonts w:ascii="Arial" w:cs="Arial" w:eastAsia="Arial" w:hAnsi="Arial"/>
        </w:rPr>
        <w:t xml:space="preserve">A manual review was done first. </w:t>
      </w:r>
      <w:r>
        <w:rPr>
          <w:rFonts w:ascii="Consolas" w:cs="Consolas" w:eastAsia="Consolas" w:hAnsi="Consolas"/>
          <w:sz w:val="19"/>
          <w:szCs w:val="19"/>
        </w:rPr>
        <w:t xml:space="preserve">run_baseline.py</w:t>
      </w:r>
      <w:r>
        <w:rPr>
          <w:rFonts w:ascii="Arial" w:cs="Arial" w:eastAsia="Arial" w:hAnsi="Arial"/>
        </w:rPr>
        <w:t xml:space="preserve"> calls SpamAssassin through </w:t>
      </w:r>
      <w:r>
        <w:rPr>
          <w:rFonts w:ascii="Consolas" w:cs="Consolas" w:eastAsia="Consolas" w:hAnsi="Consolas"/>
          <w:sz w:val="19"/>
          <w:szCs w:val="19"/>
        </w:rPr>
        <w:t xml:space="preserve">subprocess</w:t>
      </w:r>
      <w:r>
        <w:rPr>
          <w:rFonts w:ascii="Arial" w:cs="Arial" w:eastAsia="Arial" w:hAnsi="Arial"/>
        </w:rPr>
        <w:t xml:space="preserve"> with a list of arguments and no shell, so text inside an email can never be run as a command. Bandit flags any use of </w:t>
      </w:r>
      <w:r>
        <w:rPr>
          <w:rFonts w:ascii="Consolas" w:cs="Consolas" w:eastAsia="Consolas" w:hAnsi="Consolas"/>
          <w:sz w:val="19"/>
          <w:szCs w:val="19"/>
        </w:rPr>
        <w:t xml:space="preserve">subprocess</w:t>
      </w:r>
      <w:r>
        <w:rPr>
          <w:rFonts w:ascii="Arial" w:cs="Arial" w:eastAsia="Arial" w:hAnsi="Arial"/>
        </w:rPr>
        <w:t xml:space="preserve"> as low severity, so those flags are expected and were checked by hand rather than ignored (PyCQA, no date).</w:t>
      </w:r>
    </w:p>
    <w:p>
      <w:pPr>
        <w:keepNext/>
        <w:spacing w:after="60" w:before="120"/>
      </w:pPr>
      <w:r>
        <w:rPr>
          <w:rFonts w:ascii="Arial" w:cs="Arial" w:eastAsia="Arial" w:hAnsi="Arial"/>
          <w:i/>
          <w:iCs/>
          <w:color w:val="404040"/>
          <w:sz w:val="18"/>
          <w:szCs w:val="18"/>
        </w:rPr>
        <w:t xml:space="preserve">Table 4: Vulnerability assessment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500"/>
        <w:gridCol w:w="1500"/>
        <w:gridCol w:w="2026"/>
      </w:tblGrid>
      <w:tr>
        <w:trPr>
          <w:cantSplit/>
          <w:tblHeader/>
        </w:trPr>
        <w:tc>
          <w:tcPr>
            <w:tcW w:type="dxa" w:w="22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Asset</w:t>
            </w:r>
          </w:p>
        </w:tc>
        <w:tc>
          <w:tcPr>
            <w:tcW w:type="dxa" w:w="18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Tool</w:t>
            </w:r>
          </w:p>
        </w:tc>
        <w:tc>
          <w:tcPr>
            <w:tcW w:type="dxa" w:w="15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Findings</w:t>
            </w:r>
          </w:p>
        </w:tc>
        <w:tc>
          <w:tcPr>
            <w:tcW w:type="dxa" w:w="15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Highest severity</w:t>
            </w:r>
          </w:p>
        </w:tc>
        <w:tc>
          <w:tcPr>
            <w:tcW w:type="dxa" w:w="20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Action</w:t>
            </w:r>
          </w:p>
        </w:tc>
      </w:tr>
      <w:tr>
        <w:trPr>
          <w:cantSplit/>
          <w:tblHeader w:val="off"/>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Python scripts</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Bandit</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[n]</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[Low]</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[Reviewed: subprocess with list arguments, no shell]</w:t>
            </w:r>
          </w:p>
        </w:tc>
      </w:tr>
      <w:tr>
        <w:trPr>
          <w:cantSplit/>
          <w:tblHeader w:val="off"/>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Python packages</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pip-audit</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[n]</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 ]</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[Upgrade and rerun, or none needed]</w:t>
            </w:r>
          </w:p>
        </w:tc>
      </w:tr>
      <w:tr>
        <w:trPr>
          <w:cantSplit/>
          <w:tblHeader w:val="off"/>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Ubuntu under WSL</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apt</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[n pending]</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 ]</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[apt upgrade, then 0 pending]</w:t>
            </w:r>
          </w:p>
        </w:tc>
      </w:tr>
      <w:tr>
        <w:trPr>
          <w:cantSplit/>
          <w:tblHeader w:val="off"/>
        </w:trPr>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SpamAssassin</w:t>
            </w:r>
          </w:p>
        </w:tc>
        <w:tc>
          <w:tcPr>
            <w:tcW w:type="dxa" w:w="1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Version check</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4.0.2</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[None known]</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Rules updated before testing</w:t>
            </w:r>
          </w:p>
        </w:tc>
      </w:tr>
    </w:tbl>
    <w:p>
      <w:pPr>
        <w:spacing w:after="80"/>
      </w:pPr>
    </w:p>
    <w:p>
      <w:pPr>
        <w:keepNext/>
        <w:pBdr>
          <w:top w:val="single" w:color="8C8C8C" w:sz="4"/>
          <w:left w:val="single" w:color="8C8C8C" w:sz="4"/>
          <w:bottom w:val="single" w:color="8C8C8C" w:sz="4"/>
          <w:right w:val="single" w:color="8C8C8C" w:sz="4"/>
        </w:pBdr>
        <w:spacing w:after="40" w:before="120"/>
        <w:ind w:left="900" w:right="900"/>
        <w:jc w:val="center"/>
      </w:pPr>
      <w:r>
        <w:rPr>
          <w:rFonts w:ascii="Arial" w:cs="Arial" w:eastAsia="Arial" w:hAnsi="Arial"/>
          <w:highlight w:val="yellow"/>
        </w:rPr>
        <w:t xml:space="preserve">[Insert screenshot: Bandit and pip-audit output]</w:t>
      </w:r>
    </w:p>
    <w:p>
      <w:pPr>
        <w:keepNext w:val="false"/>
        <w:spacing w:after="200" w:before="60"/>
      </w:pPr>
      <w:r>
        <w:rPr>
          <w:rFonts w:ascii="Arial" w:cs="Arial" w:eastAsia="Arial" w:hAnsi="Arial"/>
          <w:i/>
          <w:iCs/>
          <w:color w:val="404040"/>
          <w:sz w:val="18"/>
          <w:szCs w:val="18"/>
        </w:rPr>
        <w:t xml:space="preserve">Figure 1: Bandit and pip-audit scan output</w:t>
      </w:r>
    </w:p>
    <w:p>
      <w:pPr>
        <w:pStyle w:val="Heading2"/>
        <w:spacing w:after="120" w:before="220"/>
      </w:pPr>
      <w:r>
        <w:rPr>
          <w:rFonts w:ascii="Arial" w:cs="Arial" w:eastAsia="Arial" w:hAnsi="Arial"/>
          <w:b/>
          <w:bCs/>
          <w:sz w:val="24"/>
          <w:szCs w:val="24"/>
        </w:rPr>
        <w:t xml:space="preserve">2.2 Penetration Testing (Ethical Hacking)</w:t>
      </w:r>
    </w:p>
    <w:p>
      <w:pPr>
        <w:spacing w:after="140" w:line="300"/>
      </w:pPr>
      <w:r>
        <w:rPr>
          <w:rFonts w:ascii="Arial" w:cs="Arial" w:eastAsia="Arial" w:hAnsi="Arial"/>
        </w:rPr>
        <w:t xml:space="preserve">Testing was limited to what the group owns: the scripts and the test laptops. GitHub, OneDrive and Streamlit Community Cloud were not attacked, because their terms do not allow it. The tests follow the input validation section of the OWASP Web Security Testing Guide (OWASP Foundation, no date). No new phishing text was written. The evasion test only adds invisible characters to emails that are already in the public corpora.</w:t>
      </w:r>
    </w:p>
    <w:p>
      <w:pPr>
        <w:spacing w:after="140" w:line="300"/>
      </w:pPr>
      <w:r>
        <w:rPr>
          <w:rFonts w:ascii="Arial" w:cs="Arial" w:eastAsia="Arial" w:hAnsi="Arial"/>
        </w:rPr>
        <w:t xml:space="preserve">Two questions were tested. Can an attacker get phishing past the filter without changing what the reader sees? And can a hostile record crash the harness or run code on the tester's laptop? The script </w:t>
      </w:r>
      <w:r>
        <w:rPr>
          <w:rFonts w:ascii="Consolas" w:cs="Consolas" w:eastAsia="Consolas" w:hAnsi="Consolas"/>
          <w:sz w:val="19"/>
          <w:szCs w:val="19"/>
        </w:rPr>
        <w:t xml:space="preserve">make_attack_set.py</w:t>
      </w:r>
      <w:r>
        <w:rPr>
          <w:rFonts w:ascii="Arial" w:cs="Arial" w:eastAsia="Arial" w:hAnsi="Arial"/>
        </w:rPr>
        <w:t xml:space="preserve"> builds both test sets from the English batch.</w:t>
      </w:r>
    </w:p>
    <w:p>
      <w:pPr>
        <w:keepNext/>
        <w:spacing w:after="60" w:before="120"/>
      </w:pPr>
      <w:r>
        <w:rPr>
          <w:rFonts w:ascii="Arial" w:cs="Arial" w:eastAsia="Arial" w:hAnsi="Arial"/>
          <w:i/>
          <w:iCs/>
          <w:color w:val="404040"/>
          <w:sz w:val="18"/>
          <w:szCs w:val="18"/>
        </w:rPr>
        <w:t xml:space="preserve">Table 5: Penetration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2500"/>
        <w:gridCol w:w="1100"/>
        <w:gridCol w:w="2400"/>
        <w:gridCol w:w="2226"/>
      </w:tblGrid>
      <w:tr>
        <w:trPr>
          <w:cantSplit/>
          <w:tblHeader/>
        </w:trPr>
        <w:tc>
          <w:tcPr>
            <w:tcW w:type="dxa" w:w="8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ID</w:t>
            </w:r>
          </w:p>
        </w:tc>
        <w:tc>
          <w:tcPr>
            <w:tcW w:type="dxa" w:w="25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Attack</w:t>
            </w:r>
          </w:p>
        </w:tc>
        <w:tc>
          <w:tcPr>
            <w:tcW w:type="dxa" w:w="11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Threat</w:t>
            </w:r>
          </w:p>
        </w:tc>
        <w:tc>
          <w:tcPr>
            <w:tcW w:type="dxa" w:w="24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Safe outcome</w:t>
            </w:r>
          </w:p>
        </w:tc>
        <w:tc>
          <w:tcPr>
            <w:tcW w:type="dxa" w:w="22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Result</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PT-01</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Zero-width spaces hidden inside every long word of each English phishing email</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TH-02</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Not a pass or fail test; any score drop is a finding</w:t>
            </w:r>
          </w:p>
        </w:tc>
        <w:tc>
          <w:tcPr>
            <w:tcW w:type="dxa" w:w="2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[Phishing scores fell for n of 57; Wilcoxon p = ]</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PT-02</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Body of 32,000 characters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TH-05</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Scored or stopped at 60 s, run continues</w:t>
            </w:r>
          </w:p>
        </w:tc>
        <w:tc>
          <w:tcPr>
            <w:tcW w:type="dxa" w:w="2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 ]</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PT-03</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New line plus a Bcc header inside the subject</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TH-02</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Header kept on one line, no extra header</w:t>
            </w:r>
          </w:p>
        </w:tc>
        <w:tc>
          <w:tcPr>
            <w:tcW w:type="dxa" w:w="2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 ]</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PT-04</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Spreadsheet formula in the body</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TH-02</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Stored and shown as plain text</w:t>
            </w:r>
          </w:p>
        </w:tc>
        <w:tc>
          <w:tcPr>
            <w:tcW w:type="dxa" w:w="2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 ]</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PT-05</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Empty record</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TH-05</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Clean error, run continues</w:t>
            </w:r>
          </w:p>
        </w:tc>
        <w:tc>
          <w:tcPr>
            <w:tcW w:type="dxa" w:w="2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 ]</w:t>
            </w:r>
          </w:p>
        </w:tc>
      </w:tr>
      <w:tr>
        <w:trPr>
          <w:cantSplit/>
          <w:tblHeader w:val="off"/>
        </w:trPr>
        <w:tc>
          <w:tcPr>
            <w:tcW w:type="dxa" w:w="8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PT-06</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One word of 20,000 letters</w:t>
            </w:r>
          </w:p>
        </w:tc>
        <w:tc>
          <w:tcPr>
            <w:tcW w:type="dxa" w:w="1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TH-05</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Scored or stopped at 60 s</w:t>
            </w:r>
          </w:p>
        </w:tc>
        <w:tc>
          <w:tcPr>
            <w:tcW w:type="dxa" w:w="2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 ]</w:t>
            </w:r>
          </w:p>
        </w:tc>
      </w:tr>
    </w:tbl>
    <w:p>
      <w:pPr>
        <w:spacing w:after="80"/>
      </w:pPr>
    </w:p>
    <w:p>
      <w:pPr>
        <w:spacing w:after="140" w:line="300"/>
      </w:pPr>
      <w:r>
        <w:rPr>
          <w:rFonts w:ascii="Arial" w:cs="Arial" w:eastAsia="Arial" w:hAnsi="Arial"/>
        </w:rPr>
        <w:t xml:space="preserve">PT-01 matters most for the research. SpamAssassin's wording rules match fixed English phrases, so hiding a character inside a word should have the same effect as translating it. If scores drop, the weakness is in how the rules match text, not only in which languages they cover. Deliverable 4 planned Unicode normalisation in Arm C for this reason (Unicode Consortium, no date). </w:t>
      </w:r>
      <w:r>
        <w:rPr>
          <w:rFonts w:ascii="Arial" w:cs="Arial" w:eastAsia="Arial" w:hAnsi="Arial"/>
          <w:highlight w:val="yellow"/>
        </w:rPr>
        <w:t xml:space="preserve">[If a dashboard is deployed by the time of submission, add an OWASP ZAP baseline scan of the group's own app here.]</w:t>
      </w:r>
    </w:p>
    <w:p>
      <w:pPr>
        <w:pStyle w:val="Heading2"/>
        <w:spacing w:after="120" w:before="220"/>
      </w:pPr>
      <w:r>
        <w:rPr>
          <w:rFonts w:ascii="Arial" w:cs="Arial" w:eastAsia="Arial" w:hAnsi="Arial"/>
          <w:b/>
          <w:bCs/>
          <w:sz w:val="24"/>
          <w:szCs w:val="24"/>
        </w:rPr>
        <w:t xml:space="preserve">2.3 Configuration Audits</w:t>
      </w:r>
    </w:p>
    <w:p>
      <w:pPr>
        <w:spacing w:after="140" w:line="300"/>
      </w:pPr>
      <w:r>
        <w:rPr>
          <w:rFonts w:ascii="Arial" w:cs="Arial" w:eastAsia="Arial" w:hAnsi="Arial"/>
        </w:rPr>
        <w:t xml:space="preserve">Each setting from the Deliverable 4 hardening baseline was checked against the live system. Table 6 gives the result.</w:t>
      </w:r>
    </w:p>
    <w:p>
      <w:pPr>
        <w:keepNext/>
        <w:spacing w:after="60" w:before="120"/>
      </w:pPr>
      <w:r>
        <w:rPr>
          <w:rFonts w:ascii="Arial" w:cs="Arial" w:eastAsia="Arial" w:hAnsi="Arial"/>
          <w:i/>
          <w:iCs/>
          <w:color w:val="404040"/>
          <w:sz w:val="18"/>
          <w:szCs w:val="18"/>
        </w:rPr>
        <w:t xml:space="preserve">Table 6: Configuration 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200"/>
        <w:gridCol w:w="1826"/>
      </w:tblGrid>
      <w:tr>
        <w:trPr>
          <w:cantSplit/>
          <w:tblHeader/>
        </w:trPr>
        <w:tc>
          <w:tcPr>
            <w:tcW w:type="dxa" w:w="26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Item</w:t>
            </w:r>
          </w:p>
        </w:tc>
        <w:tc>
          <w:tcPr>
            <w:tcW w:type="dxa" w:w="24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Required (Deliverable 4)</w:t>
            </w:r>
          </w:p>
        </w:tc>
        <w:tc>
          <w:tcPr>
            <w:tcW w:type="dxa" w:w="22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How checked</w:t>
            </w:r>
          </w:p>
        </w:tc>
        <w:tc>
          <w:tcPr>
            <w:tcW w:type="dxa" w:w="18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Result</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Spam threshold</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required_score 5.0</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local.cf</w:t>
            </w:r>
          </w:p>
        </w:tc>
        <w:tc>
          <w:tcPr>
            <w:tcW w:type="dxa" w:w="18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Set</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Bayes learning</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use_bayes 0</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local.cf</w:t>
            </w:r>
          </w:p>
        </w:tc>
        <w:tc>
          <w:tcPr>
            <w:tcW w:type="dxa" w:w="18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Set</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Online blocklists</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skip_rbl_checks 1</w:t>
            </w:r>
            <w:r>
              <w:rPr>
                <w:rFonts w:ascii="Arial" w:cs="Arial" w:eastAsia="Arial" w:hAnsi="Arial"/>
                <w:sz w:val="18"/>
                <w:szCs w:val="18"/>
              </w:rPr>
              <w:t xml:space="preserve"> and </w:t>
            </w:r>
            <w:r>
              <w:rPr>
                <w:rFonts w:ascii="Consolas" w:cs="Consolas" w:eastAsia="Consolas" w:hAnsi="Consolas"/>
                <w:sz w:val="18"/>
                <w:szCs w:val="18"/>
              </w:rPr>
              <w:t xml:space="preserve">-L</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local.cf</w:t>
            </w:r>
            <w:r>
              <w:rPr>
                <w:rFonts w:ascii="Arial" w:cs="Arial" w:eastAsia="Arial" w:hAnsi="Arial"/>
                <w:sz w:val="18"/>
                <w:szCs w:val="18"/>
              </w:rPr>
              <w:t xml:space="preserve">, script</w:t>
            </w:r>
          </w:p>
        </w:tc>
        <w:tc>
          <w:tcPr>
            <w:tcW w:type="dxa" w:w="18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Set</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Rule set</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Installed and identical for all languages</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GTUBE check; one session</w:t>
            </w:r>
          </w:p>
        </w:tc>
        <w:tc>
          <w:tcPr>
            <w:tcW w:type="dxa" w:w="18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Pass</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Config syntax</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No errors</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spamassassin --lint</w:t>
            </w:r>
          </w:p>
        </w:tc>
        <w:tc>
          <w:tcPr>
            <w:tcW w:type="dxa" w:w="18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[Pass]</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Ubuntu packages</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 pending</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apt list --upgradable</w:t>
            </w:r>
          </w:p>
        </w:tc>
        <w:tc>
          <w:tcPr>
            <w:tcW w:type="dxa" w:w="18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 ]</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Python packages</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Pinned</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requirements.txt</w:t>
            </w:r>
          </w:p>
        </w:tc>
        <w:tc>
          <w:tcPr>
            <w:tcW w:type="dxa" w:w="18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[To add]</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Repository</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Private, main branch protected, 2FA</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GitHub settings</w:t>
            </w:r>
          </w:p>
        </w:tc>
        <w:tc>
          <w:tcPr>
            <w:tcW w:type="dxa" w:w="18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[Confirm]</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Dataset folder</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Group members only, MFA</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OneDrive sharing</w:t>
            </w:r>
          </w:p>
        </w:tc>
        <w:tc>
          <w:tcPr>
            <w:tcW w:type="dxa" w:w="18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[Confirm]</w:t>
            </w:r>
          </w:p>
        </w:tc>
      </w:tr>
      <w:tr>
        <w:trPr>
          <w:cantSplit/>
          <w:tblHeader w:val="off"/>
        </w:trPr>
        <w:tc>
          <w:tcPr>
            <w:tcW w:type="dxa" w:w="2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Laptops</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Firewall and antivirus on</w:t>
            </w:r>
          </w:p>
        </w:tc>
        <w:tc>
          <w:tcPr>
            <w:tcW w:type="dxa" w:w="22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Windows Security</w:t>
            </w:r>
          </w:p>
        </w:tc>
        <w:tc>
          <w:tcPr>
            <w:tcW w:type="dxa" w:w="18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[Confirm per member]</w:t>
            </w:r>
          </w:p>
        </w:tc>
      </w:tr>
    </w:tbl>
    <w:p>
      <w:pPr>
        <w:spacing w:after="80"/>
      </w:pPr>
    </w:p>
    <w:p>
      <w:pPr>
        <w:keepNext/>
        <w:pBdr>
          <w:top w:val="single" w:color="8C8C8C" w:sz="4"/>
          <w:left w:val="single" w:color="8C8C8C" w:sz="4"/>
          <w:bottom w:val="single" w:color="8C8C8C" w:sz="4"/>
          <w:right w:val="single" w:color="8C8C8C" w:sz="4"/>
        </w:pBdr>
        <w:spacing w:after="40" w:before="120"/>
        <w:ind w:left="900" w:right="900"/>
        <w:jc w:val="center"/>
      </w:pPr>
      <w:r>
        <w:rPr>
          <w:rFonts w:ascii="Arial" w:cs="Arial" w:eastAsia="Arial" w:hAnsi="Arial"/>
          <w:highlight w:val="yellow"/>
        </w:rPr>
        <w:t xml:space="preserve">[Insert screenshot: `local.cf` settings and `spamassassin --lint`]</w:t>
      </w:r>
    </w:p>
    <w:p>
      <w:pPr>
        <w:keepNext w:val="false"/>
        <w:spacing w:after="200" w:before="60"/>
      </w:pPr>
      <w:r>
        <w:rPr>
          <w:rFonts w:ascii="Arial" w:cs="Arial" w:eastAsia="Arial" w:hAnsi="Arial"/>
          <w:i/>
          <w:iCs/>
          <w:color w:val="404040"/>
          <w:sz w:val="18"/>
          <w:szCs w:val="18"/>
        </w:rPr>
        <w:t xml:space="preserve">Figure 2: SpamAssassin configuration and lint check</w:t>
      </w:r>
    </w:p>
    <w:p>
      <w:pPr>
        <w:pStyle w:val="Heading2"/>
        <w:spacing w:after="120" w:before="220"/>
      </w:pPr>
      <w:r>
        <w:rPr>
          <w:rFonts w:ascii="Arial" w:cs="Arial" w:eastAsia="Arial" w:hAnsi="Arial"/>
          <w:b/>
          <w:bCs/>
          <w:sz w:val="24"/>
          <w:szCs w:val="24"/>
        </w:rPr>
        <w:t xml:space="preserve">2.4 Incident Response Testing</w:t>
      </w:r>
    </w:p>
    <w:p>
      <w:pPr>
        <w:spacing w:after="140" w:line="300"/>
      </w:pPr>
      <w:r>
        <w:rPr>
          <w:rFonts w:ascii="Arial" w:cs="Arial" w:eastAsia="Arial" w:hAnsi="Arial"/>
        </w:rPr>
        <w:t xml:space="preserve">A full simulated attack makes little sense for a prototype this size, so the group ran a tabletop exercise on the three incidents in the Deliverable 4 plan, following the detect, respond and recover steps in NIST SP 800-61r3 (Nelson et al., 2025). One recovery was also tested for real.</w:t>
      </w:r>
    </w:p>
    <w:p>
      <w:pPr>
        <w:keepNext/>
        <w:spacing w:after="60" w:before="120"/>
      </w:pPr>
      <w:r>
        <w:rPr>
          <w:rFonts w:ascii="Arial" w:cs="Arial" w:eastAsia="Arial" w:hAnsi="Arial"/>
          <w:i/>
          <w:iCs/>
          <w:color w:val="404040"/>
          <w:sz w:val="18"/>
          <w:szCs w:val="18"/>
        </w:rPr>
        <w:t xml:space="preserve">Table 7: Incident response tests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100"/>
        <w:gridCol w:w="2300"/>
        <w:gridCol w:w="2400"/>
        <w:gridCol w:w="2226"/>
      </w:tblGrid>
      <w:tr>
        <w:trPr>
          <w:cantSplit/>
          <w:tblHeader/>
        </w:trPr>
        <w:tc>
          <w:tcPr>
            <w:tcW w:type="dxa" w:w="21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Incident</w:t>
            </w:r>
          </w:p>
        </w:tc>
        <w:tc>
          <w:tcPr>
            <w:tcW w:type="dxa" w:w="23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Inject</w:t>
            </w:r>
          </w:p>
        </w:tc>
        <w:tc>
          <w:tcPr>
            <w:tcW w:type="dxa" w:w="24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Expected response</w:t>
            </w:r>
          </w:p>
        </w:tc>
        <w:tc>
          <w:tcPr>
            <w:tcW w:type="dxa" w:w="22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Outcome</w:t>
            </w:r>
          </w:p>
        </w:tc>
      </w:tr>
      <w:tr>
        <w:trPr>
          <w:cantSplit/>
          <w:tblHeader w:val="off"/>
        </w:trPr>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Dataset shared outside the group</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 member reports a public OneDrive link</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Remove the link, revoke access, check what was exposed</w:t>
            </w:r>
          </w:p>
        </w:tc>
        <w:tc>
          <w:tcPr>
            <w:tcW w:type="dxa" w:w="2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[Tabletop: time to contain, gaps found]</w:t>
            </w:r>
          </w:p>
        </w:tc>
      </w:tr>
      <w:tr>
        <w:trPr>
          <w:cantSplit/>
          <w:tblHeader w:val="off"/>
        </w:trPr>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Results edited by hand</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 number in the report does not match the CSV</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Freeze results, rerun from the spreadsheets</w:t>
            </w:r>
          </w:p>
        </w:tc>
        <w:tc>
          <w:tcPr>
            <w:tcW w:type="dxa" w:w="2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Tested live: pilot results deleted and rebuilt, every score identical. Pass</w:t>
            </w:r>
          </w:p>
        </w:tc>
      </w:tr>
      <w:tr>
        <w:trPr>
          <w:cantSplit/>
          <w:tblHeader w:val="off"/>
        </w:trPr>
        <w:tc>
          <w:tcPr>
            <w:tcW w:type="dxa" w:w="21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Token or password leaked</w:t>
            </w:r>
          </w:p>
        </w:tc>
        <w:tc>
          <w:tcPr>
            <w:tcW w:type="dxa" w:w="2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GitHub secret scanning alert</w:t>
            </w:r>
          </w:p>
        </w:tc>
        <w:tc>
          <w:tcPr>
            <w:tcW w:type="dxa" w:w="2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Revoke and replace the secret, check the logs</w:t>
            </w:r>
          </w:p>
        </w:tc>
        <w:tc>
          <w:tcPr>
            <w:tcW w:type="dxa" w:w="2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[Tabletop: time to contain, gaps found]</w:t>
            </w:r>
          </w:p>
        </w:tc>
      </w:tr>
    </w:tbl>
    <w:p>
      <w:pPr>
        <w:spacing w:after="80"/>
      </w:pPr>
    </w:p>
    <w:p>
      <w:pPr>
        <w:spacing w:after="140" w:line="300"/>
      </w:pPr>
      <w:r>
        <w:rPr>
          <w:rFonts w:ascii="Arial" w:cs="Arial" w:eastAsia="Arial" w:hAnsi="Arial"/>
          <w:highlight w:val="yellow"/>
        </w:rPr>
        <w:t xml:space="preserve">[Record the tabletop date, who took part and one thing the group would change in the plan.]</w:t>
      </w:r>
    </w:p>
    <w:p>
      <w:pPr>
        <w:pStyle w:val="Heading2"/>
        <w:spacing w:after="120" w:before="220"/>
      </w:pPr>
      <w:r>
        <w:rPr>
          <w:rFonts w:ascii="Arial" w:cs="Arial" w:eastAsia="Arial" w:hAnsi="Arial"/>
          <w:b/>
          <w:bCs/>
          <w:sz w:val="24"/>
          <w:szCs w:val="24"/>
        </w:rPr>
        <w:t xml:space="preserve">2.5 Compliance and Regulatory Testing</w:t>
      </w:r>
    </w:p>
    <w:p>
      <w:pPr>
        <w:spacing w:after="140" w:line="300"/>
      </w:pPr>
      <w:r>
        <w:rPr>
          <w:rFonts w:ascii="Arial" w:cs="Arial" w:eastAsia="Arial" w:hAnsi="Arial"/>
        </w:rPr>
        <w:t xml:space="preserve">Each law and standard the template names was checked against the prototype. Table 8 maps the requirement to the control and the evidence.</w:t>
      </w:r>
    </w:p>
    <w:p>
      <w:pPr>
        <w:keepNext/>
        <w:spacing w:after="60" w:before="120"/>
      </w:pPr>
      <w:r>
        <w:rPr>
          <w:rFonts w:ascii="Arial" w:cs="Arial" w:eastAsia="Arial" w:hAnsi="Arial"/>
          <w:i/>
          <w:iCs/>
          <w:color w:val="404040"/>
          <w:sz w:val="18"/>
          <w:szCs w:val="18"/>
        </w:rPr>
        <w:t xml:space="preserve">Table 8: Compliance mapping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2700"/>
        <w:gridCol w:w="2126"/>
      </w:tblGrid>
      <w:tr>
        <w:trPr>
          <w:cantSplit/>
          <w:tblHeader/>
        </w:trPr>
        <w:tc>
          <w:tcPr>
            <w:tcW w:type="dxa" w:w="17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Law or standard</w:t>
            </w:r>
          </w:p>
        </w:tc>
        <w:tc>
          <w:tcPr>
            <w:tcW w:type="dxa" w:w="25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Requirement</w:t>
            </w:r>
          </w:p>
        </w:tc>
        <w:tc>
          <w:tcPr>
            <w:tcW w:type="dxa" w:w="27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How the prototype meets it</w:t>
            </w:r>
          </w:p>
        </w:tc>
        <w:tc>
          <w:tcPr>
            <w:tcW w:type="dxa" w:w="21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Status</w:t>
            </w:r>
          </w:p>
        </w:tc>
      </w:tr>
      <w:tr>
        <w:trPr>
          <w:cantSplit/>
          <w:tblHeader w:val="off"/>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POPIA</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Further processing for research is allowed (section 15(3)(e)); keep only what is needed (section 10); secure the data (section 19)</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Only public research corpora used; only the fields needed are kept; restricted storage with MFA; dashboard shows totals only (Republic of South Africa, 2013)</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Met </w:t>
            </w:r>
            <w:r>
              <w:rPr>
                <w:rFonts w:ascii="Arial" w:cs="Arial" w:eastAsia="Arial" w:hAnsi="Arial"/>
                <w:sz w:val="18"/>
                <w:szCs w:val="18"/>
                <w:highlight w:val="yellow"/>
              </w:rPr>
              <w:t xml:space="preserve">[storage screenshot]</w:t>
            </w:r>
          </w:p>
        </w:tc>
      </w:tr>
      <w:tr>
        <w:trPr>
          <w:cantSplit/>
          <w:tblHeader w:val="off"/>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ECTA</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Electronic records must be reliable and their integrity kept</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Results come only from script runs, kept with Git history; rerun gives identical results (Republic of South Africa, 2002)</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Met</w:t>
            </w:r>
          </w:p>
        </w:tc>
      </w:tr>
      <w:tr>
        <w:trPr>
          <w:cantSplit/>
          <w:tblHeader w:val="off"/>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Cybercrimes Act</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No unlawful access to or interception of data (sections 2 and 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Testing confined to the group's own laptops and scripts; no outside system scanned; no link in a sample is opened (Republic of South Africa, 2020)</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Met</w:t>
            </w:r>
          </w:p>
        </w:tc>
      </w:tr>
      <w:tr>
        <w:trPr>
          <w:cantSplit/>
          <w:tblHeader w:val="off"/>
        </w:trPr>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PCI DSS</w:t>
            </w:r>
          </w:p>
        </w:tc>
        <w:tc>
          <w:tcPr>
            <w:tcW w:type="dxa" w:w="2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Protect stored cardholder data</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No card data is collected, stored or processed. Card-style text inside public phishing samples is handled as text only (PCI Security Standards Council, no date)</w:t>
            </w:r>
          </w:p>
        </w:tc>
        <w:tc>
          <w:tcPr>
            <w:tcW w:type="dxa" w:w="21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Not applicable</w:t>
            </w:r>
          </w:p>
        </w:tc>
      </w:tr>
    </w:tbl>
    <w:p>
      <w:pPr>
        <w:spacing w:after="80"/>
      </w:pPr>
    </w:p>
    <w:p>
      <w:pPr>
        <w:pStyle w:val="Heading2"/>
        <w:spacing w:after="120" w:before="220"/>
      </w:pPr>
      <w:r>
        <w:rPr>
          <w:rFonts w:ascii="Arial" w:cs="Arial" w:eastAsia="Arial" w:hAnsi="Arial"/>
          <w:b/>
          <w:bCs/>
          <w:sz w:val="24"/>
          <w:szCs w:val="24"/>
        </w:rPr>
        <w:t xml:space="preserve">2.6 User Awareness and Social Engineering Testing</w:t>
      </w:r>
    </w:p>
    <w:p>
      <w:pPr>
        <w:spacing w:after="140" w:line="300"/>
      </w:pPr>
      <w:r>
        <w:rPr>
          <w:rFonts w:ascii="Arial" w:cs="Arial" w:eastAsia="Arial" w:hAnsi="Arial"/>
        </w:rPr>
        <w:t xml:space="preserve">The template asks for phishing simulations against users. The group did not run one. The study has no human participants and no ethics approval for one, and sending fake phishing to real people would need both. </w:t>
      </w:r>
      <w:r>
        <w:rPr>
          <w:rFonts w:ascii="Arial" w:cs="Arial" w:eastAsia="Arial" w:hAnsi="Arial"/>
          <w:highlight w:val="yellow"/>
        </w:rPr>
        <w:t xml:space="preserve">[Attach the lecturer's written confirmation of this exclusion.]</w:t>
      </w:r>
    </w:p>
    <w:p>
      <w:pPr>
        <w:spacing w:after="140" w:line="300"/>
      </w:pPr>
      <w:r>
        <w:rPr>
          <w:rFonts w:ascii="Arial" w:cs="Arial" w:eastAsia="Arial" w:hAnsi="Arial"/>
        </w:rPr>
        <w:t xml:space="preserve">The baseline test was used in its place. It shows what a South African user would actually receive. At SpamAssassin's 5.0 threshold, only 1 to 3 phishing emails per language were caught and the rest would have reached the inbox in every language, English included. So the user is the last line of defence, and the content cues they would rely on are the same English cues the filter loses after translation. That points to awareness training in the languages users read, which section 4 returns to.</w:t>
      </w:r>
    </w:p>
    <w:p>
      <w:pPr>
        <w:pStyle w:val="Heading1"/>
        <w:spacing w:after="160" w:before="240"/>
      </w:pPr>
      <w:r>
        <w:rPr>
          <w:rFonts w:ascii="Arial" w:cs="Arial" w:eastAsia="Arial" w:hAnsi="Arial"/>
          <w:b/>
          <w:bCs/>
          <w:sz w:val="30"/>
          <w:szCs w:val="30"/>
        </w:rPr>
        <w:t xml:space="preserve">3. Results</w:t>
      </w:r>
    </w:p>
    <w:p>
      <w:pPr>
        <w:pStyle w:val="Heading2"/>
        <w:spacing w:after="120" w:before="220"/>
      </w:pPr>
      <w:r>
        <w:rPr>
          <w:rFonts w:ascii="Arial" w:cs="Arial" w:eastAsia="Arial" w:hAnsi="Arial"/>
          <w:b/>
          <w:bCs/>
          <w:sz w:val="24"/>
          <w:szCs w:val="24"/>
        </w:rPr>
        <w:t xml:space="preserve">3.1 Summary of findings</w:t>
      </w:r>
    </w:p>
    <w:p>
      <w:pPr>
        <w:spacing w:after="140" w:line="300"/>
      </w:pPr>
      <w:r>
        <w:rPr>
          <w:rFonts w:ascii="Arial" w:cs="Arial" w:eastAsia="Arial" w:hAnsi="Arial"/>
        </w:rPr>
        <w:t xml:space="preserve">Translation weakened SpamAssassin in all four languages. The rules that stopped working were the ones that read the wording of the email, and they were the same rules in every language. Rules that check the sender and the links were not affected. The Nguni languages added a second, unexpected problem: a rule for unusually long words fired on normal isiXhosa, isiZulu and isiNdebele text, mostly on legitimate mail.</w:t>
      </w:r>
    </w:p>
    <w:p>
      <w:pPr>
        <w:spacing w:after="140" w:line="300"/>
      </w:pPr>
      <w:r>
        <w:rPr>
          <w:rFonts w:ascii="Arial" w:cs="Arial" w:eastAsia="Arial" w:hAnsi="Arial"/>
        </w:rPr>
        <w:t xml:space="preserve">At the 5.0 threshold none of this shows up, because the filter caught almost no phishing in English either. The effect only appears in the scores themselves. That is why the paired tests and ROC-AUC carry the results.</w:t>
      </w:r>
    </w:p>
    <w:p>
      <w:pPr>
        <w:keepNext/>
        <w:spacing w:after="60" w:before="120"/>
      </w:pPr>
      <w:r>
        <w:rPr>
          <w:rFonts w:ascii="Arial" w:cs="Arial" w:eastAsia="Arial" w:hAnsi="Arial"/>
          <w:i/>
          <w:iCs/>
          <w:color w:val="404040"/>
          <w:sz w:val="18"/>
          <w:szCs w:val="18"/>
        </w:rPr>
        <w:t xml:space="preserve">Table 9: Test case status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2700"/>
        <w:gridCol w:w="1400"/>
        <w:gridCol w:w="4026"/>
      </w:tblGrid>
      <w:tr>
        <w:trPr>
          <w:cantSplit/>
          <w:tblHeader/>
        </w:trPr>
        <w:tc>
          <w:tcPr>
            <w:tcW w:type="dxa" w:w="9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ID</w:t>
            </w:r>
          </w:p>
        </w:tc>
        <w:tc>
          <w:tcPr>
            <w:tcW w:type="dxa" w:w="27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Test</w:t>
            </w:r>
          </w:p>
        </w:tc>
        <w:tc>
          <w:tcPr>
            <w:tcW w:type="dxa" w:w="14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Status</w:t>
            </w:r>
          </w:p>
        </w:tc>
        <w:tc>
          <w:tcPr>
            <w:tcW w:type="dxa" w:w="40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Note</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TC-01</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Harness self-check</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Pass</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Run refuses to start without rules; GTUBE flagged</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TC-02</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Dataset integrity</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Partial</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isiNdebele subjects still in English, three isiNdebele and one isiZulu body untranslated</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Reproducibility</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Pass</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Rerun identical</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TC-04 to TC-06</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Baseline, paired and rule tests</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Done</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Section 3.2</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TC-07</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Translation agreement</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Fail</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Afrikaans kappa 0.08; no second reviewer for the other languages</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TC-08</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Arm A and Arm C</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[Pending]</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 ]</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TC-09</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Run time</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 ]</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No timeouts recorded </w:t>
            </w:r>
            <w:r>
              <w:rPr>
                <w:rFonts w:ascii="Arial" w:cs="Arial" w:eastAsia="Arial" w:hAnsi="Arial"/>
                <w:sz w:val="18"/>
                <w:szCs w:val="18"/>
                <w:highlight w:val="yellow"/>
              </w:rPr>
              <w:t xml:space="preserve">[confirm time per batch]</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TC-10 to TC-13</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Security tests</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[Pending]</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Sections 2.1 to 2.3</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TC-14</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Incident response</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Partial</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Live recovery passed; tabletop </w:t>
            </w:r>
            <w:r>
              <w:rPr>
                <w:rFonts w:ascii="Arial" w:cs="Arial" w:eastAsia="Arial" w:hAnsi="Arial"/>
                <w:sz w:val="18"/>
                <w:szCs w:val="18"/>
                <w:highlight w:val="yellow"/>
              </w:rPr>
              <w:t xml:space="preserve">[pending]</w:t>
            </w:r>
          </w:p>
        </w:tc>
      </w:tr>
      <w:tr>
        <w:trPr>
          <w:cantSplit/>
          <w:tblHeader w:val="off"/>
        </w:trPr>
        <w:tc>
          <w:tcPr>
            <w:tcW w:type="dxa" w:w="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TC-15</w:t>
            </w:r>
          </w:p>
        </w:tc>
        <w:tc>
          <w:tcPr>
            <w:tcW w:type="dxa" w:w="2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Compliance</w:t>
            </w:r>
          </w:p>
        </w:tc>
        <w:tc>
          <w:tcPr>
            <w:tcW w:type="dxa" w:w="1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Pass</w:t>
            </w:r>
          </w:p>
        </w:tc>
        <w:tc>
          <w:tcPr>
            <w:tcW w:type="dxa" w:w="4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Section 2.5</w:t>
            </w:r>
          </w:p>
        </w:tc>
      </w:tr>
    </w:tbl>
    <w:p>
      <w:pPr>
        <w:spacing w:after="80"/>
      </w:pPr>
    </w:p>
    <w:p>
      <w:pPr>
        <w:pStyle w:val="Heading2"/>
        <w:spacing w:after="120" w:before="220"/>
      </w:pPr>
      <w:r>
        <w:rPr>
          <w:rFonts w:ascii="Arial" w:cs="Arial" w:eastAsia="Arial" w:hAnsi="Arial"/>
          <w:b/>
          <w:bCs/>
          <w:sz w:val="24"/>
          <w:szCs w:val="24"/>
        </w:rPr>
        <w:t xml:space="preserve">3.2 Performance metrics</w:t>
      </w:r>
    </w:p>
    <w:p>
      <w:pPr>
        <w:spacing w:after="140" w:line="300"/>
      </w:pPr>
      <w:r>
        <w:rPr>
          <w:rFonts w:ascii="Arial" w:cs="Arial" w:eastAsia="Arial" w:hAnsi="Arial"/>
        </w:rPr>
        <w:t xml:space="preserve">Table 10 gives the main metrics. The score changes leave out the </w:t>
      </w:r>
      <w:r>
        <w:rPr>
          <w:rFonts w:ascii="Consolas" w:cs="Consolas" w:eastAsia="Consolas" w:hAnsi="Consolas"/>
          <w:sz w:val="19"/>
          <w:szCs w:val="19"/>
        </w:rPr>
        <w:t xml:space="preserve">LONGWORDS</w:t>
      </w:r>
      <w:r>
        <w:rPr>
          <w:rFonts w:ascii="Arial" w:cs="Arial" w:eastAsia="Arial" w:hAnsi="Arial"/>
        </w:rPr>
        <w:t xml:space="preserve"> rule, which is reported separately below, so that the loss of English wording rules is measured on its own.</w:t>
      </w:r>
    </w:p>
    <w:p>
      <w:pPr>
        <w:keepNext/>
        <w:spacing w:after="60" w:before="120"/>
      </w:pPr>
      <w:r>
        <w:rPr>
          <w:rFonts w:ascii="Arial" w:cs="Arial" w:eastAsia="Arial" w:hAnsi="Arial"/>
          <w:i/>
          <w:iCs/>
          <w:color w:val="404040"/>
          <w:sz w:val="18"/>
          <w:szCs w:val="18"/>
        </w:rPr>
        <w:t xml:space="preserve">Table 10: Baseline results per language (SpamAssassin 4.0.2, threshold 5.0)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000"/>
        <w:gridCol w:w="1500"/>
        <w:gridCol w:w="1050"/>
        <w:gridCol w:w="1350"/>
        <w:gridCol w:w="1300"/>
        <w:gridCol w:w="1326"/>
      </w:tblGrid>
      <w:tr>
        <w:trPr>
          <w:cantSplit/>
          <w:tblHeader/>
        </w:trPr>
        <w:tc>
          <w:tcPr>
            <w:tcW w:type="dxa" w:w="15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Language</w:t>
            </w:r>
          </w:p>
        </w:tc>
        <w:tc>
          <w:tcPr>
            <w:tcW w:type="dxa" w:w="10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Emails</w:t>
            </w:r>
          </w:p>
        </w:tc>
        <w:tc>
          <w:tcPr>
            <w:tcW w:type="dxa" w:w="15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Phishing caught (EN / translated)</w:t>
            </w:r>
          </w:p>
        </w:tc>
        <w:tc>
          <w:tcPr>
            <w:tcW w:type="dxa" w:w="105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FPR</w:t>
            </w:r>
          </w:p>
        </w:tc>
        <w:tc>
          <w:tcPr>
            <w:tcW w:type="dxa" w:w="135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ROC-AUC (EN → translated)</w:t>
            </w:r>
          </w:p>
        </w:tc>
        <w:tc>
          <w:tcPr>
            <w:tcW w:type="dxa" w:w="13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Phishing scores fell / rose</w:t>
            </w:r>
          </w:p>
        </w:tc>
        <w:tc>
          <w:tcPr>
            <w:tcW w:type="dxa" w:w="13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Wilcoxon p</w:t>
            </w:r>
          </w:p>
        </w:tc>
      </w:tr>
      <w:tr>
        <w:trPr>
          <w:cantSplit/>
          <w:tblHeader w:val="off"/>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Afrikaans</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117</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 / 1 of 57</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0.69 → 0.61</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15 / 0</w:t>
            </w:r>
          </w:p>
        </w:tc>
        <w:tc>
          <w:tcPr>
            <w:tcW w:type="dxa" w:w="13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0.0006</w:t>
            </w:r>
          </w:p>
        </w:tc>
      </w:tr>
      <w:tr>
        <w:trPr>
          <w:cantSplit/>
          <w:tblHeader w:val="off"/>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isiXhosa</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117</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 / </w:t>
            </w:r>
            <w:r>
              <w:rPr>
                <w:rFonts w:ascii="Arial" w:cs="Arial" w:eastAsia="Arial" w:hAnsi="Arial"/>
                <w:sz w:val="18"/>
                <w:szCs w:val="18"/>
                <w:highlight w:val="yellow"/>
              </w:rPr>
              <w:t xml:space="preserve">[n]</w:t>
            </w:r>
            <w:r>
              <w:rPr>
                <w:rFonts w:ascii="Arial" w:cs="Arial" w:eastAsia="Arial" w:hAnsi="Arial"/>
                <w:sz w:val="18"/>
                <w:szCs w:val="18"/>
              </w:rPr>
              <w:t xml:space="preserve"> of 57</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0.69 → 0.53</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15 / 0</w:t>
            </w:r>
          </w:p>
        </w:tc>
        <w:tc>
          <w:tcPr>
            <w:tcW w:type="dxa" w:w="13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0.0006</w:t>
            </w:r>
          </w:p>
        </w:tc>
      </w:tr>
      <w:tr>
        <w:trPr>
          <w:cantSplit/>
          <w:tblHeader w:val="off"/>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isiZulu</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120</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[n]</w:t>
            </w:r>
            <w:r>
              <w:rPr>
                <w:rFonts w:ascii="Arial" w:cs="Arial" w:eastAsia="Arial" w:hAnsi="Arial"/>
                <w:sz w:val="18"/>
                <w:szCs w:val="18"/>
              </w:rPr>
              <w:t xml:space="preserve"> / </w:t>
            </w:r>
            <w:r>
              <w:rPr>
                <w:rFonts w:ascii="Arial" w:cs="Arial" w:eastAsia="Arial" w:hAnsi="Arial"/>
                <w:sz w:val="18"/>
                <w:szCs w:val="18"/>
                <w:highlight w:val="yellow"/>
              </w:rPr>
              <w:t xml:space="preserve">[n]</w:t>
            </w:r>
            <w:r>
              <w:rPr>
                <w:rFonts w:ascii="Arial" w:cs="Arial" w:eastAsia="Arial" w:hAnsi="Arial"/>
                <w:sz w:val="18"/>
                <w:szCs w:val="18"/>
              </w:rPr>
              <w:t xml:space="preserve"> of 60</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0.67 → 0.56</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9 / 0</w:t>
            </w:r>
          </w:p>
        </w:tc>
        <w:tc>
          <w:tcPr>
            <w:tcW w:type="dxa" w:w="13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0.004</w:t>
            </w:r>
          </w:p>
        </w:tc>
      </w:tr>
      <w:tr>
        <w:trPr>
          <w:cantSplit/>
          <w:tblHeader w:val="off"/>
        </w:trPr>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isiNdebele</w:t>
            </w:r>
          </w:p>
        </w:tc>
        <w:tc>
          <w:tcPr>
            <w:tcW w:type="dxa" w:w="1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120</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[n]</w:t>
            </w:r>
            <w:r>
              <w:rPr>
                <w:rFonts w:ascii="Arial" w:cs="Arial" w:eastAsia="Arial" w:hAnsi="Arial"/>
                <w:sz w:val="18"/>
                <w:szCs w:val="18"/>
              </w:rPr>
              <w:t xml:space="preserve"> / </w:t>
            </w:r>
            <w:r>
              <w:rPr>
                <w:rFonts w:ascii="Arial" w:cs="Arial" w:eastAsia="Arial" w:hAnsi="Arial"/>
                <w:sz w:val="18"/>
                <w:szCs w:val="18"/>
                <w:highlight w:val="yellow"/>
              </w:rPr>
              <w:t xml:space="preserve">[n]</w:t>
            </w:r>
            <w:r>
              <w:rPr>
                <w:rFonts w:ascii="Arial" w:cs="Arial" w:eastAsia="Arial" w:hAnsi="Arial"/>
                <w:sz w:val="18"/>
                <w:szCs w:val="18"/>
              </w:rPr>
              <w:t xml:space="preserve"> of 60</w:t>
            </w:r>
          </w:p>
        </w:tc>
        <w:tc>
          <w:tcPr>
            <w:tcW w:type="dxa" w:w="10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w:t>
            </w:r>
          </w:p>
        </w:tc>
        <w:tc>
          <w:tcPr>
            <w:tcW w:type="dxa" w:w="135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0.72 → 0.67</w:t>
            </w:r>
          </w:p>
        </w:tc>
        <w:tc>
          <w:tcPr>
            <w:tcW w:type="dxa" w:w="1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9 / 1</w:t>
            </w:r>
          </w:p>
        </w:tc>
        <w:tc>
          <w:tcPr>
            <w:tcW w:type="dxa" w:w="13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0.004</w:t>
            </w:r>
          </w:p>
        </w:tc>
      </w:tr>
    </w:tbl>
    <w:p>
      <w:pPr>
        <w:spacing w:after="80"/>
      </w:pPr>
    </w:p>
    <w:p>
      <w:pPr>
        <w:spacing w:after="140" w:line="300"/>
      </w:pPr>
      <w:r>
        <w:rPr>
          <w:rFonts w:ascii="Arial" w:cs="Arial" w:eastAsia="Arial" w:hAnsi="Arial"/>
        </w:rPr>
        <w:t xml:space="preserve">For Afrikaans the threshold metrics were the same in both languages: recall 0.018, precision 1.00, F1 0.034 and accuracy 0.52. The one phishing email caught, EMAIL_0429, scored 7.1 in both because of PayPal sender rules. Below the threshold the picture is different. In English, 17 Afrikaans-batch phishing emails scored 2 or more; after translation only 6 did, and the emails that dropped lost about 2 points each. No legitimate email crossed 5.0 in any language, but the highest legitimate score rose from 2.5 to 3.5.</w:t>
      </w:r>
    </w:p>
    <w:p>
      <w:pPr>
        <w:keepNext/>
        <w:spacing w:after="40"/>
        <w:jc w:val="center"/>
      </w:pPr>
      <w:r>
        <w:drawing>
          <wp:inline distT="0" distB="0" distL="0" distR="0">
            <wp:extent cx="5486400" cy="2660904"/>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660904"/>
                    </a:xfrm>
                    <a:prstGeom prst="rect">
                      <a:avLst/>
                    </a:prstGeom>
                  </pic:spPr>
                </pic:pic>
              </a:graphicData>
            </a:graphic>
          </wp:inline>
        </w:drawing>
      </w:r>
    </w:p>
    <w:p>
      <w:pPr>
        <w:keepNext w:val="false"/>
        <w:spacing w:after="200" w:before="60"/>
      </w:pPr>
      <w:r>
        <w:rPr>
          <w:rFonts w:ascii="Arial" w:cs="Arial" w:eastAsia="Arial" w:hAnsi="Arial"/>
          <w:i/>
          <w:iCs/>
          <w:color w:val="404040"/>
          <w:sz w:val="18"/>
          <w:szCs w:val="18"/>
        </w:rPr>
        <w:t xml:space="preserve">Figure 3: ROC-AUC for English originals and translations</w:t>
      </w:r>
    </w:p>
    <w:p>
      <w:pPr>
        <w:spacing w:after="140" w:line="300"/>
      </w:pPr>
      <w:r>
        <w:rPr>
          <w:rFonts w:ascii="Arial" w:cs="Arial" w:eastAsia="Arial" w:hAnsi="Arial"/>
        </w:rPr>
        <w:t xml:space="preserve">Table 11 shows which rules stopped firing in the Afrikaans batch. The same five wording rules dropped out in every language.</w:t>
      </w:r>
    </w:p>
    <w:p>
      <w:pPr>
        <w:keepNext/>
        <w:spacing w:after="60" w:before="120"/>
      </w:pPr>
      <w:r>
        <w:rPr>
          <w:rFonts w:ascii="Arial" w:cs="Arial" w:eastAsia="Arial" w:hAnsi="Arial"/>
          <w:i/>
          <w:iCs/>
          <w:color w:val="404040"/>
          <w:sz w:val="18"/>
          <w:szCs w:val="18"/>
        </w:rPr>
        <w:t xml:space="preserve">Table 11: Rule hits before and after translation, Afrikaans batch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1700"/>
        <w:gridCol w:w="2026"/>
      </w:tblGrid>
      <w:tr>
        <w:trPr>
          <w:cantSplit/>
          <w:tblHeader/>
        </w:trPr>
        <w:tc>
          <w:tcPr>
            <w:tcW w:type="dxa" w:w="36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Rule</w:t>
            </w:r>
          </w:p>
        </w:tc>
        <w:tc>
          <w:tcPr>
            <w:tcW w:type="dxa" w:w="17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English</w:t>
            </w:r>
          </w:p>
        </w:tc>
        <w:tc>
          <w:tcPr>
            <w:tcW w:type="dxa" w:w="17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Afrikaans</w:t>
            </w:r>
          </w:p>
        </w:tc>
        <w:tc>
          <w:tcPr>
            <w:tcW w:type="dxa" w:w="20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Type</w:t>
            </w:r>
          </w:p>
        </w:tc>
      </w:tr>
      <w:tr>
        <w:trPr>
          <w:cantSplit/>
          <w:tblHeader w:val="off"/>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URI_PHISH</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8</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Link plus English wording</w:t>
            </w:r>
          </w:p>
        </w:tc>
      </w:tr>
      <w:tr>
        <w:trPr>
          <w:cantSplit/>
          <w:tblHeader w:val="off"/>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TVD_PH_BODY_ACCOUNTS_PRE</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5</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Wording</w:t>
            </w:r>
          </w:p>
        </w:tc>
      </w:tr>
      <w:tr>
        <w:trPr>
          <w:cantSplit/>
          <w:tblHeader w:val="off"/>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ACCT_PHISHING_MANY</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2</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Wording</w:t>
            </w:r>
          </w:p>
        </w:tc>
      </w:tr>
      <w:tr>
        <w:trPr>
          <w:cantSplit/>
          <w:tblHeader w:val="off"/>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TVD_PH_SEC</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2</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Wording</w:t>
            </w:r>
          </w:p>
        </w:tc>
      </w:tr>
      <w:tr>
        <w:trPr>
          <w:cantSplit/>
          <w:tblHeader w:val="off"/>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T_FILL_THIS_FORM_SHORT</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2</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Wording</w:t>
            </w:r>
          </w:p>
        </w:tc>
      </w:tr>
      <w:tr>
        <w:trPr>
          <w:cantSplit/>
          <w:tblHeader w:val="off"/>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SHY_OBFU_PASSWORD, SHY_OBFU_EXPIRE</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 each</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0</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Wording</w:t>
            </w:r>
          </w:p>
        </w:tc>
      </w:tr>
      <w:tr>
        <w:trPr>
          <w:cantSplit/>
          <w:tblHeader w:val="off"/>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FREEMAIL_FROM</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12</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12</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Sender</w:t>
            </w:r>
          </w:p>
        </w:tc>
      </w:tr>
      <w:tr>
        <w:trPr>
          <w:cantSplit/>
          <w:tblHeader w:val="off"/>
        </w:trPr>
        <w:tc>
          <w:tcPr>
            <w:tcW w:type="dxa" w:w="36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FORGED_GMAIL_RCVD, NAME_EMAIL_DIFF, FROM_MISSPACED, AC_FROM_MANY_DOTS</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Unchanged</w:t>
            </w:r>
          </w:p>
        </w:tc>
        <w:tc>
          <w:tcPr>
            <w:tcW w:type="dxa" w:w="1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Unchanged</w:t>
            </w:r>
          </w:p>
        </w:tc>
        <w:tc>
          <w:tcPr>
            <w:tcW w:type="dxa" w:w="20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Sender and header</w:t>
            </w:r>
          </w:p>
        </w:tc>
      </w:tr>
    </w:tbl>
    <w:p>
      <w:pPr>
        <w:spacing w:after="80"/>
      </w:pPr>
    </w:p>
    <w:p>
      <w:pPr>
        <w:spacing w:after="140" w:line="300"/>
      </w:pPr>
      <w:r>
        <w:rPr>
          <w:rFonts w:ascii="Consolas" w:cs="Consolas" w:eastAsia="Consolas" w:hAnsi="Consolas"/>
          <w:sz w:val="19"/>
          <w:szCs w:val="19"/>
        </w:rPr>
        <w:t xml:space="preserve">URI_PHISH</w:t>
      </w:r>
      <w:r>
        <w:rPr>
          <w:rFonts w:ascii="Arial" w:cs="Arial" w:eastAsia="Arial" w:hAnsi="Arial"/>
        </w:rPr>
        <w:t xml:space="preserve"> looks like a link rule, but its definition shows it needs a link and at least one English phishing phrase (Apache SpamAssassin Project, 2026). The links were not changed by translation, so its loss comes from language alone. The phrase rule </w:t>
      </w:r>
      <w:r>
        <w:rPr>
          <w:rFonts w:ascii="Consolas" w:cs="Consolas" w:eastAsia="Consolas" w:hAnsi="Consolas"/>
          <w:sz w:val="19"/>
          <w:szCs w:val="19"/>
        </w:rPr>
        <w:t xml:space="preserve">__MAILBOX_FULL</w:t>
      </w:r>
      <w:r>
        <w:rPr>
          <w:rFonts w:ascii="Arial" w:cs="Arial" w:eastAsia="Arial" w:hAnsi="Arial"/>
        </w:rPr>
        <w:t xml:space="preserve"> matches fixed English phrases such as "your mailbox is almost full" and a few Portuguese ones, but nothing in any South African language. EMAIL_0251 reads "Your mailbox is almost full" in English and "U posbus is amper vol" in Afrikaans, which no pattern can match.</w:t>
      </w:r>
    </w:p>
    <w:p>
      <w:pPr>
        <w:keepNext/>
        <w:pBdr>
          <w:top w:val="single" w:color="8C8C8C" w:sz="4"/>
          <w:left w:val="single" w:color="8C8C8C" w:sz="4"/>
          <w:bottom w:val="single" w:color="8C8C8C" w:sz="4"/>
          <w:right w:val="single" w:color="8C8C8C" w:sz="4"/>
        </w:pBdr>
        <w:spacing w:after="40" w:before="120"/>
        <w:ind w:left="900" w:right="900"/>
        <w:jc w:val="center"/>
      </w:pPr>
      <w:r>
        <w:rPr>
          <w:rFonts w:ascii="Arial" w:cs="Arial" w:eastAsia="Arial" w:hAnsi="Arial"/>
          <w:highlight w:val="yellow"/>
        </w:rPr>
        <w:t xml:space="preserve">[Insert screenshot: `grep` output for `__URI_PHISH` and `__MAILBOX_FULL`]</w:t>
      </w:r>
    </w:p>
    <w:p>
      <w:pPr>
        <w:keepNext w:val="false"/>
        <w:spacing w:after="200" w:before="60"/>
      </w:pPr>
      <w:r>
        <w:rPr>
          <w:rFonts w:ascii="Arial" w:cs="Arial" w:eastAsia="Arial" w:hAnsi="Arial"/>
          <w:i/>
          <w:iCs/>
          <w:color w:val="404040"/>
          <w:sz w:val="18"/>
          <w:szCs w:val="18"/>
        </w:rPr>
        <w:t xml:space="preserve">Figure 4: SpamAssassin rule definitions showing fixed English phrases</w:t>
      </w:r>
    </w:p>
    <w:p>
      <w:pPr>
        <w:spacing w:after="140" w:line="300"/>
      </w:pPr>
      <w:r>
        <w:rPr>
          <w:rFonts w:ascii="Arial" w:cs="Arial" w:eastAsia="Arial" w:hAnsi="Arial"/>
        </w:rPr>
        <w:t xml:space="preserve">The second effect is </w:t>
      </w:r>
      <w:r>
        <w:rPr>
          <w:rFonts w:ascii="Consolas" w:cs="Consolas" w:eastAsia="Consolas" w:hAnsi="Consolas"/>
          <w:sz w:val="19"/>
          <w:szCs w:val="19"/>
        </w:rPr>
        <w:t xml:space="preserve">LONGWORDS</w:t>
      </w:r>
      <w:r>
        <w:rPr>
          <w:rFonts w:ascii="Arial" w:cs="Arial" w:eastAsia="Arial" w:hAnsi="Arial"/>
        </w:rPr>
        <w:t xml:space="preserve">. It never fired on English or Afrikaans text. It fired on 12 isiXhosa, 14 isiZulu and 21 isiNdebele translations and added 1.0 point each time. isiXhosa, isiZulu and isiNdebele write word parts together as one long word (Gaustad and Puttkammer, 2022), so the rule reads ordinary Nguni text as suspicious. In isiXhosa and isiZulu it mostly hit legitimate emails, which pushed legitimate scores up and dragged ROC-AUC further down. That is why isiXhosa ends near chance at 0.53 while Afrikaans, on exactly the same emails, holds at 0.61. </w:t>
      </w:r>
      <w:r>
        <w:rPr>
          <w:rFonts w:ascii="Arial" w:cs="Arial" w:eastAsia="Arial" w:hAnsi="Arial"/>
          <w:highlight w:val="yellow"/>
        </w:rPr>
        <w:t xml:space="preserve">[Add the `LONGWORDS` definition from the `grep` check.]</w:t>
      </w:r>
    </w:p>
    <w:p>
      <w:pPr>
        <w:keepNext/>
        <w:spacing w:after="40"/>
        <w:jc w:val="center"/>
      </w:pPr>
      <w:r>
        <w:drawing>
          <wp:inline distT="0" distB="0" distL="0" distR="0">
            <wp:extent cx="5486400" cy="219456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194560"/>
                    </a:xfrm>
                    <a:prstGeom prst="rect">
                      <a:avLst/>
                    </a:prstGeom>
                  </pic:spPr>
                </pic:pic>
              </a:graphicData>
            </a:graphic>
          </wp:inline>
        </w:drawing>
      </w:r>
    </w:p>
    <w:p>
      <w:pPr>
        <w:keepNext w:val="false"/>
        <w:spacing w:after="200" w:before="60"/>
      </w:pPr>
      <w:r>
        <w:rPr>
          <w:rFonts w:ascii="Arial" w:cs="Arial" w:eastAsia="Arial" w:hAnsi="Arial"/>
          <w:i/>
          <w:iCs/>
          <w:color w:val="404040"/>
          <w:sz w:val="18"/>
          <w:szCs w:val="18"/>
        </w:rPr>
        <w:t xml:space="preserve">Figure 5: Translated emails on which LONGWORDS fired</w:t>
      </w:r>
    </w:p>
    <w:p>
      <w:pPr>
        <w:spacing w:after="140" w:line="300"/>
      </w:pPr>
      <w:r>
        <w:rPr>
          <w:rFonts w:ascii="Arial" w:cs="Arial" w:eastAsia="Arial" w:hAnsi="Arial"/>
        </w:rPr>
        <w:t xml:space="preserve">Translation quality was checked on the Afrikaans batch, the only one with a second reviewer. Agreement between translator and reviewer on the 1 to 3 scale was kappa 0.08 (Cohen, 1960). Run time: </w:t>
      </w:r>
      <w:r>
        <w:rPr>
          <w:rFonts w:ascii="Arial" w:cs="Arial" w:eastAsia="Arial" w:hAnsi="Arial"/>
          <w:highlight w:val="yellow"/>
        </w:rPr>
        <w:t xml:space="preserve">[time per batch, for example about 2 minutes for 117 emails]</w:t>
      </w:r>
      <w:r>
        <w:rPr>
          <w:rFonts w:ascii="Arial" w:cs="Arial" w:eastAsia="Arial" w:hAnsi="Arial"/>
        </w:rPr>
        <w:t xml:space="preserve"> with no 60-second timeouts.</w:t>
      </w:r>
    </w:p>
    <w:p>
      <w:pPr>
        <w:pStyle w:val="Heading2"/>
        <w:spacing w:after="120" w:before="220"/>
      </w:pPr>
      <w:r>
        <w:rPr>
          <w:rFonts w:ascii="Arial" w:cs="Arial" w:eastAsia="Arial" w:hAnsi="Arial"/>
          <w:b/>
          <w:bCs/>
          <w:sz w:val="24"/>
          <w:szCs w:val="24"/>
        </w:rPr>
        <w:t xml:space="preserve">3.3 Issues and anomalies</w:t>
      </w:r>
    </w:p>
    <w:p>
      <w:pPr>
        <w:keepNext/>
        <w:spacing w:after="60" w:before="120"/>
      </w:pPr>
      <w:r>
        <w:rPr>
          <w:rFonts w:ascii="Arial" w:cs="Arial" w:eastAsia="Arial" w:hAnsi="Arial"/>
          <w:i/>
          <w:iCs/>
          <w:color w:val="404040"/>
          <w:sz w:val="18"/>
          <w:szCs w:val="18"/>
        </w:rPr>
        <w:t xml:space="preserve">Table 12: Issues and their effect on the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400"/>
        <w:gridCol w:w="2626"/>
      </w:tblGrid>
      <w:tr>
        <w:trPr>
          <w:cantSplit/>
          <w:tblHeader/>
        </w:trPr>
        <w:tc>
          <w:tcPr>
            <w:tcW w:type="dxa" w:w="30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Issue</w:t>
            </w:r>
          </w:p>
        </w:tc>
        <w:tc>
          <w:tcPr>
            <w:tcW w:type="dxa" w:w="34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Effect</w:t>
            </w:r>
          </w:p>
        </w:tc>
        <w:tc>
          <w:tcPr>
            <w:tcW w:type="dxa" w:w="26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Handling</w:t>
            </w:r>
          </w:p>
        </w:tc>
      </w:tr>
      <w:tr>
        <w:trPr>
          <w:cantSplit/>
          <w:tblHeader w:val="off"/>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Threshold too high for this set: 1 to 3 phishing caught per language, English included</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Recall, precision and F1 cannot show a language effect</w:t>
            </w:r>
          </w:p>
        </w:tc>
        <w:tc>
          <w:tcPr>
            <w:tcW w:type="dxa" w:w="2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Scores, paired tests and ROC-AUC used instead (BM-2)</w:t>
            </w:r>
          </w:p>
        </w:tc>
      </w:tr>
      <w:tr>
        <w:trPr>
          <w:cantSplit/>
          <w:tblHeader w:val="off"/>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Each language has its own batch, except Afrikaans and isiXhosa</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Differences between languages partly reflect different emails</w:t>
            </w:r>
          </w:p>
        </w:tc>
        <w:tc>
          <w:tcPr>
            <w:tcW w:type="dxa" w:w="2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Each language compared with its own English; Afrikaans and isiXhosa compared directly</w:t>
            </w:r>
          </w:p>
        </w:tc>
      </w:tr>
      <w:tr>
        <w:trPr>
          <w:cantSplit/>
          <w:tblHeader w:val="off"/>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isiNdebele subjects still in English, three bodies untranslated; one isiZulu body untranslated</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isiNdebele drop is probably understated: </w:t>
            </w:r>
            <w:r>
              <w:rPr>
                <w:rFonts w:ascii="Consolas" w:cs="Consolas" w:eastAsia="Consolas" w:hAnsi="Consolas"/>
                <w:sz w:val="18"/>
                <w:szCs w:val="18"/>
              </w:rPr>
              <w:t xml:space="preserve">SUBJ_ALL_CAPS</w:t>
            </w:r>
            <w:r>
              <w:rPr>
                <w:rFonts w:ascii="Arial" w:cs="Arial" w:eastAsia="Arial" w:hAnsi="Arial"/>
                <w:sz w:val="18"/>
                <w:szCs w:val="18"/>
              </w:rPr>
              <w:t xml:space="preserve"> fired 6 times in both versions</w:t>
            </w:r>
          </w:p>
        </w:tc>
        <w:tc>
          <w:tcPr>
            <w:tcW w:type="dxa" w:w="2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Rerun once fixed </w:t>
            </w:r>
            <w:r>
              <w:rPr>
                <w:rFonts w:ascii="Arial" w:cs="Arial" w:eastAsia="Arial" w:hAnsi="Arial"/>
                <w:sz w:val="18"/>
                <w:szCs w:val="18"/>
                <w:highlight w:val="yellow"/>
              </w:rPr>
              <w:t xml:space="preserve">[ ]</w:t>
            </w:r>
          </w:p>
        </w:tc>
      </w:tr>
      <w:tr>
        <w:trPr>
          <w:cantSplit/>
          <w:tblHeader w:val="off"/>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Afrikaans kappa 0.08, no kappa for the other languages</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Translation quality is not independently confirmed</w:t>
            </w:r>
          </w:p>
        </w:tc>
        <w:tc>
          <w:tcPr>
            <w:tcW w:type="dxa" w:w="2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Reported as a limitation; back-translation check </w:t>
            </w:r>
            <w:r>
              <w:rPr>
                <w:rFonts w:ascii="Arial" w:cs="Arial" w:eastAsia="Arial" w:hAnsi="Arial"/>
                <w:sz w:val="18"/>
                <w:szCs w:val="18"/>
                <w:highlight w:val="yellow"/>
              </w:rPr>
              <w:t xml:space="preserve">[ ]</w:t>
            </w:r>
          </w:p>
        </w:tc>
      </w:tr>
      <w:tr>
        <w:trPr>
          <w:cantSplit/>
          <w:tblHeader w:val="off"/>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EMAIL_0396 lost two link rules because joined words looked like a link</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One drop that is not a language effect</w:t>
            </w:r>
          </w:p>
        </w:tc>
        <w:tc>
          <w:tcPr>
            <w:tcW w:type="dxa" w:w="2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Kept in the data, named as an artefact</w:t>
            </w:r>
          </w:p>
        </w:tc>
      </w:tr>
      <w:tr>
        <w:trPr>
          <w:cantSplit/>
          <w:tblHeader w:val="off"/>
        </w:trPr>
        <w:tc>
          <w:tcPr>
            <w:tcW w:type="dxa" w:w="30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Archived emails have no full delivery headers</w:t>
            </w:r>
          </w:p>
        </w:tc>
        <w:tc>
          <w:tcPr>
            <w:tcW w:type="dxa" w:w="34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SPF and DKIM could not be tested</w:t>
            </w:r>
          </w:p>
        </w:tc>
        <w:tc>
          <w:tcPr>
            <w:tcW w:type="dxa" w:w="26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Arm C limited to link, sender and structure features</w:t>
            </w:r>
          </w:p>
        </w:tc>
      </w:tr>
    </w:tbl>
    <w:p>
      <w:pPr>
        <w:spacing w:after="80"/>
      </w:pPr>
    </w:p>
    <w:p>
      <w:pPr>
        <w:pStyle w:val="Heading1"/>
        <w:spacing w:after="160" w:before="240"/>
      </w:pPr>
      <w:r>
        <w:rPr>
          <w:rFonts w:ascii="Arial" w:cs="Arial" w:eastAsia="Arial" w:hAnsi="Arial"/>
          <w:b/>
          <w:bCs/>
          <w:sz w:val="30"/>
          <w:szCs w:val="30"/>
        </w:rPr>
        <w:t xml:space="preserve">4. Analysis of result discussion</w:t>
      </w:r>
    </w:p>
    <w:p>
      <w:pPr>
        <w:spacing w:after="140" w:line="300"/>
      </w:pPr>
      <w:r>
        <w:rPr>
          <w:rFonts w:ascii="Arial" w:cs="Arial" w:eastAsia="Arial" w:hAnsi="Arial"/>
        </w:rPr>
        <w:t xml:space="preserve">Deliverable 4 set out five expectations (E1 to E5). Table 13 shows where each one stands.</w:t>
      </w:r>
    </w:p>
    <w:p>
      <w:pPr>
        <w:keepNext/>
        <w:spacing w:after="60" w:before="120"/>
      </w:pPr>
      <w:r>
        <w:rPr>
          <w:rFonts w:ascii="Arial" w:cs="Arial" w:eastAsia="Arial" w:hAnsi="Arial"/>
          <w:i/>
          <w:iCs/>
          <w:color w:val="404040"/>
          <w:sz w:val="18"/>
          <w:szCs w:val="18"/>
        </w:rPr>
        <w:t xml:space="preserve">Table 13: Expectations from Deliverable 4 against the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1500"/>
        <w:gridCol w:w="3526"/>
      </w:tblGrid>
      <w:tr>
        <w:trPr>
          <w:cantSplit/>
          <w:tblHeader/>
        </w:trPr>
        <w:tc>
          <w:tcPr>
            <w:tcW w:type="dxa" w:w="7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w:t>
            </w:r>
          </w:p>
        </w:tc>
        <w:tc>
          <w:tcPr>
            <w:tcW w:type="dxa" w:w="33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Expectation</w:t>
            </w:r>
          </w:p>
        </w:tc>
        <w:tc>
          <w:tcPr>
            <w:tcW w:type="dxa" w:w="15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Outcome</w:t>
            </w:r>
          </w:p>
        </w:tc>
        <w:tc>
          <w:tcPr>
            <w:tcW w:type="dxa" w:w="35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Evidence</w:t>
            </w:r>
          </w:p>
        </w:tc>
      </w:tr>
      <w:tr>
        <w:trPr>
          <w:cantSplit/>
          <w:tblHeader w:val="off"/>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E1</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English phrase rules fire less after translation, so phishing scores drop</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Supported</w:t>
            </w:r>
          </w:p>
        </w:tc>
        <w:tc>
          <w:tcPr>
            <w:tcW w:type="dxa" w:w="35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Scores fell in all four languages, p 0.004 or lower</w:t>
            </w:r>
          </w:p>
        </w:tc>
      </w:tr>
      <w:tr>
        <w:trPr>
          <w:cantSplit/>
          <w:tblHeader w:val="off"/>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E2</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Sender, link and structure rules are not affected</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Supported</w:t>
            </w:r>
          </w:p>
        </w:tc>
        <w:tc>
          <w:tcPr>
            <w:tcW w:type="dxa" w:w="35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Sender rules fired equally in both versions</w:t>
            </w:r>
          </w:p>
        </w:tc>
      </w:tr>
      <w:tr>
        <w:trPr>
          <w:cantSplit/>
          <w:tblHeader w:val="off"/>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E3</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Word-length rules behave differently on Nguni text</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Supported</w:t>
            </w:r>
          </w:p>
        </w:tc>
        <w:tc>
          <w:tcPr>
            <w:tcW w:type="dxa" w:w="35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Consolas" w:cs="Consolas" w:eastAsia="Consolas" w:hAnsi="Consolas"/>
                <w:sz w:val="18"/>
                <w:szCs w:val="18"/>
              </w:rPr>
              <w:t xml:space="preserve">LONGWORDS</w:t>
            </w:r>
            <w:r>
              <w:rPr>
                <w:rFonts w:ascii="Arial" w:cs="Arial" w:eastAsia="Arial" w:hAnsi="Arial"/>
                <w:sz w:val="18"/>
                <w:szCs w:val="18"/>
              </w:rPr>
              <w:t xml:space="preserve"> fired only on Nguni translations</w:t>
            </w:r>
          </w:p>
        </w:tc>
      </w:tr>
      <w:tr>
        <w:trPr>
          <w:cantSplit/>
          <w:tblHeader w:val="off"/>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E4</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Threshold metrics hide changes that the scores show</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Supported</w:t>
            </w:r>
          </w:p>
        </w:tc>
        <w:tc>
          <w:tcPr>
            <w:tcW w:type="dxa" w:w="35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Same Afrikaans recall in both languages, ROC-AUC 0.69 → 0.61</w:t>
            </w:r>
          </w:p>
        </w:tc>
      </w:tr>
      <w:tr>
        <w:trPr>
          <w:cantSplit/>
          <w:tblHeader w:val="off"/>
        </w:trPr>
        <w:tc>
          <w:tcPr>
            <w:tcW w:type="dxa" w:w="7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E5</w:t>
            </w:r>
          </w:p>
        </w:tc>
        <w:tc>
          <w:tcPr>
            <w:tcW w:type="dxa" w:w="33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Arm A recovers part of the loss; Arm C holds steady</w:t>
            </w:r>
          </w:p>
        </w:tc>
        <w:tc>
          <w:tcPr>
            <w:tcW w:type="dxa" w:w="15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[Not yet tested]</w:t>
            </w:r>
          </w:p>
        </w:tc>
        <w:tc>
          <w:tcPr>
            <w:tcW w:type="dxa" w:w="35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highlight w:val="yellow"/>
              </w:rPr>
              <w:t xml:space="preserve">[ ]</w:t>
            </w:r>
          </w:p>
        </w:tc>
      </w:tr>
    </w:tbl>
    <w:p>
      <w:pPr>
        <w:spacing w:after="80"/>
      </w:pPr>
    </w:p>
    <w:p>
      <w:pPr>
        <w:spacing w:after="140" w:line="300"/>
      </w:pPr>
      <w:r>
        <w:rPr>
          <w:rFonts w:ascii="Arial" w:cs="Arial" w:eastAsia="Arial" w:hAnsi="Arial"/>
        </w:rPr>
        <w:t xml:space="preserve">The main result is clear and holds in every language. SpamAssassin's phishing content rules are written in English, so a phishing email loses those signals the moment it is translated. The links and sender details are untouched, and the rules that read them carry on as before. That split is the one Deliverable 3 built the design around, and it now has data behind it. It also explains why a filter can look fine on a threshold report while getting worse underneath.</w:t>
      </w:r>
    </w:p>
    <w:p>
      <w:pPr>
        <w:spacing w:after="140" w:line="300"/>
      </w:pPr>
      <w:r>
        <w:rPr>
          <w:rFonts w:ascii="Arial" w:cs="Arial" w:eastAsia="Arial" w:hAnsi="Arial"/>
        </w:rPr>
        <w:t xml:space="preserve">The </w:t>
      </w:r>
      <w:r>
        <w:rPr>
          <w:rFonts w:ascii="Consolas" w:cs="Consolas" w:eastAsia="Consolas" w:hAnsi="Consolas"/>
          <w:sz w:val="19"/>
          <w:szCs w:val="19"/>
        </w:rPr>
        <w:t xml:space="preserve">LONGWORDS</w:t>
      </w:r>
      <w:r>
        <w:rPr>
          <w:rFonts w:ascii="Arial" w:cs="Arial" w:eastAsia="Arial" w:hAnsi="Arial"/>
        </w:rPr>
        <w:t xml:space="preserve"> finding goes further than expected. Losing English rules makes a filter blind. A rule that reads normal Nguni writing as suspicious makes it biased, because it raises the score of legitimate mail in exactly the languages most South Africans speak at home. In this review no study was found that reports this effect for any filter. It is a small rule worth one point, but it shows the problem is not only missing languages. Some rules carry English assumptions about what normal text looks like.</w:t>
      </w:r>
    </w:p>
    <w:p>
      <w:pPr>
        <w:spacing w:after="140" w:line="300"/>
      </w:pPr>
      <w:r>
        <w:rPr>
          <w:rFonts w:ascii="Arial" w:cs="Arial" w:eastAsia="Arial" w:hAnsi="Arial"/>
        </w:rPr>
        <w:t xml:space="preserve">The results should be read with their limits in mind. The baseline is weak even in English, with ROC-AUC between 0.67 and 0.72, so these are drops from a modest starting point. The batches are small, between 117 and 120 emails, and only 9 to 15 phishing emails per language changed score at all. Translation quality is the weakest part. An Afrikaans kappa of 0.08 is only slight agreement, below BM-3, and the other languages have no second check. The kappa may partly reflect the narrow 1 to 3 scale, but it still means the translations have not been independently confirmed.</w:t>
      </w:r>
    </w:p>
    <w:p>
      <w:pPr>
        <w:spacing w:after="140" w:line="300"/>
      </w:pPr>
      <w:r>
        <w:rPr>
          <w:rFonts w:ascii="Arial" w:cs="Arial" w:eastAsia="Arial" w:hAnsi="Arial"/>
        </w:rPr>
        <w:t xml:space="preserve">Against the benchmarks, BM-1, BM-2, BM-4 and BM-5 are met. BM-3 is not met. BM-6 and BM-7 depend on the security scans and the two detection arms, which are still to be completed. Whether the prototype meets its aim in full therefore rests on Arm A and Arm C. The results so far point to Arm C as the more promising one, since the signals it uses are the ones that survived translation, and the PT-01 evasion test will show whether normalising text before scoring is also needed. Deliverable 6 will draw the recommendations from these results.</w:t>
      </w:r>
    </w:p>
    <w:p>
      <w:pPr>
        <w:pStyle w:val="Heading1"/>
        <w:spacing w:after="160" w:before="240"/>
      </w:pPr>
      <w:r>
        <w:rPr>
          <w:rFonts w:ascii="Arial" w:cs="Arial" w:eastAsia="Arial" w:hAnsi="Arial"/>
          <w:b/>
          <w:bCs/>
          <w:sz w:val="30"/>
          <w:szCs w:val="30"/>
        </w:rPr>
        <w:t xml:space="preserve">5. List of Figures</w:t>
      </w:r>
    </w:p>
    <w:p>
      <w:pPr>
        <w:tabs>
          <w:tab w:val="right" w:pos="9026" w:leader="dot"/>
        </w:tabs>
        <w:spacing w:after="50"/>
        <w:ind w:left="0"/>
      </w:pPr>
      <w:r>
        <w:rPr>
          <w:rFonts w:ascii="Arial" w:cs="Arial" w:eastAsia="Arial" w:hAnsi="Arial"/>
          <w:b w:val="false"/>
          <w:bCs w:val="false"/>
          <w:sz w:val="21"/>
          <w:szCs w:val="21"/>
        </w:rPr>
        <w:t xml:space="preserve">Figure 1: Bandit and pip-audit scan output</w:t>
      </w:r>
      <w:r>
        <w:rPr>
          <w:rFonts w:ascii="Arial" w:cs="Arial" w:eastAsia="Arial" w:hAnsi="Arial"/>
          <w:sz w:val="21"/>
          <w:szCs w:val="21"/>
        </w:rPr>
        <w:t xml:space="preserve">	8</w:t>
      </w:r>
    </w:p>
    <w:p>
      <w:pPr>
        <w:tabs>
          <w:tab w:val="right" w:pos="9026" w:leader="dot"/>
        </w:tabs>
        <w:spacing w:after="50"/>
        <w:ind w:left="0"/>
      </w:pPr>
      <w:r>
        <w:rPr>
          <w:rFonts w:ascii="Arial" w:cs="Arial" w:eastAsia="Arial" w:hAnsi="Arial"/>
          <w:b w:val="false"/>
          <w:bCs w:val="false"/>
          <w:sz w:val="21"/>
          <w:szCs w:val="21"/>
        </w:rPr>
        <w:t xml:space="preserve">Figure 2: SpamAssassin configuration and lint check</w:t>
      </w:r>
      <w:r>
        <w:rPr>
          <w:rFonts w:ascii="Arial" w:cs="Arial" w:eastAsia="Arial" w:hAnsi="Arial"/>
          <w:sz w:val="21"/>
          <w:szCs w:val="21"/>
        </w:rPr>
        <w:t xml:space="preserve">	9</w:t>
      </w:r>
    </w:p>
    <w:p>
      <w:pPr>
        <w:tabs>
          <w:tab w:val="right" w:pos="9026" w:leader="dot"/>
        </w:tabs>
        <w:spacing w:after="50"/>
        <w:ind w:left="0"/>
      </w:pPr>
      <w:r>
        <w:rPr>
          <w:rFonts w:ascii="Arial" w:cs="Arial" w:eastAsia="Arial" w:hAnsi="Arial"/>
          <w:b w:val="false"/>
          <w:bCs w:val="false"/>
          <w:sz w:val="21"/>
          <w:szCs w:val="21"/>
        </w:rPr>
        <w:t xml:space="preserve">Figure 3: ROC-AUC for English originals and translations</w:t>
      </w:r>
      <w:r>
        <w:rPr>
          <w:rFonts w:ascii="Arial" w:cs="Arial" w:eastAsia="Arial" w:hAnsi="Arial"/>
          <w:sz w:val="21"/>
          <w:szCs w:val="21"/>
        </w:rPr>
        <w:t xml:space="preserve">	12</w:t>
      </w:r>
    </w:p>
    <w:p>
      <w:pPr>
        <w:tabs>
          <w:tab w:val="right" w:pos="9026" w:leader="dot"/>
        </w:tabs>
        <w:spacing w:after="50"/>
        <w:ind w:left="0"/>
      </w:pPr>
      <w:r>
        <w:rPr>
          <w:rFonts w:ascii="Arial" w:cs="Arial" w:eastAsia="Arial" w:hAnsi="Arial"/>
          <w:b w:val="false"/>
          <w:bCs w:val="false"/>
          <w:sz w:val="21"/>
          <w:szCs w:val="21"/>
        </w:rPr>
        <w:t xml:space="preserve">Figure 4: SpamAssassin rule definitions showing fixed English phrases</w:t>
      </w:r>
      <w:r>
        <w:rPr>
          <w:rFonts w:ascii="Arial" w:cs="Arial" w:eastAsia="Arial" w:hAnsi="Arial"/>
          <w:sz w:val="21"/>
          <w:szCs w:val="21"/>
        </w:rPr>
        <w:t xml:space="preserve">	12</w:t>
      </w:r>
    </w:p>
    <w:p>
      <w:pPr>
        <w:tabs>
          <w:tab w:val="right" w:pos="9026" w:leader="dot"/>
        </w:tabs>
        <w:spacing w:after="50"/>
        <w:ind w:left="0"/>
      </w:pPr>
      <w:r>
        <w:rPr>
          <w:rFonts w:ascii="Arial" w:cs="Arial" w:eastAsia="Arial" w:hAnsi="Arial"/>
          <w:b w:val="false"/>
          <w:bCs w:val="false"/>
          <w:sz w:val="21"/>
          <w:szCs w:val="21"/>
        </w:rPr>
        <w:t xml:space="preserve">Figure 5: Translated emails on which LONGWORDS fired</w:t>
      </w:r>
      <w:r>
        <w:rPr>
          <w:rFonts w:ascii="Arial" w:cs="Arial" w:eastAsia="Arial" w:hAnsi="Arial"/>
          <w:sz w:val="21"/>
          <w:szCs w:val="21"/>
        </w:rPr>
        <w:t xml:space="preserve">	13</w:t>
      </w:r>
    </w:p>
    <w:p>
      <w:pPr>
        <w:pStyle w:val="Heading1"/>
        <w:spacing w:after="160" w:before="240"/>
      </w:pPr>
      <w:r>
        <w:rPr>
          <w:rFonts w:ascii="Arial" w:cs="Arial" w:eastAsia="Arial" w:hAnsi="Arial"/>
          <w:b/>
          <w:bCs/>
          <w:sz w:val="30"/>
          <w:szCs w:val="30"/>
        </w:rPr>
        <w:t xml:space="preserve">6. List of Tables</w:t>
      </w:r>
    </w:p>
    <w:p>
      <w:pPr>
        <w:tabs>
          <w:tab w:val="right" w:pos="9026" w:leader="dot"/>
        </w:tabs>
        <w:spacing w:after="50"/>
        <w:ind w:left="0"/>
      </w:pPr>
      <w:r>
        <w:rPr>
          <w:rFonts w:ascii="Arial" w:cs="Arial" w:eastAsia="Arial" w:hAnsi="Arial"/>
          <w:b w:val="false"/>
          <w:bCs w:val="false"/>
          <w:sz w:val="21"/>
          <w:szCs w:val="21"/>
        </w:rPr>
        <w:t xml:space="preserve">Table 1: Test cases</w:t>
      </w:r>
      <w:r>
        <w:rPr>
          <w:rFonts w:ascii="Arial" w:cs="Arial" w:eastAsia="Arial" w:hAnsi="Arial"/>
          <w:sz w:val="21"/>
          <w:szCs w:val="21"/>
        </w:rPr>
        <w:t xml:space="preserve">	5</w:t>
      </w:r>
    </w:p>
    <w:p>
      <w:pPr>
        <w:tabs>
          <w:tab w:val="right" w:pos="9026" w:leader="dot"/>
        </w:tabs>
        <w:spacing w:after="50"/>
        <w:ind w:left="0"/>
      </w:pPr>
      <w:r>
        <w:rPr>
          <w:rFonts w:ascii="Arial" w:cs="Arial" w:eastAsia="Arial" w:hAnsi="Arial"/>
          <w:b w:val="false"/>
          <w:bCs w:val="false"/>
          <w:sz w:val="21"/>
          <w:szCs w:val="21"/>
        </w:rPr>
        <w:t xml:space="preserve">Table 2: Benchmarks and success criteria</w:t>
      </w:r>
      <w:r>
        <w:rPr>
          <w:rFonts w:ascii="Arial" w:cs="Arial" w:eastAsia="Arial" w:hAnsi="Arial"/>
          <w:sz w:val="21"/>
          <w:szCs w:val="21"/>
        </w:rPr>
        <w:t xml:space="preserve">	6</w:t>
      </w:r>
    </w:p>
    <w:p>
      <w:pPr>
        <w:tabs>
          <w:tab w:val="right" w:pos="9026" w:leader="dot"/>
        </w:tabs>
        <w:spacing w:after="50"/>
        <w:ind w:left="0"/>
      </w:pPr>
      <w:r>
        <w:rPr>
          <w:rFonts w:ascii="Arial" w:cs="Arial" w:eastAsia="Arial" w:hAnsi="Arial"/>
          <w:b w:val="false"/>
          <w:bCs w:val="false"/>
          <w:sz w:val="21"/>
          <w:szCs w:val="21"/>
        </w:rPr>
        <w:t xml:space="preserve">Table 3: Changes made to the prototype during testing</w:t>
      </w:r>
      <w:r>
        <w:rPr>
          <w:rFonts w:ascii="Arial" w:cs="Arial" w:eastAsia="Arial" w:hAnsi="Arial"/>
          <w:sz w:val="21"/>
          <w:szCs w:val="21"/>
        </w:rPr>
        <w:t xml:space="preserve">	7</w:t>
      </w:r>
    </w:p>
    <w:p>
      <w:pPr>
        <w:tabs>
          <w:tab w:val="right" w:pos="9026" w:leader="dot"/>
        </w:tabs>
        <w:spacing w:after="50"/>
        <w:ind w:left="0"/>
      </w:pPr>
      <w:r>
        <w:rPr>
          <w:rFonts w:ascii="Arial" w:cs="Arial" w:eastAsia="Arial" w:hAnsi="Arial"/>
          <w:b w:val="false"/>
          <w:bCs w:val="false"/>
          <w:sz w:val="21"/>
          <w:szCs w:val="21"/>
        </w:rPr>
        <w:t xml:space="preserve">Table 4: Vulnerability assessment results</w:t>
      </w:r>
      <w:r>
        <w:rPr>
          <w:rFonts w:ascii="Arial" w:cs="Arial" w:eastAsia="Arial" w:hAnsi="Arial"/>
          <w:sz w:val="21"/>
          <w:szCs w:val="21"/>
        </w:rPr>
        <w:t xml:space="preserve">	8</w:t>
      </w:r>
    </w:p>
    <w:p>
      <w:pPr>
        <w:tabs>
          <w:tab w:val="right" w:pos="9026" w:leader="dot"/>
        </w:tabs>
        <w:spacing w:after="50"/>
        <w:ind w:left="0"/>
      </w:pPr>
      <w:r>
        <w:rPr>
          <w:rFonts w:ascii="Arial" w:cs="Arial" w:eastAsia="Arial" w:hAnsi="Arial"/>
          <w:b w:val="false"/>
          <w:bCs w:val="false"/>
          <w:sz w:val="21"/>
          <w:szCs w:val="21"/>
        </w:rPr>
        <w:t xml:space="preserve">Table 5: Penetration tests</w:t>
      </w:r>
      <w:r>
        <w:rPr>
          <w:rFonts w:ascii="Arial" w:cs="Arial" w:eastAsia="Arial" w:hAnsi="Arial"/>
          <w:sz w:val="21"/>
          <w:szCs w:val="21"/>
        </w:rPr>
        <w:t xml:space="preserve">	8</w:t>
      </w:r>
    </w:p>
    <w:p>
      <w:pPr>
        <w:tabs>
          <w:tab w:val="right" w:pos="9026" w:leader="dot"/>
        </w:tabs>
        <w:spacing w:after="50"/>
        <w:ind w:left="0"/>
      </w:pPr>
      <w:r>
        <w:rPr>
          <w:rFonts w:ascii="Arial" w:cs="Arial" w:eastAsia="Arial" w:hAnsi="Arial"/>
          <w:b w:val="false"/>
          <w:bCs w:val="false"/>
          <w:sz w:val="21"/>
          <w:szCs w:val="21"/>
        </w:rPr>
        <w:t xml:space="preserve">Table 6: Configuration audit</w:t>
      </w:r>
      <w:r>
        <w:rPr>
          <w:rFonts w:ascii="Arial" w:cs="Arial" w:eastAsia="Arial" w:hAnsi="Arial"/>
          <w:sz w:val="21"/>
          <w:szCs w:val="21"/>
        </w:rPr>
        <w:t xml:space="preserve">	9</w:t>
      </w:r>
    </w:p>
    <w:p>
      <w:pPr>
        <w:tabs>
          <w:tab w:val="right" w:pos="9026" w:leader="dot"/>
        </w:tabs>
        <w:spacing w:after="50"/>
        <w:ind w:left="0"/>
      </w:pPr>
      <w:r>
        <w:rPr>
          <w:rFonts w:ascii="Arial" w:cs="Arial" w:eastAsia="Arial" w:hAnsi="Arial"/>
          <w:b w:val="false"/>
          <w:bCs w:val="false"/>
          <w:sz w:val="21"/>
          <w:szCs w:val="21"/>
        </w:rPr>
        <w:t xml:space="preserve">Table 7: Incident response tests</w:t>
      </w:r>
      <w:r>
        <w:rPr>
          <w:rFonts w:ascii="Arial" w:cs="Arial" w:eastAsia="Arial" w:hAnsi="Arial"/>
          <w:sz w:val="21"/>
          <w:szCs w:val="21"/>
        </w:rPr>
        <w:t xml:space="preserve">	9</w:t>
      </w:r>
    </w:p>
    <w:p>
      <w:pPr>
        <w:tabs>
          <w:tab w:val="right" w:pos="9026" w:leader="dot"/>
        </w:tabs>
        <w:spacing w:after="50"/>
        <w:ind w:left="0"/>
      </w:pPr>
      <w:r>
        <w:rPr>
          <w:rFonts w:ascii="Arial" w:cs="Arial" w:eastAsia="Arial" w:hAnsi="Arial"/>
          <w:b w:val="false"/>
          <w:bCs w:val="false"/>
          <w:sz w:val="21"/>
          <w:szCs w:val="21"/>
        </w:rPr>
        <w:t xml:space="preserve">Table 8: Compliance mapping</w:t>
      </w:r>
      <w:r>
        <w:rPr>
          <w:rFonts w:ascii="Arial" w:cs="Arial" w:eastAsia="Arial" w:hAnsi="Arial"/>
          <w:sz w:val="21"/>
          <w:szCs w:val="21"/>
        </w:rPr>
        <w:t xml:space="preserve">	10</w:t>
      </w:r>
    </w:p>
    <w:p>
      <w:pPr>
        <w:tabs>
          <w:tab w:val="right" w:pos="9026" w:leader="dot"/>
        </w:tabs>
        <w:spacing w:after="50"/>
        <w:ind w:left="0"/>
      </w:pPr>
      <w:r>
        <w:rPr>
          <w:rFonts w:ascii="Arial" w:cs="Arial" w:eastAsia="Arial" w:hAnsi="Arial"/>
          <w:b w:val="false"/>
          <w:bCs w:val="false"/>
          <w:sz w:val="21"/>
          <w:szCs w:val="21"/>
        </w:rPr>
        <w:t xml:space="preserve">Table 9: Test case status</w:t>
      </w:r>
      <w:r>
        <w:rPr>
          <w:rFonts w:ascii="Arial" w:cs="Arial" w:eastAsia="Arial" w:hAnsi="Arial"/>
          <w:sz w:val="21"/>
          <w:szCs w:val="21"/>
        </w:rPr>
        <w:t xml:space="preserve">	11</w:t>
      </w:r>
    </w:p>
    <w:p>
      <w:pPr>
        <w:tabs>
          <w:tab w:val="right" w:pos="9026" w:leader="dot"/>
        </w:tabs>
        <w:spacing w:after="50"/>
        <w:ind w:left="0"/>
      </w:pPr>
      <w:r>
        <w:rPr>
          <w:rFonts w:ascii="Arial" w:cs="Arial" w:eastAsia="Arial" w:hAnsi="Arial"/>
          <w:b w:val="false"/>
          <w:bCs w:val="false"/>
          <w:sz w:val="21"/>
          <w:szCs w:val="21"/>
        </w:rPr>
        <w:t xml:space="preserve">Table 10: Baseline results per language (SpamAssassin 4.0.2, threshold 5.0)</w:t>
      </w:r>
      <w:r>
        <w:rPr>
          <w:rFonts w:ascii="Arial" w:cs="Arial" w:eastAsia="Arial" w:hAnsi="Arial"/>
          <w:sz w:val="21"/>
          <w:szCs w:val="21"/>
        </w:rPr>
        <w:t xml:space="preserve">	11</w:t>
      </w:r>
    </w:p>
    <w:p>
      <w:pPr>
        <w:tabs>
          <w:tab w:val="right" w:pos="9026" w:leader="dot"/>
        </w:tabs>
        <w:spacing w:after="50"/>
        <w:ind w:left="0"/>
      </w:pPr>
      <w:r>
        <w:rPr>
          <w:rFonts w:ascii="Arial" w:cs="Arial" w:eastAsia="Arial" w:hAnsi="Arial"/>
          <w:b w:val="false"/>
          <w:bCs w:val="false"/>
          <w:sz w:val="21"/>
          <w:szCs w:val="21"/>
        </w:rPr>
        <w:t xml:space="preserve">Table 11: Rule hits before and after translation, Afrikaans batch</w:t>
      </w:r>
      <w:r>
        <w:rPr>
          <w:rFonts w:ascii="Arial" w:cs="Arial" w:eastAsia="Arial" w:hAnsi="Arial"/>
          <w:sz w:val="21"/>
          <w:szCs w:val="21"/>
        </w:rPr>
        <w:t xml:space="preserve">	12</w:t>
      </w:r>
    </w:p>
    <w:p>
      <w:pPr>
        <w:tabs>
          <w:tab w:val="right" w:pos="9026" w:leader="dot"/>
        </w:tabs>
        <w:spacing w:after="50"/>
        <w:ind w:left="0"/>
      </w:pPr>
      <w:r>
        <w:rPr>
          <w:rFonts w:ascii="Arial" w:cs="Arial" w:eastAsia="Arial" w:hAnsi="Arial"/>
          <w:b w:val="false"/>
          <w:bCs w:val="false"/>
          <w:sz w:val="21"/>
          <w:szCs w:val="21"/>
        </w:rPr>
        <w:t xml:space="preserve">Table 12: Issues and their effect on the results</w:t>
      </w:r>
      <w:r>
        <w:rPr>
          <w:rFonts w:ascii="Arial" w:cs="Arial" w:eastAsia="Arial" w:hAnsi="Arial"/>
          <w:sz w:val="21"/>
          <w:szCs w:val="21"/>
        </w:rPr>
        <w:t xml:space="preserve">	13</w:t>
      </w:r>
    </w:p>
    <w:p>
      <w:pPr>
        <w:tabs>
          <w:tab w:val="right" w:pos="9026" w:leader="dot"/>
        </w:tabs>
        <w:spacing w:after="50"/>
        <w:ind w:left="0"/>
      </w:pPr>
      <w:r>
        <w:rPr>
          <w:rFonts w:ascii="Arial" w:cs="Arial" w:eastAsia="Arial" w:hAnsi="Arial"/>
          <w:b w:val="false"/>
          <w:bCs w:val="false"/>
          <w:sz w:val="21"/>
          <w:szCs w:val="21"/>
        </w:rPr>
        <w:t xml:space="preserve">Table 13: Expectations from Deliverable 4 against the results</w:t>
      </w:r>
      <w:r>
        <w:rPr>
          <w:rFonts w:ascii="Arial" w:cs="Arial" w:eastAsia="Arial" w:hAnsi="Arial"/>
          <w:sz w:val="21"/>
          <w:szCs w:val="21"/>
        </w:rPr>
        <w:t xml:space="preserve">	13</w:t>
      </w:r>
    </w:p>
    <w:p>
      <w:pPr>
        <w:pStyle w:val="Heading1"/>
        <w:spacing w:after="160" w:before="240"/>
      </w:pPr>
      <w:r>
        <w:rPr>
          <w:rFonts w:ascii="Arial" w:cs="Arial" w:eastAsia="Arial" w:hAnsi="Arial"/>
          <w:b/>
          <w:bCs/>
          <w:sz w:val="30"/>
          <w:szCs w:val="30"/>
        </w:rPr>
        <w:t xml:space="preserve">References</w:t>
      </w:r>
    </w:p>
    <w:p>
      <w:pPr>
        <w:spacing w:after="120" w:line="276"/>
        <w:ind w:left="567" w:hanging="567"/>
      </w:pPr>
      <w:r>
        <w:rPr>
          <w:rFonts w:ascii="Arial" w:cs="Arial" w:eastAsia="Arial" w:hAnsi="Arial"/>
          <w:i w:val="false"/>
          <w:iCs w:val="false"/>
          <w:sz w:val="20"/>
          <w:szCs w:val="20"/>
        </w:rPr>
        <w:t xml:space="preserve">Apache SpamAssassin Project (2026) </w:t>
      </w:r>
      <w:r>
        <w:rPr>
          <w:rFonts w:ascii="Arial" w:cs="Arial" w:eastAsia="Arial" w:hAnsi="Arial"/>
          <w:i/>
          <w:iCs/>
          <w:sz w:val="20"/>
          <w:szCs w:val="20"/>
        </w:rPr>
        <w:t xml:space="preserve">SpamAssassin rule definitions (rulesrc)</w:t>
      </w:r>
      <w:r>
        <w:rPr>
          <w:rFonts w:ascii="Arial" w:cs="Arial" w:eastAsia="Arial" w:hAnsi="Arial"/>
          <w:i w:val="false"/>
          <w:iCs w:val="false"/>
          <w:sz w:val="20"/>
          <w:szCs w:val="20"/>
        </w:rPr>
        <w:t xml:space="preserve">. Available at: https://github.com/apache/spamassassin (Accessed: 24 October 2026).</w:t>
      </w:r>
    </w:p>
    <w:p>
      <w:pPr>
        <w:spacing w:after="120" w:line="276"/>
        <w:ind w:left="567" w:hanging="567"/>
      </w:pPr>
      <w:r>
        <w:rPr>
          <w:rFonts w:ascii="Arial" w:cs="Arial" w:eastAsia="Arial" w:hAnsi="Arial"/>
          <w:i w:val="false"/>
          <w:iCs w:val="false"/>
          <w:sz w:val="20"/>
          <w:szCs w:val="20"/>
        </w:rPr>
        <w:t xml:space="preserve">Apache SpamAssassin Project (no date) </w:t>
      </w:r>
      <w:r>
        <w:rPr>
          <w:rFonts w:ascii="Arial" w:cs="Arial" w:eastAsia="Arial" w:hAnsi="Arial"/>
          <w:i/>
          <w:iCs/>
          <w:sz w:val="20"/>
          <w:szCs w:val="20"/>
        </w:rPr>
        <w:t xml:space="preserve">Mail::SpamAssassin::Conf: SpamAssassin configuration file</w:t>
      </w:r>
      <w:r>
        <w:rPr>
          <w:rFonts w:ascii="Arial" w:cs="Arial" w:eastAsia="Arial" w:hAnsi="Arial"/>
          <w:i w:val="false"/>
          <w:iCs w:val="false"/>
          <w:sz w:val="20"/>
          <w:szCs w:val="20"/>
        </w:rPr>
        <w:t xml:space="preserve">. Available at: https://spamassassin.apache.org/full/4.0.x/doc/Mail_SpamAssassin_Conf.html (Accessed: 26 October 2026).</w:t>
      </w:r>
    </w:p>
    <w:p>
      <w:pPr>
        <w:spacing w:after="120" w:line="276"/>
        <w:ind w:left="567" w:hanging="567"/>
      </w:pPr>
      <w:r>
        <w:rPr>
          <w:rFonts w:ascii="Arial" w:cs="Arial" w:eastAsia="Arial" w:hAnsi="Arial"/>
          <w:i w:val="false"/>
          <w:iCs w:val="false"/>
          <w:sz w:val="20"/>
          <w:szCs w:val="20"/>
        </w:rPr>
        <w:t xml:space="preserve">Cohen, J. (1960) 'A coefficient of agreement for nominal scales', </w:t>
      </w:r>
      <w:r>
        <w:rPr>
          <w:rFonts w:ascii="Arial" w:cs="Arial" w:eastAsia="Arial" w:hAnsi="Arial"/>
          <w:i/>
          <w:iCs/>
          <w:sz w:val="20"/>
          <w:szCs w:val="20"/>
        </w:rPr>
        <w:t xml:space="preserve">Educational and Psychological Measurement</w:t>
      </w:r>
      <w:r>
        <w:rPr>
          <w:rFonts w:ascii="Arial" w:cs="Arial" w:eastAsia="Arial" w:hAnsi="Arial"/>
          <w:i w:val="false"/>
          <w:iCs w:val="false"/>
          <w:sz w:val="20"/>
          <w:szCs w:val="20"/>
        </w:rPr>
        <w:t xml:space="preserve">, 20(1), pp. 37-46.</w:t>
      </w:r>
    </w:p>
    <w:p>
      <w:pPr>
        <w:spacing w:after="120" w:line="276"/>
        <w:ind w:left="567" w:hanging="567"/>
      </w:pPr>
      <w:r>
        <w:rPr>
          <w:rFonts w:ascii="Arial" w:cs="Arial" w:eastAsia="Arial" w:hAnsi="Arial"/>
          <w:i w:val="false"/>
          <w:iCs w:val="false"/>
          <w:sz w:val="20"/>
          <w:szCs w:val="20"/>
        </w:rPr>
        <w:t xml:space="preserve">Gaustad, T. and Puttkammer, M.J. (2022) 'Linguistically annotated dataset for four official South African languages with a conjunctive orthography: isiNdebele, isiXhosa, isiZulu, and Siswati', </w:t>
      </w:r>
      <w:r>
        <w:rPr>
          <w:rFonts w:ascii="Arial" w:cs="Arial" w:eastAsia="Arial" w:hAnsi="Arial"/>
          <w:i/>
          <w:iCs/>
          <w:sz w:val="20"/>
          <w:szCs w:val="20"/>
        </w:rPr>
        <w:t xml:space="preserve">Data in Brief</w:t>
      </w:r>
      <w:r>
        <w:rPr>
          <w:rFonts w:ascii="Arial" w:cs="Arial" w:eastAsia="Arial" w:hAnsi="Arial"/>
          <w:i w:val="false"/>
          <w:iCs w:val="false"/>
          <w:sz w:val="20"/>
          <w:szCs w:val="20"/>
        </w:rPr>
        <w:t xml:space="preserve">, 41, 107994.</w:t>
      </w:r>
    </w:p>
    <w:p>
      <w:pPr>
        <w:spacing w:after="120" w:line="276"/>
        <w:ind w:left="567" w:hanging="567"/>
      </w:pPr>
      <w:r>
        <w:rPr>
          <w:rFonts w:ascii="Arial" w:cs="Arial" w:eastAsia="Arial" w:hAnsi="Arial"/>
          <w:i w:val="false"/>
          <w:iCs w:val="false"/>
          <w:sz w:val="20"/>
          <w:szCs w:val="20"/>
        </w:rPr>
        <w:t xml:space="preserve">Gutierrez, R., Villegas-Ch, W. and Govea, J. (2026) 'Cross model evaluation of phishing detectors against LLM generated emails', </w:t>
      </w:r>
      <w:r>
        <w:rPr>
          <w:rFonts w:ascii="Arial" w:cs="Arial" w:eastAsia="Arial" w:hAnsi="Arial"/>
          <w:i/>
          <w:iCs/>
          <w:sz w:val="20"/>
          <w:szCs w:val="20"/>
        </w:rPr>
        <w:t xml:space="preserve">Frontiers in Big Data</w:t>
      </w:r>
      <w:r>
        <w:rPr>
          <w:rFonts w:ascii="Arial" w:cs="Arial" w:eastAsia="Arial" w:hAnsi="Arial"/>
          <w:i w:val="false"/>
          <w:iCs w:val="false"/>
          <w:sz w:val="20"/>
          <w:szCs w:val="20"/>
        </w:rPr>
        <w:t xml:space="preserve">, 9, 1883452.</w:t>
      </w:r>
    </w:p>
    <w:p>
      <w:pPr>
        <w:spacing w:after="120" w:line="276"/>
        <w:ind w:left="567" w:hanging="567"/>
      </w:pPr>
      <w:r>
        <w:rPr>
          <w:rFonts w:ascii="Arial" w:cs="Arial" w:eastAsia="Arial" w:hAnsi="Arial"/>
          <w:i w:val="false"/>
          <w:iCs w:val="false"/>
          <w:sz w:val="20"/>
          <w:szCs w:val="20"/>
        </w:rPr>
        <w:t xml:space="preserve">Landis, J.R. and Koch, G.G. (1977) 'The measurement of observer agreement for categorical data', </w:t>
      </w:r>
      <w:r>
        <w:rPr>
          <w:rFonts w:ascii="Arial" w:cs="Arial" w:eastAsia="Arial" w:hAnsi="Arial"/>
          <w:i/>
          <w:iCs/>
          <w:sz w:val="20"/>
          <w:szCs w:val="20"/>
        </w:rPr>
        <w:t xml:space="preserve">Biometrics</w:t>
      </w:r>
      <w:r>
        <w:rPr>
          <w:rFonts w:ascii="Arial" w:cs="Arial" w:eastAsia="Arial" w:hAnsi="Arial"/>
          <w:i w:val="false"/>
          <w:iCs w:val="false"/>
          <w:sz w:val="20"/>
          <w:szCs w:val="20"/>
        </w:rPr>
        <w:t xml:space="preserve">, 33(1), pp. 159-174.</w:t>
      </w:r>
    </w:p>
    <w:p>
      <w:pPr>
        <w:spacing w:after="120" w:line="276"/>
        <w:ind w:left="567" w:hanging="567"/>
      </w:pPr>
      <w:r>
        <w:rPr>
          <w:rFonts w:ascii="Arial" w:cs="Arial" w:eastAsia="Arial" w:hAnsi="Arial"/>
          <w:i w:val="false"/>
          <w:iCs w:val="false"/>
          <w:sz w:val="20"/>
          <w:szCs w:val="20"/>
        </w:rPr>
        <w:t xml:space="preserve">Nelson, A., Rekhi, S., Souppaya, M. and Scarfone, K. (2025) </w:t>
      </w:r>
      <w:r>
        <w:rPr>
          <w:rFonts w:ascii="Arial" w:cs="Arial" w:eastAsia="Arial" w:hAnsi="Arial"/>
          <w:i/>
          <w:iCs/>
          <w:sz w:val="20"/>
          <w:szCs w:val="20"/>
        </w:rPr>
        <w:t xml:space="preserve">Incident response recommendations and considerations for cybersecurity risk management: a CSF 2.0 community profile</w:t>
      </w:r>
      <w:r>
        <w:rPr>
          <w:rFonts w:ascii="Arial" w:cs="Arial" w:eastAsia="Arial" w:hAnsi="Arial"/>
          <w:i w:val="false"/>
          <w:iCs w:val="false"/>
          <w:sz w:val="20"/>
          <w:szCs w:val="20"/>
        </w:rPr>
        <w:t xml:space="preserve">. NIST SP 800-61r3. Gaithersburg: National Institute of Standards and Technology. Available at: https://csrc.nist.gov/pubs/sp/800/61/r3/final (Accessed: 25 October 2026).</w:t>
      </w:r>
    </w:p>
    <w:p>
      <w:pPr>
        <w:spacing w:after="120" w:line="276"/>
        <w:ind w:left="567" w:hanging="567"/>
      </w:pPr>
      <w:r>
        <w:rPr>
          <w:rFonts w:ascii="Arial" w:cs="Arial" w:eastAsia="Arial" w:hAnsi="Arial"/>
          <w:i w:val="false"/>
          <w:iCs w:val="false"/>
          <w:sz w:val="20"/>
          <w:szCs w:val="20"/>
        </w:rPr>
        <w:t xml:space="preserve">OWASP Foundation (no date) </w:t>
      </w:r>
      <w:r>
        <w:rPr>
          <w:rFonts w:ascii="Arial" w:cs="Arial" w:eastAsia="Arial" w:hAnsi="Arial"/>
          <w:i/>
          <w:iCs/>
          <w:sz w:val="20"/>
          <w:szCs w:val="20"/>
        </w:rPr>
        <w:t xml:space="preserve">OWASP Web Security Testing Guide</w:t>
      </w:r>
      <w:r>
        <w:rPr>
          <w:rFonts w:ascii="Arial" w:cs="Arial" w:eastAsia="Arial" w:hAnsi="Arial"/>
          <w:i w:val="false"/>
          <w:iCs w:val="false"/>
          <w:sz w:val="20"/>
          <w:szCs w:val="20"/>
        </w:rPr>
        <w:t xml:space="preserve">. Available at: https://owasp.org/www-project-web-security-testing-guide/ (Accessed: 25 October 2026).</w:t>
      </w:r>
    </w:p>
    <w:p>
      <w:pPr>
        <w:spacing w:after="120" w:line="276"/>
        <w:ind w:left="567" w:hanging="567"/>
      </w:pPr>
      <w:r>
        <w:rPr>
          <w:rFonts w:ascii="Arial" w:cs="Arial" w:eastAsia="Arial" w:hAnsi="Arial"/>
          <w:i w:val="false"/>
          <w:iCs w:val="false"/>
          <w:sz w:val="20"/>
          <w:szCs w:val="20"/>
        </w:rPr>
        <w:t xml:space="preserve">PCI Security Standards Council (no date) </w:t>
      </w:r>
      <w:r>
        <w:rPr>
          <w:rFonts w:ascii="Arial" w:cs="Arial" w:eastAsia="Arial" w:hAnsi="Arial"/>
          <w:i/>
          <w:iCs/>
          <w:sz w:val="20"/>
          <w:szCs w:val="20"/>
        </w:rPr>
        <w:t xml:space="preserve">PCI DSS</w:t>
      </w:r>
      <w:r>
        <w:rPr>
          <w:rFonts w:ascii="Arial" w:cs="Arial" w:eastAsia="Arial" w:hAnsi="Arial"/>
          <w:i w:val="false"/>
          <w:iCs w:val="false"/>
          <w:sz w:val="20"/>
          <w:szCs w:val="20"/>
        </w:rPr>
        <w:t xml:space="preserve">. Available at: https://www.pcisecuritystandards.org/standards/pci-dss/ (Accessed: 27 October 2026).</w:t>
      </w:r>
    </w:p>
    <w:p>
      <w:pPr>
        <w:spacing w:after="120" w:line="276"/>
        <w:ind w:left="567" w:hanging="567"/>
      </w:pPr>
      <w:r>
        <w:rPr>
          <w:rFonts w:ascii="Arial" w:cs="Arial" w:eastAsia="Arial" w:hAnsi="Arial"/>
          <w:i w:val="false"/>
          <w:iCs w:val="false"/>
          <w:sz w:val="20"/>
          <w:szCs w:val="20"/>
        </w:rPr>
        <w:t xml:space="preserve">PyCQA (no date) </w:t>
      </w:r>
      <w:r>
        <w:rPr>
          <w:rFonts w:ascii="Arial" w:cs="Arial" w:eastAsia="Arial" w:hAnsi="Arial"/>
          <w:i/>
          <w:iCs/>
          <w:sz w:val="20"/>
          <w:szCs w:val="20"/>
        </w:rPr>
        <w:t xml:space="preserve">Bandit documentation</w:t>
      </w:r>
      <w:r>
        <w:rPr>
          <w:rFonts w:ascii="Arial" w:cs="Arial" w:eastAsia="Arial" w:hAnsi="Arial"/>
          <w:i w:val="false"/>
          <w:iCs w:val="false"/>
          <w:sz w:val="20"/>
          <w:szCs w:val="20"/>
        </w:rPr>
        <w:t xml:space="preserve">. Available at: https://bandit.readthedocs.io/ (Accessed: 26 October 2026).</w:t>
      </w:r>
    </w:p>
    <w:p>
      <w:pPr>
        <w:spacing w:after="120" w:line="276"/>
        <w:ind w:left="567" w:hanging="567"/>
      </w:pPr>
      <w:r>
        <w:rPr>
          <w:rFonts w:ascii="Arial" w:cs="Arial" w:eastAsia="Arial" w:hAnsi="Arial"/>
          <w:i w:val="false"/>
          <w:iCs w:val="false"/>
          <w:sz w:val="20"/>
          <w:szCs w:val="20"/>
        </w:rPr>
        <w:t xml:space="preserve">Python Packaging Authority (no date) </w:t>
      </w:r>
      <w:r>
        <w:rPr>
          <w:rFonts w:ascii="Arial" w:cs="Arial" w:eastAsia="Arial" w:hAnsi="Arial"/>
          <w:i/>
          <w:iCs/>
          <w:sz w:val="20"/>
          <w:szCs w:val="20"/>
        </w:rPr>
        <w:t xml:space="preserve">pip-audit</w:t>
      </w:r>
      <w:r>
        <w:rPr>
          <w:rFonts w:ascii="Arial" w:cs="Arial" w:eastAsia="Arial" w:hAnsi="Arial"/>
          <w:i w:val="false"/>
          <w:iCs w:val="false"/>
          <w:sz w:val="20"/>
          <w:szCs w:val="20"/>
        </w:rPr>
        <w:t xml:space="preserve">. Available at: https://pypi.org/project/pip-audit/ (Accessed: 24 October 2026).</w:t>
      </w:r>
    </w:p>
    <w:p>
      <w:pPr>
        <w:spacing w:after="120" w:line="276"/>
        <w:ind w:left="567" w:hanging="567"/>
      </w:pPr>
      <w:r>
        <w:rPr>
          <w:rFonts w:ascii="Arial" w:cs="Arial" w:eastAsia="Arial" w:hAnsi="Arial"/>
          <w:i w:val="false"/>
          <w:iCs w:val="false"/>
          <w:sz w:val="20"/>
          <w:szCs w:val="20"/>
        </w:rPr>
        <w:t xml:space="preserve">Republic of South Africa (2002) </w:t>
      </w:r>
      <w:r>
        <w:rPr>
          <w:rFonts w:ascii="Arial" w:cs="Arial" w:eastAsia="Arial" w:hAnsi="Arial"/>
          <w:i/>
          <w:iCs/>
          <w:sz w:val="20"/>
          <w:szCs w:val="20"/>
        </w:rPr>
        <w:t xml:space="preserve">Electronic Communications and Transactions Act 25 of 2002</w:t>
      </w:r>
      <w:r>
        <w:rPr>
          <w:rFonts w:ascii="Arial" w:cs="Arial" w:eastAsia="Arial" w:hAnsi="Arial"/>
          <w:i w:val="false"/>
          <w:iCs w:val="false"/>
          <w:sz w:val="20"/>
          <w:szCs w:val="20"/>
        </w:rPr>
        <w:t xml:space="preserve">. Available at: https://www.gov.za/documents/electronic-communications-and-transactions-act (Accessed: 27 October 2026).</w:t>
      </w:r>
    </w:p>
    <w:p>
      <w:pPr>
        <w:spacing w:after="120" w:line="276"/>
        <w:ind w:left="567" w:hanging="567"/>
      </w:pPr>
      <w:r>
        <w:rPr>
          <w:rFonts w:ascii="Arial" w:cs="Arial" w:eastAsia="Arial" w:hAnsi="Arial"/>
          <w:i w:val="false"/>
          <w:iCs w:val="false"/>
          <w:sz w:val="20"/>
          <w:szCs w:val="20"/>
        </w:rPr>
        <w:t xml:space="preserve">Republic of South Africa (2013) </w:t>
      </w:r>
      <w:r>
        <w:rPr>
          <w:rFonts w:ascii="Arial" w:cs="Arial" w:eastAsia="Arial" w:hAnsi="Arial"/>
          <w:i/>
          <w:iCs/>
          <w:sz w:val="20"/>
          <w:szCs w:val="20"/>
        </w:rPr>
        <w:t xml:space="preserve">Protection of Personal Information Act 4 of 2013</w:t>
      </w:r>
      <w:r>
        <w:rPr>
          <w:rFonts w:ascii="Arial" w:cs="Arial" w:eastAsia="Arial" w:hAnsi="Arial"/>
          <w:i w:val="false"/>
          <w:iCs w:val="false"/>
          <w:sz w:val="20"/>
          <w:szCs w:val="20"/>
        </w:rPr>
        <w:t xml:space="preserve">. Available at: https://www.gov.za/documents/protection-personal-information-act (Accessed: 24 October 2026).</w:t>
      </w:r>
    </w:p>
    <w:p>
      <w:pPr>
        <w:spacing w:after="120" w:line="276"/>
        <w:ind w:left="567" w:hanging="567"/>
      </w:pPr>
      <w:r>
        <w:rPr>
          <w:rFonts w:ascii="Arial" w:cs="Arial" w:eastAsia="Arial" w:hAnsi="Arial"/>
          <w:i w:val="false"/>
          <w:iCs w:val="false"/>
          <w:sz w:val="20"/>
          <w:szCs w:val="20"/>
        </w:rPr>
        <w:t xml:space="preserve">Republic of South Africa (2020) </w:t>
      </w:r>
      <w:r>
        <w:rPr>
          <w:rFonts w:ascii="Arial" w:cs="Arial" w:eastAsia="Arial" w:hAnsi="Arial"/>
          <w:i/>
          <w:iCs/>
          <w:sz w:val="20"/>
          <w:szCs w:val="20"/>
        </w:rPr>
        <w:t xml:space="preserve">Cybercrimes Act 19 of 2020</w:t>
      </w:r>
      <w:r>
        <w:rPr>
          <w:rFonts w:ascii="Arial" w:cs="Arial" w:eastAsia="Arial" w:hAnsi="Arial"/>
          <w:i w:val="false"/>
          <w:iCs w:val="false"/>
          <w:sz w:val="20"/>
          <w:szCs w:val="20"/>
        </w:rPr>
        <w:t xml:space="preserve">. Available at: https://www.gov.za/documents/cybercrimes-act-19-2020-1-jun-2021-0000 (Accessed: 27 October 2026).</w:t>
      </w:r>
    </w:p>
    <w:p>
      <w:pPr>
        <w:spacing w:after="120" w:line="276"/>
        <w:ind w:left="567" w:hanging="567"/>
      </w:pPr>
      <w:r>
        <w:rPr>
          <w:rFonts w:ascii="Arial" w:cs="Arial" w:eastAsia="Arial" w:hAnsi="Arial"/>
          <w:i w:val="false"/>
          <w:iCs w:val="false"/>
          <w:sz w:val="20"/>
          <w:szCs w:val="20"/>
        </w:rPr>
        <w:t xml:space="preserve">SciPy developers (no date) </w:t>
      </w:r>
      <w:r>
        <w:rPr>
          <w:rFonts w:ascii="Arial" w:cs="Arial" w:eastAsia="Arial" w:hAnsi="Arial"/>
          <w:i/>
          <w:iCs/>
          <w:sz w:val="20"/>
          <w:szCs w:val="20"/>
        </w:rPr>
        <w:t xml:space="preserve">scipy.stats.wilcoxon</w:t>
      </w:r>
      <w:r>
        <w:rPr>
          <w:rFonts w:ascii="Arial" w:cs="Arial" w:eastAsia="Arial" w:hAnsi="Arial"/>
          <w:i w:val="false"/>
          <w:iCs w:val="false"/>
          <w:sz w:val="20"/>
          <w:szCs w:val="20"/>
        </w:rPr>
        <w:t xml:space="preserve">. Available at: https://docs.scipy.org/doc/scipy/reference/generated/scipy.stats.wilcoxon.html (Accessed: 25 October 2026).</w:t>
      </w:r>
    </w:p>
    <w:p>
      <w:pPr>
        <w:spacing w:after="120" w:line="276"/>
        <w:ind w:left="567" w:hanging="567"/>
      </w:pPr>
      <w:r>
        <w:rPr>
          <w:rFonts w:ascii="Arial" w:cs="Arial" w:eastAsia="Arial" w:hAnsi="Arial"/>
          <w:i w:val="false"/>
          <w:iCs w:val="false"/>
          <w:sz w:val="20"/>
          <w:szCs w:val="20"/>
        </w:rPr>
        <w:t xml:space="preserve">Unicode Consortium (no date) </w:t>
      </w:r>
      <w:r>
        <w:rPr>
          <w:rFonts w:ascii="Arial" w:cs="Arial" w:eastAsia="Arial" w:hAnsi="Arial"/>
          <w:i/>
          <w:iCs/>
          <w:sz w:val="20"/>
          <w:szCs w:val="20"/>
        </w:rPr>
        <w:t xml:space="preserve">Unicode Standard Annex #15: Unicode normalization forms</w:t>
      </w:r>
      <w:r>
        <w:rPr>
          <w:rFonts w:ascii="Arial" w:cs="Arial" w:eastAsia="Arial" w:hAnsi="Arial"/>
          <w:i w:val="false"/>
          <w:iCs w:val="false"/>
          <w:sz w:val="20"/>
          <w:szCs w:val="20"/>
        </w:rPr>
        <w:t xml:space="preserve">. Available at: https://unicode.org/reports/tr15/ (Accessed: 26 October 2026).</w:t>
      </w:r>
    </w:p>
    <w:p>
      <w:r>
        <w:br w:type="page"/>
      </w:r>
    </w:p>
    <w:p>
      <w:pPr>
        <w:pStyle w:val="Heading1"/>
        <w:spacing w:after="120"/>
      </w:pPr>
      <w:r>
        <w:rPr>
          <w:rFonts w:ascii="Arial" w:cs="Arial" w:eastAsia="Arial" w:hAnsi="Arial"/>
          <w:b/>
          <w:bCs/>
          <w:color w:val="1B2A5C"/>
          <w:sz w:val="30"/>
          <w:szCs w:val="30"/>
        </w:rPr>
        <w:t xml:space="preserve">AI Disclosure Appendix</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4226"/>
      </w:tblGrid>
      <w:tr>
        <w:trPr>
          <w:cantSplit/>
          <w:tblHeader/>
        </w:trPr>
        <w:tc>
          <w:tcPr>
            <w:tcW w:type="dxa" w:w="19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AI tool used</w:t>
            </w:r>
          </w:p>
        </w:tc>
        <w:tc>
          <w:tcPr>
            <w:tcW w:type="dxa" w:w="2900"/>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Purpose / how it was used</w:t>
            </w:r>
          </w:p>
        </w:tc>
        <w:tc>
          <w:tcPr>
            <w:tcW w:type="dxa" w:w="4226"/>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How I verified or adapted the output</w:t>
            </w:r>
          </w:p>
        </w:tc>
      </w:tr>
      <w:tr>
        <w:trPr>
          <w:cantSplit/>
          <w:tblHeader w:val="off"/>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Claude</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Drafting the deliverable structure; writing and debugging the scoring scripts; analysing the result files</w:t>
            </w:r>
          </w:p>
        </w:tc>
        <w:tc>
          <w:tcPr>
            <w:tcW w:type="dxa" w:w="4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Every figure checked against the result CSV files; scripts run by the group on their own machines; text reviewed and edited by the group before submission</w:t>
            </w:r>
          </w:p>
        </w:tc>
      </w:tr>
      <w:tr>
        <w:trPr>
          <w:cantSplit/>
          <w:tblHeader w:val="off"/>
        </w:trPr>
        <w:tc>
          <w:tcPr>
            <w:tcW w:type="dxa" w:w="1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Grammarly</w:t>
            </w:r>
          </w:p>
        </w:tc>
        <w:tc>
          <w:tcPr>
            <w:tcW w:type="dxa" w:w="2900"/>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Spelling and grammar</w:t>
            </w:r>
          </w:p>
        </w:tc>
        <w:tc>
          <w:tcPr>
            <w:tcW w:type="dxa" w:w="4226"/>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Re-read to confirm meaning was not changed</w:t>
            </w:r>
          </w:p>
        </w:tc>
      </w:tr>
    </w:tbl>
    <w:p>
      <w:pPr>
        <w:spacing w:after="120" w:before="300"/>
      </w:pPr>
      <w:r>
        <w:rPr>
          <w:rFonts w:ascii="Arial" w:cs="Arial" w:eastAsia="Arial" w:hAnsi="Arial"/>
          <w:b/>
          <w:bCs/>
          <w:sz w:val="22"/>
          <w:szCs w:val="22"/>
        </w:rPr>
        <w:t xml:space="preserve">Declaration:</w:t>
      </w:r>
    </w:p>
    <w:p>
      <w:pPr>
        <w:spacing w:after="160"/>
      </w:pPr>
      <w:r>
        <w:rPr>
          <w:rFonts w:ascii="Arial" w:cs="Arial" w:eastAsia="Arial" w:hAnsi="Arial"/>
          <w:sz w:val="21"/>
          <w:szCs w:val="21"/>
        </w:rPr>
        <w:t xml:space="preserve">I/we declare that this assessment is my/our own original work, except for source material explicitly acknowledged. I/we confirm that any use of Artificial Intelligence (AI) tools has been applied only as permitted by the assessment instructions and has been fully disclosed where required.</w:t>
      </w:r>
    </w:p>
    <w:p>
      <w:pPr>
        <w:spacing w:after="160"/>
      </w:pPr>
      <w:r>
        <w:rPr>
          <w:rFonts w:ascii="Arial" w:cs="Arial" w:eastAsia="Arial" w:hAnsi="Arial"/>
          <w:sz w:val="21"/>
          <w:szCs w:val="21"/>
        </w:rPr>
        <w:t xml:space="preserve">I/we understand that I/we remain responsible for the accuracy, originality, and academic quality of this submission. I/we am/are aware of the institution’s policies on academic integrity and the requirements relating to the responsible use of AI in assessments.</w:t>
      </w:r>
    </w:p>
    <w:p>
      <w:pPr>
        <w:spacing w:after="160"/>
      </w:pPr>
      <w:r>
        <w:rPr>
          <w:rFonts w:ascii="Arial" w:cs="Arial" w:eastAsia="Arial" w:hAnsi="Arial"/>
          <w:sz w:val="21"/>
          <w:szCs w:val="21"/>
        </w:rPr>
        <w:t xml:space="preserve">I/we acknowledge that failure to comply with these requirements, including undeclared or inappropriate AI use, may result in academic penalties or disciplinary procedures in accordance with institutional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Student Signature(s)</w:t>
            </w:r>
          </w:p>
        </w:tc>
        <w:tc>
          <w:tcPr>
            <w:tcW w:type="dxa" w:w="4513"/>
            <w:tcBorders>
              <w:top w:val="single" w:color="8C8C8C" w:sz="4"/>
              <w:left w:val="single" w:color="8C8C8C" w:sz="4"/>
              <w:bottom w:val="single" w:color="8C8C8C" w:sz="4"/>
              <w:right w:val="single" w:color="8C8C8C" w:sz="4"/>
            </w:tcBorders>
            <w:shd w:fill="1B2A5C" w:val="clear"/>
            <w:tcMar>
              <w:top w:type="dxa" w:w="50"/>
              <w:left w:type="dxa" w:w="90"/>
              <w:bottom w:type="dxa" w:w="50"/>
              <w:right w:type="dxa" w:w="90"/>
            </w:tcMar>
          </w:tcPr>
          <w:p>
            <w:pPr>
              <w:spacing w:after="20"/>
            </w:pPr>
            <w:r>
              <w:rPr>
                <w:rFonts w:ascii="Arial" w:cs="Arial" w:eastAsia="Arial" w:hAnsi="Arial"/>
                <w:b/>
                <w:bCs/>
                <w:color w:val="FFFFFF"/>
                <w:sz w:val="18"/>
                <w:szCs w:val="18"/>
              </w:rPr>
              <w:t xml:space="preserve">Date</w:t>
            </w:r>
          </w:p>
        </w:tc>
      </w:tr>
      <w:tr>
        <w:trPr>
          <w:cantSplit/>
          <w:tblHeader w:val="off"/>
        </w:trPr>
        <w:tc>
          <w:tcPr>
            <w:tcW w:type="dxa" w:w="45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D.I</w:t>
            </w:r>
          </w:p>
        </w:tc>
        <w:tc>
          <w:tcPr>
            <w:tcW w:type="dxa" w:w="45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30 October 2026</w:t>
            </w:r>
          </w:p>
        </w:tc>
      </w:tr>
      <w:tr>
        <w:trPr>
          <w:cantSplit/>
          <w:tblHeader w:val="off"/>
        </w:trPr>
        <w:tc>
          <w:tcPr>
            <w:tcW w:type="dxa" w:w="45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NZ.N</w:t>
            </w:r>
          </w:p>
        </w:tc>
        <w:tc>
          <w:tcPr>
            <w:tcW w:type="dxa" w:w="45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30 October 2026</w:t>
            </w:r>
          </w:p>
        </w:tc>
      </w:tr>
      <w:tr>
        <w:trPr>
          <w:cantSplit/>
          <w:tblHeader w:val="off"/>
        </w:trPr>
        <w:tc>
          <w:tcPr>
            <w:tcW w:type="dxa" w:w="45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Z. M</w:t>
            </w:r>
          </w:p>
        </w:tc>
        <w:tc>
          <w:tcPr>
            <w:tcW w:type="dxa" w:w="45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30 October 2026</w:t>
            </w:r>
          </w:p>
        </w:tc>
      </w:tr>
      <w:tr>
        <w:trPr>
          <w:cantSplit/>
          <w:tblHeader w:val="off"/>
        </w:trPr>
        <w:tc>
          <w:tcPr>
            <w:tcW w:type="dxa" w:w="45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R.R</w:t>
            </w:r>
          </w:p>
        </w:tc>
        <w:tc>
          <w:tcPr>
            <w:tcW w:type="dxa" w:w="45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30 October 2026</w:t>
            </w:r>
          </w:p>
        </w:tc>
      </w:tr>
      <w:tr>
        <w:trPr>
          <w:cantSplit/>
          <w:tblHeader w:val="off"/>
        </w:trPr>
        <w:tc>
          <w:tcPr>
            <w:tcW w:type="dxa" w:w="45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L.L.N</w:t>
            </w:r>
          </w:p>
        </w:tc>
        <w:tc>
          <w:tcPr>
            <w:tcW w:type="dxa" w:w="4513"/>
            <w:tcBorders>
              <w:top w:val="single" w:color="8C8C8C" w:sz="4"/>
              <w:left w:val="single" w:color="8C8C8C" w:sz="4"/>
              <w:bottom w:val="single" w:color="8C8C8C" w:sz="4"/>
              <w:right w:val="single" w:color="8C8C8C" w:sz="4"/>
            </w:tcBorders>
            <w:tcMar>
              <w:top w:type="dxa" w:w="50"/>
              <w:left w:type="dxa" w:w="90"/>
              <w:bottom w:type="dxa" w:w="50"/>
              <w:right w:type="dxa" w:w="90"/>
            </w:tcMar>
          </w:tcPr>
          <w:p>
            <w:pPr>
              <w:spacing w:after="20"/>
            </w:pPr>
            <w:r>
              <w:rPr>
                <w:rFonts w:ascii="Arial" w:cs="Arial" w:eastAsia="Arial" w:hAnsi="Arial"/>
                <w:sz w:val="18"/>
                <w:szCs w:val="18"/>
              </w:rPr>
              <w:t xml:space="preserve">30 October 2026</w:t>
            </w:r>
          </w:p>
        </w:tc>
      </w:tr>
    </w:tbl>
    <w:sectPr>
      <w:footerReference w:type="default" r:id="rId6"/>
      <w:pgSz w:w="11906" w:h="16838" w:orient="portrait"/>
      <w:pgMar w:top="1300" w:right="1440" w:bottom="130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6"/>
        <w:szCs w:val="16"/>
      </w:rPr>
      <w:t xml:space="preserve">ITNPA3-B34 – Deliverable 5</w:t>
    </w:r>
    <w:r>
      <w:rPr>
        <w:rFonts w:ascii="Arial" w:cs="Arial" w:eastAsia="Arial" w:hAnsi="Arial"/>
        <w:color w:val="595959"/>
        <w:sz w:val="16"/>
        <w:szCs w:val="16"/>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outlineLvl w:val="0"/>
    </w:pPr>
    <w:rPr>
      <w:rFonts w:ascii="Arial" w:cs="Arial" w:eastAsia="Arial" w:hAnsi="Arial"/>
      <w:b/>
      <w:bCs/>
      <w:sz w:val="30"/>
      <w:szCs w:val="30"/>
    </w:rPr>
  </w:style>
  <w:style w:type="paragraph" w:styleId="Heading2">
    <w:name w:val="Heading 2"/>
    <w:basedOn w:val="Normal"/>
    <w:next w:val="Normal"/>
    <w:qFormat/>
    <w:pPr>
      <w:keepNext/>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40d516de4b62f55314d28f6b1320443b6f3694c2.png"/><Relationship Id="rId9" Type="http://schemas.openxmlformats.org/officeDocument/2006/relationships/image" Target="media/905b23c810175bc72333288f37bddc951c37d927.png"/><Relationship Id="rId10" Type="http://schemas.openxmlformats.org/officeDocument/2006/relationships/image" Target="media/93a4e3857c1fde0ca03bfbea8585687ce9df32f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2026-10-28T11:09:10.099Z</dcterms:created>
  <dcterms:modified xsi:type="dcterms:W3CDTF">2026-10-28T11:09:10.100Z</dcterms:modified>
</cp:coreProperties>
</file>

<file path=docProps/custom.xml><?xml version="1.0" encoding="utf-8"?>
<Properties xmlns="http://schemas.openxmlformats.org/officeDocument/2006/custom-properties" xmlns:vt="http://schemas.openxmlformats.org/officeDocument/2006/docPropsVTypes"/>
</file>