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C7FE" w14:textId="77777777" w:rsidR="00BA1C16" w:rsidRPr="00CD5FEF" w:rsidRDefault="00000000">
      <w:pPr>
        <w:spacing w:after="120"/>
        <w:jc w:val="center"/>
      </w:pPr>
      <w:r w:rsidRPr="00CD5FEF">
        <w:rPr>
          <w:b/>
          <w:bCs/>
          <w:sz w:val="48"/>
          <w:szCs w:val="48"/>
        </w:rPr>
        <w:t>Toma de decisiones</w:t>
      </w:r>
    </w:p>
    <w:p w14:paraId="3E9AC7FF" w14:textId="77777777" w:rsidR="00BA1C16" w:rsidRPr="00CD5FEF" w:rsidRDefault="00000000">
      <w:pPr>
        <w:spacing w:after="80"/>
        <w:jc w:val="center"/>
      </w:pPr>
      <w:r w:rsidRPr="00CD5FEF">
        <w:rPr>
          <w:sz w:val="26"/>
          <w:szCs w:val="26"/>
        </w:rPr>
        <w:t>Propuesta de Rediseño — Tribunal Supremo de Elecciones</w:t>
      </w:r>
    </w:p>
    <w:p w14:paraId="3E9AC800" w14:textId="77777777" w:rsidR="00BA1C16" w:rsidRPr="00CD5FEF" w:rsidRDefault="00000000">
      <w:pPr>
        <w:spacing w:after="60"/>
        <w:jc w:val="center"/>
      </w:pPr>
      <w:r w:rsidRPr="00CD5FEF">
        <w:rPr>
          <w:i/>
          <w:iCs/>
        </w:rPr>
        <w:t>Derrick Aarón Gonzalez Silva · Dilan Zamora Sánchez</w:t>
      </w:r>
    </w:p>
    <w:p w14:paraId="3E9AC801" w14:textId="18889E02" w:rsidR="00BA1C16" w:rsidRPr="00CD5FEF" w:rsidRDefault="00000000">
      <w:pPr>
        <w:spacing w:after="480"/>
        <w:jc w:val="center"/>
      </w:pPr>
      <w:r w:rsidRPr="00CD5FEF">
        <w:t xml:space="preserve">Instituto Tecnológico de Costa </w:t>
      </w:r>
      <w:r w:rsidR="00CD5FEF" w:rsidRPr="00CD5FEF">
        <w:t>Rica,</w:t>
      </w:r>
      <w:r w:rsidRPr="00CD5FEF">
        <w:t xml:space="preserve"> Diseño de Software, 2026</w:t>
      </w:r>
    </w:p>
    <w:p w14:paraId="3E9AC802" w14:textId="77777777" w:rsidR="00BA1C16" w:rsidRPr="00CD5FEF" w:rsidRDefault="00000000">
      <w:pPr>
        <w:pStyle w:val="Ttulo1"/>
        <w:spacing w:before="360" w:after="160"/>
        <w:rPr>
          <w:color w:val="auto"/>
        </w:rPr>
      </w:pPr>
      <w:r w:rsidRPr="00CD5FEF">
        <w:rPr>
          <w:b/>
          <w:bCs/>
          <w:color w:val="auto"/>
        </w:rPr>
        <w:t>1. Punto de partida</w:t>
      </w:r>
    </w:p>
    <w:p w14:paraId="3E9AC803" w14:textId="790F2D9C" w:rsidR="00BA1C16" w:rsidRPr="00CD5FEF" w:rsidRDefault="00000000">
      <w:pPr>
        <w:spacing w:before="80" w:after="120"/>
      </w:pPr>
      <w:r w:rsidRPr="00CD5FEF">
        <w:t xml:space="preserve">Cuando arrancamos este proyecto la pregunta obvia era: ¿qué tan lejos podemos llevar un rediseño de un sitio gubernamental sin pasarnos de la raya? La respuesta no es tan simple como parece. Un sitio del Estado no es una tienda en línea ni </w:t>
      </w:r>
      <w:r w:rsidR="00CD5FEF" w:rsidRPr="00CD5FEF">
        <w:t>un startup,</w:t>
      </w:r>
      <w:r w:rsidRPr="00CD5FEF">
        <w:t xml:space="preserve"> tiene restricciones reales, legales y de imagen, que terminan afectando directamente qué se puede mostrar, cómo se muestra y hasta qué colores se usan.</w:t>
      </w:r>
    </w:p>
    <w:p w14:paraId="3E9AC805" w14:textId="66859ABD" w:rsidR="00BA1C16" w:rsidRPr="00CD5FEF" w:rsidRDefault="00000000" w:rsidP="00FC631C">
      <w:pPr>
        <w:spacing w:before="80" w:after="120"/>
      </w:pPr>
      <w:r w:rsidRPr="00CD5FEF">
        <w:t>Lo que sigue es un registro honesto de esas decisiones: por qué se tomaron, qué las limitó y qué se sacrificó en el camino.</w:t>
      </w:r>
    </w:p>
    <w:p w14:paraId="3E9AC806" w14:textId="14C7DD1C" w:rsidR="00BA1C16" w:rsidRPr="00CD5FEF" w:rsidRDefault="00000000">
      <w:pPr>
        <w:pStyle w:val="Ttulo1"/>
        <w:spacing w:before="360" w:after="160"/>
        <w:rPr>
          <w:color w:val="auto"/>
        </w:rPr>
      </w:pPr>
      <w:r w:rsidRPr="00CD5FEF">
        <w:rPr>
          <w:b/>
          <w:bCs/>
          <w:color w:val="auto"/>
        </w:rPr>
        <w:t xml:space="preserve">2. Identidad </w:t>
      </w:r>
      <w:r w:rsidR="00CD5FEF" w:rsidRPr="00CD5FEF">
        <w:rPr>
          <w:b/>
          <w:bCs/>
          <w:color w:val="auto"/>
        </w:rPr>
        <w:t>visual,</w:t>
      </w:r>
      <w:r w:rsidRPr="00CD5FEF">
        <w:rPr>
          <w:b/>
          <w:bCs/>
          <w:color w:val="auto"/>
        </w:rPr>
        <w:t xml:space="preserve"> colores y por qué no había mucho donde escoger</w:t>
      </w:r>
    </w:p>
    <w:p w14:paraId="3E9AC807" w14:textId="3311D6DA" w:rsidR="00BA1C16" w:rsidRPr="00CD5FEF" w:rsidRDefault="00000000">
      <w:pPr>
        <w:spacing w:before="80" w:after="120"/>
      </w:pPr>
      <w:r w:rsidRPr="00CD5FEF">
        <w:t xml:space="preserve">Lo primero que salta a la vista es que la paleta de colores es azul, rojo y blanco. No es una decisión de gusto </w:t>
      </w:r>
      <w:r w:rsidR="00CD5FEF" w:rsidRPr="00CD5FEF">
        <w:t>personal,</w:t>
      </w:r>
      <w:r w:rsidRPr="00CD5FEF">
        <w:t xml:space="preserve"> es la bandera de Costa Rica, y el TSE como institución del Estado la usa de manera oficial. Cambiarla hubiera sido equivalente a presentar un rediseño del sitio de la Cruz Roja usando verde lima.</w:t>
      </w:r>
    </w:p>
    <w:p w14:paraId="3E9AC808" w14:textId="77777777" w:rsidR="00BA1C16" w:rsidRPr="00CD5FEF" w:rsidRDefault="00000000">
      <w:pPr>
        <w:spacing w:before="80" w:after="120"/>
      </w:pPr>
      <w:r w:rsidRPr="00CD5FEF">
        <w:t>Dicho eso, sí había espacio para tomar decisiones dentro de esa restricción:</w:t>
      </w:r>
    </w:p>
    <w:p w14:paraId="3E9AC809" w14:textId="77777777" w:rsidR="00BA1C16" w:rsidRPr="00CD5FEF" w:rsidRDefault="00000000">
      <w:pPr>
        <w:pStyle w:val="Prrafodelista"/>
        <w:numPr>
          <w:ilvl w:val="0"/>
          <w:numId w:val="2"/>
        </w:numPr>
        <w:spacing w:before="60" w:after="60"/>
      </w:pPr>
      <w:r w:rsidRPr="00CD5FEF">
        <w:t>Se eligió un tema oscuro como predeterminado. El sitio original del TSE usa fondo blanco. El tema oscuro con azul profundo hace que los acentos en azul TSE y rojo resalten más sin verse agresivos. Es más fácil mantener jerarquía visual cuando el fondo no compite con los colores institucionales.</w:t>
      </w:r>
    </w:p>
    <w:p w14:paraId="3E9AC80A" w14:textId="399424B2" w:rsidR="00BA1C16" w:rsidRPr="00CD5FEF" w:rsidRDefault="00000000">
      <w:pPr>
        <w:pStyle w:val="Prrafodelista"/>
        <w:numPr>
          <w:ilvl w:val="0"/>
          <w:numId w:val="2"/>
        </w:numPr>
        <w:spacing w:before="60" w:after="60"/>
      </w:pPr>
      <w:r w:rsidRPr="00CD5FEF">
        <w:t xml:space="preserve">Se implementó </w:t>
      </w:r>
      <w:r w:rsidR="00CD5FEF" w:rsidRPr="00CD5FEF">
        <w:t>alternancia oscura</w:t>
      </w:r>
      <w:r w:rsidRPr="00CD5FEF">
        <w:t xml:space="preserve">/claro. No todos los usuarios prefieren el tema oscuro, y en un sitio público eso importa. La versión clara mantiene los mismos </w:t>
      </w:r>
      <w:r w:rsidR="00CD5FEF" w:rsidRPr="00CD5FEF">
        <w:t>colores,</w:t>
      </w:r>
      <w:r w:rsidRPr="00CD5FEF">
        <w:t xml:space="preserve"> pero con fondos en tonos azul muy pálido para no perder la identidad.</w:t>
      </w:r>
    </w:p>
    <w:p w14:paraId="3E9AC80C" w14:textId="49EAB85B" w:rsidR="00BA1C16" w:rsidRPr="00CD5FEF" w:rsidRDefault="00000000" w:rsidP="00FC631C">
      <w:pPr>
        <w:pStyle w:val="Prrafodelista"/>
        <w:numPr>
          <w:ilvl w:val="0"/>
          <w:numId w:val="2"/>
        </w:numPr>
        <w:spacing w:before="60" w:after="60"/>
      </w:pPr>
      <w:r w:rsidRPr="00CD5FEF">
        <w:t xml:space="preserve">La bandera aparece en múltiples </w:t>
      </w:r>
      <w:r w:rsidR="00CD5FEF" w:rsidRPr="00CD5FEF">
        <w:t>lugares,</w:t>
      </w:r>
      <w:r w:rsidRPr="00CD5FEF">
        <w:t xml:space="preserve"> como franja en el navbar, como acento vertical en el hero, como barra en el footer. Esto fue una decisión deliberada para que la identidad institucional estuviera presente sin necesitar poner el escudo o el logo en cada esquina.</w:t>
      </w:r>
    </w:p>
    <w:p w14:paraId="3E9AC80D" w14:textId="6B871A38" w:rsidR="00BA1C16" w:rsidRPr="00CD5FEF" w:rsidRDefault="00000000">
      <w:pPr>
        <w:pStyle w:val="Ttulo1"/>
        <w:spacing w:before="360" w:after="160"/>
        <w:rPr>
          <w:color w:val="auto"/>
        </w:rPr>
      </w:pPr>
      <w:r w:rsidRPr="00CD5FEF">
        <w:rPr>
          <w:b/>
          <w:bCs/>
          <w:color w:val="auto"/>
        </w:rPr>
        <w:t xml:space="preserve">3. Información que se </w:t>
      </w:r>
      <w:r w:rsidR="00CD5FEF" w:rsidRPr="00CD5FEF">
        <w:rPr>
          <w:b/>
          <w:bCs/>
          <w:color w:val="auto"/>
        </w:rPr>
        <w:t>muestra,</w:t>
      </w:r>
      <w:r w:rsidRPr="00CD5FEF">
        <w:rPr>
          <w:b/>
          <w:bCs/>
          <w:color w:val="auto"/>
        </w:rPr>
        <w:t xml:space="preserve"> lo que la ley define</w:t>
      </w:r>
    </w:p>
    <w:p w14:paraId="3E9AC80E" w14:textId="77777777" w:rsidR="00BA1C16" w:rsidRPr="00CD5FEF" w:rsidRDefault="00000000">
      <w:pPr>
        <w:spacing w:before="80" w:after="120"/>
      </w:pPr>
      <w:r w:rsidRPr="00CD5FEF">
        <w:t>Esta es la parte que más afectó el desarrollo. La consulta de datos civiles es la funcionalidad más sensible de la app, y hubo decisiones concretas que se tomaron precisamente por el marco legal.</w:t>
      </w:r>
    </w:p>
    <w:p w14:paraId="3E9AC80F" w14:textId="77777777" w:rsidR="00BA1C16" w:rsidRPr="00CD5FEF" w:rsidRDefault="00000000">
      <w:pPr>
        <w:pStyle w:val="Ttulo2"/>
        <w:spacing w:before="280" w:after="100"/>
        <w:rPr>
          <w:color w:val="auto"/>
        </w:rPr>
      </w:pPr>
      <w:r w:rsidRPr="00CD5FEF">
        <w:rPr>
          <w:b/>
          <w:bCs/>
          <w:color w:val="auto"/>
        </w:rPr>
        <w:t>3.1 Por qué solo se muestran nombre, cédula y clasificación</w:t>
      </w:r>
    </w:p>
    <w:p w14:paraId="3E9AC810" w14:textId="2ADD25E5" w:rsidR="00BA1C16" w:rsidRPr="00CD5FEF" w:rsidRDefault="00000000">
      <w:pPr>
        <w:spacing w:before="80" w:after="120"/>
      </w:pPr>
      <w:r w:rsidRPr="00CD5FEF">
        <w:lastRenderedPageBreak/>
        <w:t xml:space="preserve">La API de gometa.org devuelve campos como nombre completo, cédula, tipo y clasificación. En ningún momento devuelve fecha de nacimiento, dirección, estado civil ni información de </w:t>
      </w:r>
      <w:r w:rsidR="00CD5FEF" w:rsidRPr="00CD5FEF">
        <w:t>contacto,</w:t>
      </w:r>
      <w:r w:rsidRPr="00CD5FEF">
        <w:t xml:space="preserve"> y eso es intencional de parte de la fuente.</w:t>
      </w:r>
    </w:p>
    <w:p w14:paraId="3E9AC811" w14:textId="34CC8C04" w:rsidR="00BA1C16" w:rsidRPr="00CD5FEF" w:rsidRDefault="00000000">
      <w:pPr>
        <w:spacing w:before="80" w:after="120"/>
      </w:pPr>
      <w:r w:rsidRPr="00CD5FEF">
        <w:t xml:space="preserve">La Ley 8968 (Ley de Protección de la Persona frente al Tratamiento de sus Datos Personales) establece que datos como dirección de domicilio, fecha de nacimiento o información patrimonial son datos sensibles cuyo tratamiento requiere consentimiento explícito. Como prototipo académico, no se tiene ningún mecanismo de consentimiento ni una base legal para procesar esa </w:t>
      </w:r>
      <w:r w:rsidR="00CD5FEF" w:rsidRPr="00CD5FEF">
        <w:t>información,</w:t>
      </w:r>
      <w:r w:rsidRPr="00CD5FEF">
        <w:t xml:space="preserve"> así </w:t>
      </w:r>
      <w:r w:rsidR="00CD5FEF" w:rsidRPr="00CD5FEF">
        <w:t>que,</w:t>
      </w:r>
      <w:r w:rsidRPr="00CD5FEF">
        <w:t xml:space="preserve"> aunque se quisiera mostrar más, no corresponde hacerlo.</w:t>
      </w:r>
    </w:p>
    <w:p w14:paraId="3E9AC812" w14:textId="77777777" w:rsidR="00BA1C16" w:rsidRPr="00CD5FEF" w:rsidRDefault="00000000">
      <w:pPr>
        <w:pStyle w:val="Ttulo2"/>
        <w:spacing w:before="280" w:after="100"/>
        <w:rPr>
          <w:color w:val="auto"/>
        </w:rPr>
      </w:pPr>
      <w:r w:rsidRPr="00CD5FEF">
        <w:rPr>
          <w:b/>
          <w:bCs/>
          <w:color w:val="auto"/>
        </w:rPr>
        <w:t>3.2 Por qué no se guarda nada de lo que se busca</w:t>
      </w:r>
    </w:p>
    <w:p w14:paraId="3E9AC813" w14:textId="595C096B" w:rsidR="00BA1C16" w:rsidRPr="00CD5FEF" w:rsidRDefault="00000000">
      <w:pPr>
        <w:spacing w:before="80" w:after="120"/>
      </w:pPr>
      <w:r w:rsidRPr="00CD5FEF">
        <w:t xml:space="preserve">El prototipo no tiene base de datos, no usa almacenamiento local, no envía nada a ningún servidor propio. Cada búsqueda va </w:t>
      </w:r>
      <w:r w:rsidR="00CD5FEF" w:rsidRPr="00CD5FEF">
        <w:t>directa</w:t>
      </w:r>
      <w:r w:rsidRPr="00CD5FEF">
        <w:t xml:space="preserve"> desde el navegador del usuario a la API de </w:t>
      </w:r>
      <w:r w:rsidR="00CD5FEF" w:rsidRPr="00CD5FEF">
        <w:t>cometa</w:t>
      </w:r>
      <w:r w:rsidRPr="00CD5FEF">
        <w:t>, y cuando se cierra el popup o se limpia el campo, esa información desaparece.</w:t>
      </w:r>
    </w:p>
    <w:p w14:paraId="3E9AC814" w14:textId="47E0A259" w:rsidR="00BA1C16" w:rsidRPr="00CD5FEF" w:rsidRDefault="00000000">
      <w:pPr>
        <w:spacing w:before="80" w:after="120"/>
      </w:pPr>
      <w:r w:rsidRPr="00CD5FEF">
        <w:t xml:space="preserve">Esto no es </w:t>
      </w:r>
      <w:r w:rsidR="00CD5FEF" w:rsidRPr="00CD5FEF">
        <w:t>descuido,</w:t>
      </w:r>
      <w:r w:rsidRPr="00CD5FEF">
        <w:t xml:space="preserve"> es una decisión. Almacenar búsquedas de cédulas sin el consentimiento del usuario sería problemático bajo la misma Ley 8968, y en un prototipo académico no hay razón para asumir ese riesgo.</w:t>
      </w:r>
    </w:p>
    <w:p w14:paraId="3E9AC815" w14:textId="77777777" w:rsidR="00BA1C16" w:rsidRPr="00CD5FEF" w:rsidRDefault="00000000">
      <w:pPr>
        <w:pStyle w:val="Ttulo2"/>
        <w:spacing w:before="280" w:after="100"/>
        <w:rPr>
          <w:color w:val="auto"/>
        </w:rPr>
      </w:pPr>
      <w:r w:rsidRPr="00CD5FEF">
        <w:rPr>
          <w:b/>
          <w:bCs/>
          <w:color w:val="auto"/>
        </w:rPr>
        <w:t>3.3 Por qué se normaliza la Ñ antes de buscar</w:t>
      </w:r>
    </w:p>
    <w:p w14:paraId="3E9AC816" w14:textId="6E58214D" w:rsidR="00BA1C16" w:rsidRPr="00CD5FEF" w:rsidRDefault="00000000">
      <w:pPr>
        <w:spacing w:before="80" w:after="120"/>
      </w:pPr>
      <w:r w:rsidRPr="00CD5FEF">
        <w:t xml:space="preserve">La API no maneja bien caracteres especiales del español en las búsquedas por nombre. Antes de enviar el query, el sistema convierte la Ñ en N y elimina tildes mediante normalización Unicode. Esto significa </w:t>
      </w:r>
      <w:r w:rsidR="00CD5FEF" w:rsidRPr="00CD5FEF">
        <w:t>que,</w:t>
      </w:r>
      <w:r w:rsidRPr="00CD5FEF">
        <w:t xml:space="preserve"> si alguien busca “UREÑA”, la app busca “URENA” internamente.</w:t>
      </w:r>
    </w:p>
    <w:p w14:paraId="3E9AC818" w14:textId="3482C72A" w:rsidR="00BA1C16" w:rsidRPr="00CD5FEF" w:rsidRDefault="00000000" w:rsidP="00FC631C">
      <w:pPr>
        <w:spacing w:before="80" w:after="120"/>
      </w:pPr>
      <w:r w:rsidRPr="00CD5FEF">
        <w:t>Es un compromiso funcional: se pierde precisión tipográfica para ganar resultados. En un sistema real esto se resolvería del lado del servidor, pero dado que se depende de una API de terceros sin control sobre su implementación, es la solución más pragmática disponible.</w:t>
      </w:r>
    </w:p>
    <w:p w14:paraId="3E9AC819" w14:textId="6722FC75" w:rsidR="00BA1C16" w:rsidRPr="00CD5FEF" w:rsidRDefault="00000000">
      <w:pPr>
        <w:pStyle w:val="Ttulo1"/>
        <w:spacing w:before="360" w:after="160"/>
        <w:rPr>
          <w:color w:val="auto"/>
        </w:rPr>
      </w:pPr>
      <w:r w:rsidRPr="00CD5FEF">
        <w:rPr>
          <w:b/>
          <w:bCs/>
          <w:color w:val="auto"/>
        </w:rPr>
        <w:t xml:space="preserve">4. La API de </w:t>
      </w:r>
      <w:r w:rsidR="00CD5FEF" w:rsidRPr="00CD5FEF">
        <w:rPr>
          <w:b/>
          <w:bCs/>
          <w:color w:val="auto"/>
        </w:rPr>
        <w:t>terceros,</w:t>
      </w:r>
      <w:r w:rsidRPr="00CD5FEF">
        <w:rPr>
          <w:b/>
          <w:bCs/>
          <w:color w:val="auto"/>
        </w:rPr>
        <w:t xml:space="preserve"> una dependencia que no controlamos</w:t>
      </w:r>
    </w:p>
    <w:p w14:paraId="3E9AC81A" w14:textId="77777777" w:rsidR="00BA1C16" w:rsidRPr="00CD5FEF" w:rsidRDefault="00000000">
      <w:pPr>
        <w:spacing w:before="80" w:after="120"/>
      </w:pPr>
      <w:r w:rsidRPr="00CD5FEF">
        <w:t>Usar gometa.org fue una decisión práctica. El TSE real tiene sus propios sistemas de consulta, pero no expone una API pública documentada para uso externo. gometa.org es un servicio independiente que actúa como caché de los datos del Ministerio de Hacienda de Costa Rica.</w:t>
      </w:r>
    </w:p>
    <w:p w14:paraId="3E9AC81B" w14:textId="77777777" w:rsidR="00BA1C16" w:rsidRPr="00CD5FEF" w:rsidRDefault="00000000">
      <w:pPr>
        <w:spacing w:before="80" w:after="120"/>
      </w:pPr>
      <w:r w:rsidRPr="00CD5FEF">
        <w:t>Eso implica limitantes concretas:</w:t>
      </w:r>
    </w:p>
    <w:p w14:paraId="3E9AC81C" w14:textId="4F499D0E" w:rsidR="00BA1C16" w:rsidRPr="00CD5FEF" w:rsidRDefault="00000000">
      <w:pPr>
        <w:pStyle w:val="Prrafodelista"/>
        <w:numPr>
          <w:ilvl w:val="0"/>
          <w:numId w:val="2"/>
        </w:numPr>
        <w:spacing w:before="60" w:after="60"/>
      </w:pPr>
      <w:r w:rsidRPr="00CD5FEF">
        <w:t xml:space="preserve">20 solicitudes por IP cada 5 minutos en la capa gratuita. En un contexto real de producción esto sería un problema </w:t>
      </w:r>
      <w:r w:rsidR="00CD5FEF" w:rsidRPr="00CD5FEF">
        <w:t>serio,</w:t>
      </w:r>
      <w:r w:rsidRPr="00CD5FEF">
        <w:t xml:space="preserve"> en un prototipo académico es aceptable.</w:t>
      </w:r>
    </w:p>
    <w:p w14:paraId="3E9AC81D" w14:textId="77777777" w:rsidR="00BA1C16" w:rsidRPr="00CD5FEF" w:rsidRDefault="00000000">
      <w:pPr>
        <w:pStyle w:val="Prrafodelista"/>
        <w:numPr>
          <w:ilvl w:val="0"/>
          <w:numId w:val="2"/>
        </w:numPr>
        <w:spacing w:before="60" w:after="60"/>
      </w:pPr>
      <w:r w:rsidRPr="00CD5FEF">
        <w:t>Los datos pueden tener hasta 7 días de desfase. Si alguien actualiza su cédula hoy, es posible que el sistema no lo refleje de inmediato.</w:t>
      </w:r>
    </w:p>
    <w:p w14:paraId="3E9AC81F" w14:textId="25F6211B" w:rsidR="00BA1C16" w:rsidRPr="00CD5FEF" w:rsidRDefault="00000000" w:rsidP="00FC631C">
      <w:pPr>
        <w:pStyle w:val="Prrafodelista"/>
        <w:numPr>
          <w:ilvl w:val="0"/>
          <w:numId w:val="2"/>
        </w:numPr>
        <w:spacing w:before="60" w:after="60"/>
      </w:pPr>
      <w:r w:rsidRPr="00CD5FEF">
        <w:t>Si gometa.org cae, la funcionalidad de consulta no funciona. No hay fallback. En producción real se necesitaría un acuerdo directo con el TSE o una capa propia de caché.</w:t>
      </w:r>
    </w:p>
    <w:p w14:paraId="3E9AC820" w14:textId="77777777" w:rsidR="00BA1C16" w:rsidRPr="00CD5FEF" w:rsidRDefault="00000000">
      <w:pPr>
        <w:pStyle w:val="Ttulo1"/>
        <w:spacing w:before="360" w:after="160"/>
        <w:rPr>
          <w:color w:val="auto"/>
        </w:rPr>
      </w:pPr>
      <w:r w:rsidRPr="00CD5FEF">
        <w:rPr>
          <w:b/>
          <w:bCs/>
          <w:color w:val="auto"/>
        </w:rPr>
        <w:t>5. Lo que no se implementó y por qué</w:t>
      </w:r>
    </w:p>
    <w:p w14:paraId="3E9AC821" w14:textId="661F8F2C" w:rsidR="00BA1C16" w:rsidRPr="00CD5FEF" w:rsidRDefault="00000000">
      <w:pPr>
        <w:spacing w:before="80" w:after="120"/>
      </w:pPr>
      <w:r w:rsidRPr="00CD5FEF">
        <w:t xml:space="preserve">Padrón electoral: El prototipo original incluía una sección de padrón con datos ficticios. Se decidió no conectarla a ninguna API real porque la información del padrón (centro de votación, junta receptora, distrito) tiene implicaciones más delicadas que el simple dato </w:t>
      </w:r>
      <w:r w:rsidR="00CD5FEF" w:rsidRPr="00CD5FEF">
        <w:t>civil,</w:t>
      </w:r>
      <w:r w:rsidRPr="00CD5FEF">
        <w:t xml:space="preserve"> en manos incorrectas podría usarse para identificar la ubicación geográfica aproximada de una persona.</w:t>
      </w:r>
    </w:p>
    <w:p w14:paraId="3E9AC822" w14:textId="00A4A118" w:rsidR="00BA1C16" w:rsidRPr="00CD5FEF" w:rsidRDefault="00000000">
      <w:pPr>
        <w:spacing w:before="80" w:after="120"/>
      </w:pPr>
      <w:r w:rsidRPr="00CD5FEF">
        <w:lastRenderedPageBreak/>
        <w:t xml:space="preserve">Autenticación: No se implementó ningún sistema de login. Un sistema real del TSE tiene usuarios identificados para ciertos </w:t>
      </w:r>
      <w:r w:rsidR="00CD5FEF" w:rsidRPr="00CD5FEF">
        <w:t>trámites,</w:t>
      </w:r>
      <w:r w:rsidRPr="00CD5FEF">
        <w:t xml:space="preserve"> no se tiene la infraestructura ni la autorización para manejar credenciales de ciudadanos.</w:t>
      </w:r>
    </w:p>
    <w:p w14:paraId="3E9AC824" w14:textId="4E7ECCC5" w:rsidR="00BA1C16" w:rsidRPr="00CD5FEF" w:rsidRDefault="00000000" w:rsidP="00FC631C">
      <w:pPr>
        <w:spacing w:before="80" w:after="120"/>
      </w:pPr>
      <w:r w:rsidRPr="00CD5FEF">
        <w:t xml:space="preserve">Certificaciones digitales y jurisprudencia: Aparecen como tarjetas en la </w:t>
      </w:r>
      <w:r w:rsidR="00CD5FEF" w:rsidRPr="00CD5FEF">
        <w:t>interfaz,</w:t>
      </w:r>
      <w:r w:rsidRPr="00CD5FEF">
        <w:t xml:space="preserve"> pero no tienen funcionalidad real. Se incluyeron para que el flujo de navegación se sintiera completo, pero implementarlas requeriía acceso a sistemas del TSE que no están disponibles públicamente.</w:t>
      </w:r>
    </w:p>
    <w:p w14:paraId="3E9AC825" w14:textId="77777777" w:rsidR="00BA1C16" w:rsidRPr="00CD5FEF" w:rsidRDefault="00000000">
      <w:pPr>
        <w:pStyle w:val="Ttulo1"/>
        <w:spacing w:before="360" w:after="160"/>
        <w:rPr>
          <w:color w:val="auto"/>
        </w:rPr>
      </w:pPr>
      <w:r w:rsidRPr="00CD5FEF">
        <w:rPr>
          <w:b/>
          <w:bCs/>
          <w:color w:val="auto"/>
        </w:rPr>
        <w:t>6. En resumen</w:t>
      </w:r>
    </w:p>
    <w:p w14:paraId="3E9AC826" w14:textId="125C344F" w:rsidR="00BA1C16" w:rsidRPr="00CD5FEF" w:rsidRDefault="00000000">
      <w:pPr>
        <w:spacing w:before="80" w:after="120"/>
      </w:pPr>
      <w:r w:rsidRPr="00CD5FEF">
        <w:t xml:space="preserve">Cada decisión visible en la </w:t>
      </w:r>
      <w:r w:rsidR="00CD5FEF" w:rsidRPr="00CD5FEF">
        <w:t>app,</w:t>
      </w:r>
      <w:r w:rsidRPr="00CD5FEF">
        <w:t xml:space="preserve"> desde el color del fondo hasta qué campos se muestran en una </w:t>
      </w:r>
      <w:r w:rsidR="00CD5FEF" w:rsidRPr="00CD5FEF">
        <w:t>búsqueda,</w:t>
      </w:r>
      <w:r w:rsidRPr="00CD5FEF">
        <w:t xml:space="preserve"> tuvo alguna razón detrás. Algunas fueron estéticas, otras fueron funcionales, y varias fueron directamente impuestas por el marco legal en el que opera cualquier sistema que maneje datos de ciudadanos costarricenses.</w:t>
      </w:r>
    </w:p>
    <w:p w14:paraId="3E9AC827" w14:textId="77777777" w:rsidR="00BA1C16" w:rsidRDefault="00000000">
      <w:pPr>
        <w:spacing w:before="80" w:after="120"/>
      </w:pPr>
      <w:r w:rsidRPr="00CD5FEF">
        <w:t>El prototipo no pretende ser el sitio del TSE. Pretende demostrar que es posible mejorar la experiencia de usuario de un sistema gubernamental sin ignorar las restricciones reales que ese tipo de sistema implica.</w:t>
      </w:r>
    </w:p>
    <w:p w14:paraId="195228A0" w14:textId="77777777" w:rsidR="00980D66" w:rsidRDefault="00980D66">
      <w:pPr>
        <w:spacing w:before="80" w:after="120"/>
      </w:pPr>
    </w:p>
    <w:p w14:paraId="4C1C905F" w14:textId="5688E78C" w:rsidR="00980D66" w:rsidRPr="00CD5FEF" w:rsidRDefault="00980D66">
      <w:pPr>
        <w:spacing w:before="80" w:after="120"/>
      </w:pPr>
      <w:r>
        <w:t xml:space="preserve">Repositorio de GitHub: </w:t>
      </w:r>
      <w:hyperlink r:id="rId5" w:history="1">
        <w:r w:rsidR="00F25FD3" w:rsidRPr="00AF6290">
          <w:rPr>
            <w:rStyle w:val="Hipervnculo"/>
          </w:rPr>
          <w:t>https://github.com/Divan27/PY2_Dise-o</w:t>
        </w:r>
        <w:r w:rsidR="00F25FD3" w:rsidRPr="00AF6290">
          <w:rPr>
            <w:rStyle w:val="Hipervnculo"/>
          </w:rPr>
          <w:t>S</w:t>
        </w:r>
        <w:r w:rsidR="00F25FD3" w:rsidRPr="00AF6290">
          <w:rPr>
            <w:rStyle w:val="Hipervnculo"/>
          </w:rPr>
          <w:t>oftware.git</w:t>
        </w:r>
      </w:hyperlink>
      <w:r w:rsidR="00F25FD3">
        <w:t xml:space="preserve"> </w:t>
      </w:r>
    </w:p>
    <w:sectPr w:rsidR="00980D66" w:rsidRPr="00CD5F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9050C"/>
    <w:multiLevelType w:val="hybridMultilevel"/>
    <w:tmpl w:val="821CEDFE"/>
    <w:lvl w:ilvl="0" w:tplc="AE880F86">
      <w:start w:val="1"/>
      <w:numFmt w:val="bullet"/>
      <w:lvlText w:val="•"/>
      <w:lvlJc w:val="left"/>
      <w:pPr>
        <w:ind w:left="720" w:hanging="360"/>
      </w:pPr>
    </w:lvl>
    <w:lvl w:ilvl="1" w:tplc="FE7C83FA">
      <w:numFmt w:val="decimal"/>
      <w:lvlText w:val=""/>
      <w:lvlJc w:val="left"/>
    </w:lvl>
    <w:lvl w:ilvl="2" w:tplc="8DAED0EC">
      <w:numFmt w:val="decimal"/>
      <w:lvlText w:val=""/>
      <w:lvlJc w:val="left"/>
    </w:lvl>
    <w:lvl w:ilvl="3" w:tplc="6E74CF04">
      <w:numFmt w:val="decimal"/>
      <w:lvlText w:val=""/>
      <w:lvlJc w:val="left"/>
    </w:lvl>
    <w:lvl w:ilvl="4" w:tplc="5CA6CDE2">
      <w:numFmt w:val="decimal"/>
      <w:lvlText w:val=""/>
      <w:lvlJc w:val="left"/>
    </w:lvl>
    <w:lvl w:ilvl="5" w:tplc="FF44831A">
      <w:numFmt w:val="decimal"/>
      <w:lvlText w:val=""/>
      <w:lvlJc w:val="left"/>
    </w:lvl>
    <w:lvl w:ilvl="6" w:tplc="F3F23152">
      <w:numFmt w:val="decimal"/>
      <w:lvlText w:val=""/>
      <w:lvlJc w:val="left"/>
    </w:lvl>
    <w:lvl w:ilvl="7" w:tplc="88B4CDF8">
      <w:numFmt w:val="decimal"/>
      <w:lvlText w:val=""/>
      <w:lvlJc w:val="left"/>
    </w:lvl>
    <w:lvl w:ilvl="8" w:tplc="591849D2">
      <w:numFmt w:val="decimal"/>
      <w:lvlText w:val=""/>
      <w:lvlJc w:val="left"/>
    </w:lvl>
  </w:abstractNum>
  <w:abstractNum w:abstractNumId="1" w15:restartNumberingAfterBreak="0">
    <w:nsid w:val="52F66E60"/>
    <w:multiLevelType w:val="hybridMultilevel"/>
    <w:tmpl w:val="996C70A4"/>
    <w:lvl w:ilvl="0" w:tplc="C2EA31C0">
      <w:start w:val="1"/>
      <w:numFmt w:val="bullet"/>
      <w:lvlText w:val="●"/>
      <w:lvlJc w:val="left"/>
      <w:pPr>
        <w:ind w:left="720" w:hanging="360"/>
      </w:pPr>
    </w:lvl>
    <w:lvl w:ilvl="1" w:tplc="ED323844">
      <w:start w:val="1"/>
      <w:numFmt w:val="bullet"/>
      <w:lvlText w:val="○"/>
      <w:lvlJc w:val="left"/>
      <w:pPr>
        <w:ind w:left="1440" w:hanging="360"/>
      </w:pPr>
    </w:lvl>
    <w:lvl w:ilvl="2" w:tplc="E5349338">
      <w:start w:val="1"/>
      <w:numFmt w:val="bullet"/>
      <w:lvlText w:val="■"/>
      <w:lvlJc w:val="left"/>
      <w:pPr>
        <w:ind w:left="2160" w:hanging="360"/>
      </w:pPr>
    </w:lvl>
    <w:lvl w:ilvl="3" w:tplc="6D829A82">
      <w:start w:val="1"/>
      <w:numFmt w:val="bullet"/>
      <w:lvlText w:val="●"/>
      <w:lvlJc w:val="left"/>
      <w:pPr>
        <w:ind w:left="2880" w:hanging="360"/>
      </w:pPr>
    </w:lvl>
    <w:lvl w:ilvl="4" w:tplc="E3EA02C6">
      <w:start w:val="1"/>
      <w:numFmt w:val="bullet"/>
      <w:lvlText w:val="○"/>
      <w:lvlJc w:val="left"/>
      <w:pPr>
        <w:ind w:left="3600" w:hanging="360"/>
      </w:pPr>
    </w:lvl>
    <w:lvl w:ilvl="5" w:tplc="9D2C3252">
      <w:start w:val="1"/>
      <w:numFmt w:val="bullet"/>
      <w:lvlText w:val="■"/>
      <w:lvlJc w:val="left"/>
      <w:pPr>
        <w:ind w:left="4320" w:hanging="360"/>
      </w:pPr>
    </w:lvl>
    <w:lvl w:ilvl="6" w:tplc="FB98B434">
      <w:start w:val="1"/>
      <w:numFmt w:val="bullet"/>
      <w:lvlText w:val="●"/>
      <w:lvlJc w:val="left"/>
      <w:pPr>
        <w:ind w:left="5040" w:hanging="360"/>
      </w:pPr>
    </w:lvl>
    <w:lvl w:ilvl="7" w:tplc="C2BC50D6">
      <w:start w:val="1"/>
      <w:numFmt w:val="bullet"/>
      <w:lvlText w:val="●"/>
      <w:lvlJc w:val="left"/>
      <w:pPr>
        <w:ind w:left="5760" w:hanging="360"/>
      </w:pPr>
    </w:lvl>
    <w:lvl w:ilvl="8" w:tplc="802C8F04">
      <w:start w:val="1"/>
      <w:numFmt w:val="bullet"/>
      <w:lvlText w:val="●"/>
      <w:lvlJc w:val="left"/>
      <w:pPr>
        <w:ind w:left="6480" w:hanging="360"/>
      </w:pPr>
    </w:lvl>
  </w:abstractNum>
  <w:num w:numId="1" w16cid:durableId="966470248">
    <w:abstractNumId w:val="1"/>
    <w:lvlOverride w:ilvl="0">
      <w:startOverride w:val="1"/>
    </w:lvlOverride>
  </w:num>
  <w:num w:numId="2" w16cid:durableId="1006399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C16"/>
    <w:rsid w:val="00076C62"/>
    <w:rsid w:val="00980D66"/>
    <w:rsid w:val="00BA1C16"/>
    <w:rsid w:val="00CD5FEF"/>
    <w:rsid w:val="00F25FD3"/>
    <w:rsid w:val="00FC631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C7FE"/>
  <w15:docId w15:val="{108D09AB-A469-41E5-9A8A-3217E7BD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25FD3"/>
    <w:rPr>
      <w:color w:val="605E5C"/>
      <w:shd w:val="clear" w:color="auto" w:fill="E1DFDD"/>
    </w:rPr>
  </w:style>
  <w:style w:type="character" w:styleId="Hipervnculovisitado">
    <w:name w:val="FollowedHyperlink"/>
    <w:basedOn w:val="Fuentedeprrafopredeter"/>
    <w:uiPriority w:val="99"/>
    <w:semiHidden/>
    <w:unhideWhenUsed/>
    <w:rsid w:val="00F25F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ivan27/PY2_Dise-oSoftware.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1006</Words>
  <Characters>5536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Derrick Gonzalez</cp:lastModifiedBy>
  <cp:revision>5</cp:revision>
  <dcterms:created xsi:type="dcterms:W3CDTF">2026-05-16T03:43:00Z</dcterms:created>
  <dcterms:modified xsi:type="dcterms:W3CDTF">2026-05-16T03:46:00Z</dcterms:modified>
</cp:coreProperties>
</file>