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997"/>
                  </w:pPr>
                </w:p>
                <w:p>
                  <w:pPr>
                    <w:spacing w:after="500"/>
                  </w:pPr>
                  <w:r>
                    <w:rPr>
                      <w:rFonts w:ascii="Arial" w:eastAsia="SimHei" w:hAnsi="Arial"/>
                      <w:color w:val="D4875A"/>
                      <w:spacing w:val="60"/>
                      <w:sz w:val="18"/>
                      <w:szCs w:val="18"/>
                    </w:rPr>
                    <w:t xml:space="preserve">W H E A T   D I S E A S E   E A R L Y   D E T E C T I O N</w:t>
                  </w:r>
                </w:p>
                <w:p>
                  <w:pPr>
                    <w:spacing w:after="100" w:line="920" w:lineRule="atLeast"/>
                  </w:pPr>
                  <w:r>
                    <w:rPr>
                      <w:rFonts w:ascii="Arial" w:eastAsia="SimHei" w:hAnsi="Arial"/>
                      <w:b/>
                      <w:bCs/>
                      <w:color w:val="FFFFFF"/>
                      <w:sz w:val="80"/>
                      <w:szCs w:val="80"/>
                    </w:rPr>
                    <w:t xml:space="preserve">Implementation</w:t>
                  </w:r>
                </w:p>
                <w:p>
                  <w:pPr>
                    <w:spacing w:after="200" w:line="920" w:lineRule="atLeast"/>
                  </w:pPr>
                  <w:r>
                    <w:rPr>
                      <w:rFonts w:ascii="Arial" w:eastAsia="SimHei" w:hAnsi="Arial"/>
                      <w:b/>
                      <w:bCs/>
                      <w:color w:val="FFFFFF"/>
                      <w:sz w:val="80"/>
                      <w:szCs w:val="80"/>
                    </w:rPr>
                    <w:t xml:space="preserve">Plan</w:t>
                  </w:r>
                </w:p>
                <w:p>
                  <w:pPr>
                    <w:spacing w:after="100" w:line="276" w:lineRule="atLeast"/>
                  </w:pPr>
                  <w:r>
                    <w:rPr>
                      <w:rFonts w:ascii="Arial" w:eastAsia="SimHei" w:hAnsi="Arial"/>
                      <w:color w:val="B0B8C0"/>
                      <w:sz w:val="24"/>
                      <w:szCs w:val="24"/>
                    </w:rPr>
                    <w:t xml:space="preserve">Wheat Disease Early Detection Using Multispectral Imaging and Machine Learning</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Arial" w:eastAsia="SimHei" w:hAnsi="Arial"/>
                <w:color w:val="555F6B"/>
                <w:sz w:val="28"/>
                <w:szCs w:val="28"/>
              </w:rPr>
              <w:t xml:space="preserve">Project Duration: January 2027 - December 2028 (24 Months)</w:t>
            </w:r>
          </w:p>
          <w:p>
            <w:pPr>
              <w:spacing w:after="100"/>
              <w:ind w:left="1200"/>
            </w:pPr>
            <w:r>
              <w:rPr>
                <w:rFonts w:ascii="Arial" w:eastAsia="SimHei" w:hAnsi="Arial"/>
                <w:color w:val="555F6B"/>
                <w:sz w:val="28"/>
                <w:szCs w:val="28"/>
              </w:rPr>
              <w:t xml:space="preserve">Study Sites: Bishoftu, Asella and Ambo Research Centres</w:t>
            </w:r>
          </w:p>
          <w:p>
            <w:pPr>
              <w:spacing w:after="100"/>
              <w:ind w:left="1200"/>
            </w:pPr>
            <w:r>
              <w:rPr>
                <w:rFonts w:ascii="Arial" w:eastAsia="SimHei" w:hAnsi="Arial"/>
                <w:color w:val="555F6B"/>
                <w:sz w:val="28"/>
                <w:szCs w:val="28"/>
              </w:rPr>
              <w:t xml:space="preserve">Prepared by: Wheat Disease Early Detection Research Team</w:t>
            </w:r>
          </w:p>
          <w:p>
            <w:pPr>
              <w:spacing w:after="100"/>
              <w:ind w:left="1200"/>
            </w:pPr>
            <w:r>
              <w:rPr>
                <w:rFonts w:ascii="Arial" w:eastAsia="SimHei" w:hAnsi="Arial"/>
                <w:color w:val="555F6B"/>
                <w:sz w:val="28"/>
                <w:szCs w:val="28"/>
              </w:rPr>
              <w:t xml:space="preserve">Version 1.0 | September 2026</w:t>
            </w:r>
          </w:p>
          <w:p>
            <w:pPr>
              <w:spacing w:before="2000"/>
            </w:pPr>
          </w:p>
          <w:p>
            <w:pPr>
              <w:ind w:left="1200"/>
            </w:pPr>
            <w:r>
              <w:rPr>
                <w:rFonts w:ascii="Arial" w:eastAsia="SimHei" w:hAnsi="Arial"/>
                <w:color w:val="909090"/>
                <w:sz w:val="22"/>
                <w:szCs w:val="22"/>
              </w:rPr>
              <w:t xml:space="preserve">Wheat Disease Early Detection Project</w:t>
            </w:r>
            <w:r>
              <w:rPr>
                <w:rFonts w:ascii="Arial" w:eastAsia="SimHei" w:hAnsi="Arial"/>
              </w:rPr>
              <w:t xml:space="preserve">          </w:t>
            </w:r>
            <w:r>
              <w:rPr>
                <w:rFonts w:ascii="Arial" w:eastAsia="SimHei" w:hAnsi="Arial"/>
                <w:color w:val="909090"/>
                <w:sz w:val="22"/>
                <w:szCs w:val="22"/>
              </w:rPr>
              <w:t xml:space="preserve">January 2027 - December 2028</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hAnsi="Times New Roman"/>
          <w:b/>
          <w:bCs/>
          <w:color w:val="1A233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Background, Objectives and Scope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Team Structure and Governance</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Implementation Phases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Phase 1 - Project Setup and Procurement (Months 1-4)</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4.2 Phase 2 - Infrastructure and Baseline Studies (Months 2-6)</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4.3 Phase 3 - Season 1 Data Collection (Months 6-12)</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4.4 Phase 4 - Model Development (Months 9-15)</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4.5 Phase 5 - System Integration (Months 14-18)</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4.6 Phase 6 - Season 2 Validation (Months 18-23)</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4.7 Phase 7 - Close-out and Handover (Months 23-24)</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Calendar Gantt Schedule (January 2027 - December 2028)</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6. Milestones and Deliverables Matrix</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6.1 Milestone Schedule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6.2 Deliverables Matrix</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7. Risk Register and Mitigation Strategies</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8. Resource and Infrastructure Requirements</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9. Monitoring, Evaluation and Reporting</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9.1 Key Performance Indicators</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9.2 Review Cadence and Reporting</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9.3 Handover Criteria</w:t>
            </w:r>
            <w:r>
              <w:tab/>
            </w:r>
            <w:r>
              <w:fldChar w:fldCharType="begin"/>
            </w:r>
            <w:r>
              <w:instrText xml:space="preserve"> PAGEREF _Toc100020 \h </w:instrText>
            </w:r>
            <w:r>
              <w:fldChar w:fldCharType="separate"/>
            </w:r>
            <w:r>
              <w:t>9</w:t>
            </w:r>
            <w:r>
              <w:fldChar w:fldCharType="end"/>
            </w:r>
          </w:hyperlink>
        </w:p>
        <w:p>
          <w:r>
            <w:fldChar w:fldCharType="end"/>
          </w:r>
        </w:p>
      </w:sdtContent>
    </w:sdt>
    <w:p>
      <w:pPr>
        <w:spacing w:before="200"/>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Sun" w:hAnsi="Times New Roman"/>
          <w:b/>
          <w:bCs/>
          <w:color w:val="1A2330"/>
          <w:sz w:val="32"/>
          <w:szCs w:val="32"/>
        </w:rPr>
        <w:t xml:space="preserve">1. Executive Summary</w:t>
      </w:r>
      <w:bookmarkEnd w:id="100000"/>
    </w:p>
    <w:p>
      <w:pPr>
        <w:spacing w:after="120" w:line="312"/>
        <w:jc w:val="both"/>
      </w:pPr>
      <w:r>
        <w:rPr>
          <w:rFonts w:ascii="Times New Roman" w:eastAsia="SimSun" w:hAnsi="Times New Roman"/>
          <w:color w:val="000000"/>
          <w:sz w:val="24"/>
          <w:szCs w:val="24"/>
        </w:rPr>
        <w:t xml:space="preserve">This implementation plan sets out a 24-month programme of work, running from January 2027 to December 2028, to design, build and validate an early detection and decision-support system for wheat diseases in Ethiopia. The system combines UAV-based multispectral imagery with weather and soil data; a Spectral-Spatial Convolutional Neural Network (SSCNN) provides the detection core, and a fusion-based decision engine converts model output, epidemiological weather signals and soil susceptibility into stratified risk levels and recommendations. Field activities are anchored at the Bishoftu, Asella and Ambo Agricultural Research Centres, which offer controlled experimental plots, plant-pathology expertise and contrasting agro-ecological conditions. The plan translates the approved research proposal into a sequenced, resourced and risk-managed execution schedule.</w:t>
      </w:r>
    </w:p>
    <w:p>
      <w:pPr>
        <w:spacing w:after="120" w:line="312"/>
        <w:jc w:val="both"/>
      </w:pPr>
      <w:r>
        <w:rPr>
          <w:rFonts w:ascii="Times New Roman" w:eastAsia="SimSun" w:hAnsi="Times New Roman"/>
          <w:color w:val="000000"/>
          <w:sz w:val="24"/>
          <w:szCs w:val="24"/>
        </w:rPr>
        <w:t xml:space="preserve">The work is organised into seven overlapping phases. Two Meher wheat seasons structure the calendar: Season 1 (June to December 2027) is dedicated to systematic data collection, while Season 2 (June to November 2028) is dedicated to operational validation of the trained models and the integrated platform under live field conditions. Model development, system integration and dashboard construction run in parallel with the field campaigns, so that the analysis pipeline is ready to process each flight season as soon as it closes. Seven milestones and eleven formal deliverables provide verifiable progress checkpoints across the two years.</w:t>
      </w:r>
    </w:p>
    <w:p>
      <w:pPr>
        <w:spacing w:after="120" w:line="312"/>
        <w:jc w:val="both"/>
      </w:pPr>
      <w:r>
        <w:rPr>
          <w:rFonts w:ascii="Times New Roman" w:eastAsia="SimSun" w:hAnsi="Times New Roman"/>
          <w:color w:val="000000"/>
          <w:sz w:val="24"/>
          <w:szCs w:val="24"/>
        </w:rPr>
        <w:t xml:space="preserve">Delivery requires a multidisciplinary team of six core roles: project leadership, machine-learning engineering, GIS and UAV operations, plant pathology, software development and data management, supported by agronomists and extension staff seconded by the partner research centres. Rigorous validation practice is embedded from the outset, including leakage-aware data splits, multi-rater ground-truth labelling, uncertainty quantification and leave-one-site-out testing. A risk register accompanies the schedule; the highest-exposure risks, such as weather-station procurement delays and low natural disease pressure, carry defined mitigations and early trigger dates.</w:t>
      </w:r>
    </w:p>
    <w:p>
      <w:pPr>
        <w:spacing w:after="120" w:line="312"/>
        <w:jc w:val="both"/>
      </w:pPr>
      <w:r>
        <w:rPr>
          <w:rFonts w:ascii="Times New Roman" w:eastAsia="SimSun" w:hAnsi="Times New Roman"/>
          <w:color w:val="000000"/>
          <w:sz w:val="24"/>
          <w:szCs w:val="24"/>
        </w:rPr>
        <w:t xml:space="preserve">The remainder of this document details the project background and objectives, team governance, phase-by-phase activities, the calendar Gantt schedule, milestone and deliverables matrices, the risk register, resource requirements, and the monitoring and reporting framework. It serves as the working reference for project execution and as a companion document to the main research proposal.</w:t>
      </w:r>
    </w:p>
    <w:p>
      <w:pPr>
        <w:pStyle w:val="Heading1"/>
        <w:spacing w:after="160" w:before="360" w:line="312"/>
      </w:pPr>
      <w:bookmarkStart w:id="100001" w:name="_Toc100001"/>
      <w:r>
        <w:rPr>
          <w:rFonts w:ascii="Times New Roman" w:eastAsia="SimSun" w:hAnsi="Times New Roman"/>
          <w:b/>
          <w:bCs/>
          <w:color w:val="1A2330"/>
          <w:sz w:val="32"/>
          <w:szCs w:val="32"/>
        </w:rPr>
        <w:t xml:space="preserve">2. Project Background, Objectives and Scope</w:t>
      </w:r>
      <w:bookmarkEnd w:id="100001"/>
    </w:p>
    <w:p>
      <w:pPr>
        <w:spacing w:after="120" w:line="312"/>
        <w:jc w:val="both"/>
      </w:pPr>
      <w:r>
        <w:rPr>
          <w:rFonts w:ascii="Times New Roman" w:eastAsia="SimSun" w:hAnsi="Times New Roman"/>
          <w:color w:val="000000"/>
          <w:sz w:val="24"/>
          <w:szCs w:val="24"/>
        </w:rPr>
        <w:t xml:space="preserve">Ethiopia is the largest wheat producer in Sub-Saharan Africa, and wheat underpins national food security and rural livelihoods. Recurrent epidemics of stem, stripe and leaf rust, together with septoria and fusarium diseases, cause substantial seasonal yield losses, and traditional field surveying tends to identify infections only after symptoms become visible, when damage can no longer be reversed. The research proposal identified the integration of multispectral imaging with weather parameters for pre-symptomatic detection as a genuine and underexplored gap. This implementation plan operationalises that proposal: it fixes the calendar, assigns responsibility, and defines the evidence that will show the work is done.</w:t>
      </w:r>
    </w:p>
    <w:p>
      <w:pPr>
        <w:spacing w:after="120" w:line="312"/>
        <w:jc w:val="both"/>
      </w:pPr>
      <w:r>
        <w:rPr>
          <w:rFonts w:ascii="Times New Roman" w:eastAsia="SimSun" w:hAnsi="Times New Roman"/>
          <w:color w:val="000000"/>
          <w:sz w:val="24"/>
          <w:szCs w:val="24"/>
        </w:rPr>
        <w:t xml:space="preserve">The intended system follows a defined pipeline. UAV platforms equipped with multispectral sensors acquire calibrated imagery over experimental plots at weekly intervals during the growing season. A preprocessing subsystem converts raw captures into analysis-ready, georeferenced image tiles with computed vegetation indices. The trained SSCNN model, held in a versioned local model registry, is invoked through an inference pipeline that scores each tile for disease type, severity level and predictive uncertainty. Model outputs are then fused with lagged weather features and static soil properties to produce stratified risk levels, which are converted into agronomic recommendations and rendered on a dashboard with georeferenced map overlays and spatial attention heatmaps.</w:t>
      </w:r>
    </w:p>
    <w:p>
      <w:pPr>
        <w:spacing w:after="120" w:line="312"/>
        <w:jc w:val="both"/>
      </w:pPr>
      <w:r>
        <w:rPr>
          <w:rFonts w:ascii="Times New Roman" w:eastAsia="SimSun" w:hAnsi="Times New Roman"/>
          <w:color w:val="000000"/>
          <w:sz w:val="24"/>
          <w:szCs w:val="24"/>
        </w:rPr>
        <w:t xml:space="preserve">The plan pursues five objectives, each of which maps to specific phases and deliverables:</w:t>
      </w:r>
    </w:p>
    <w:p>
      <w:pPr>
        <w:pStyle w:val="ListParagraph"/>
        <w:numPr>
          <w:ilvl w:val="0"/>
          <w:numId w:val="1"/>
        </w:numPr>
        <w:spacing w:after="80" w:line="312"/>
        <w:jc w:val="left"/>
      </w:pPr>
      <w:r>
        <w:rPr>
          <w:rFonts w:ascii="Times New Roman" w:eastAsia="SimSun" w:hAnsi="Times New Roman"/>
          <w:color w:val="000000"/>
          <w:sz w:val="24"/>
          <w:szCs w:val="24"/>
        </w:rPr>
        <w:t xml:space="preserve">Establish calibrated, multi-site multispectral, weather and soil datasets across two full wheat seasons, with multi-rater ground truth and complete metadata.</w:t>
      </w:r>
    </w:p>
    <w:p>
      <w:pPr>
        <w:pStyle w:val="ListParagraph"/>
        <w:numPr>
          <w:ilvl w:val="0"/>
          <w:numId w:val="1"/>
        </w:numPr>
        <w:spacing w:after="80" w:line="312"/>
        <w:jc w:val="left"/>
      </w:pPr>
      <w:r>
        <w:rPr>
          <w:rFonts w:ascii="Times New Roman" w:eastAsia="SimSun" w:hAnsi="Times New Roman"/>
          <w:color w:val="000000"/>
          <w:sz w:val="24"/>
          <w:szCs w:val="24"/>
        </w:rPr>
        <w:t xml:space="preserve">Train, optimise and validate the SSCNN model for disease-type and severity detection, including uncertainty estimates and a published model card.</w:t>
      </w:r>
    </w:p>
    <w:p>
      <w:pPr>
        <w:pStyle w:val="ListParagraph"/>
        <w:numPr>
          <w:ilvl w:val="0"/>
          <w:numId w:val="1"/>
        </w:numPr>
        <w:spacing w:after="80" w:line="312"/>
        <w:jc w:val="left"/>
      </w:pPr>
      <w:r>
        <w:rPr>
          <w:rFonts w:ascii="Times New Roman" w:eastAsia="SimSun" w:hAnsi="Times New Roman"/>
          <w:color w:val="000000"/>
          <w:sz w:val="24"/>
          <w:szCs w:val="24"/>
        </w:rPr>
        <w:t xml:space="preserve">Develop the fusion decision engine that combines model evidence with lagged weather infection windows and soil susceptibility to produce risk levels and recommendations.</w:t>
      </w:r>
    </w:p>
    <w:p>
      <w:pPr>
        <w:pStyle w:val="ListParagraph"/>
        <w:numPr>
          <w:ilvl w:val="0"/>
          <w:numId w:val="1"/>
        </w:numPr>
        <w:spacing w:after="80" w:line="312"/>
        <w:jc w:val="left"/>
      </w:pPr>
      <w:r>
        <w:rPr>
          <w:rFonts w:ascii="Times New Roman" w:eastAsia="SimSun" w:hAnsi="Times New Roman"/>
          <w:color w:val="000000"/>
          <w:sz w:val="24"/>
          <w:szCs w:val="24"/>
        </w:rPr>
        <w:t xml:space="preserve">Deliver the decision-support dashboard with map overlays, attention heatmaps, temporal trends and alert services for experts and extension users.</w:t>
      </w:r>
    </w:p>
    <w:p>
      <w:pPr>
        <w:pStyle w:val="ListParagraph"/>
        <w:numPr>
          <w:ilvl w:val="0"/>
          <w:numId w:val="1"/>
        </w:numPr>
        <w:spacing w:after="80" w:line="312"/>
        <w:jc w:val="left"/>
      </w:pPr>
      <w:r>
        <w:rPr>
          <w:rFonts w:ascii="Times New Roman" w:eastAsia="SimSun" w:hAnsi="Times New Roman"/>
          <w:color w:val="000000"/>
          <w:sz w:val="24"/>
          <w:szCs w:val="24"/>
        </w:rPr>
        <w:t xml:space="preserve">Validate the integrated system operationally in Season 2, quantifying accuracy, earliness, calibration and expert concordance under field conditions.</w:t>
      </w:r>
    </w:p>
    <w:p>
      <w:pPr>
        <w:spacing w:after="120" w:line="312"/>
        <w:jc w:val="both"/>
      </w:pPr>
      <w:r>
        <w:rPr>
          <w:rFonts w:ascii="Times New Roman" w:eastAsia="SimSun" w:hAnsi="Times New Roman"/>
          <w:color w:val="000000"/>
          <w:sz w:val="24"/>
          <w:szCs w:val="24"/>
        </w:rPr>
        <w:t xml:space="preserve">The scope boundary is equally explicit. The plan covers dataset construction, model development, the decision-support prototype and its field validation; it does not include national-scale rollout, commercialisation or sustained multi-year operations, which belong to follow-on arrangements beyond Month 24. Earliness claims are anchored to the inoculated and spreader-row plots, which provide known infection timing, and cross-season generalisation is assessed within the two seasons the project window affords. Any capability outside these boundaries is recorded in the decision log and either descoped or handled as a change request through governance.</w:t>
      </w:r>
    </w:p>
    <w:p>
      <w:pPr>
        <w:pStyle w:val="Heading1"/>
        <w:spacing w:after="160" w:before="360" w:line="312"/>
      </w:pPr>
      <w:bookmarkStart w:id="100002" w:name="_Toc100002"/>
      <w:r>
        <w:rPr>
          <w:rFonts w:ascii="Times New Roman" w:eastAsia="SimSun" w:hAnsi="Times New Roman"/>
          <w:b/>
          <w:bCs/>
          <w:color w:val="1A2330"/>
          <w:sz w:val="32"/>
          <w:szCs w:val="32"/>
        </w:rPr>
        <w:t xml:space="preserve">3. Team Structure and Governance</w:t>
      </w:r>
      <w:bookmarkEnd w:id="100002"/>
    </w:p>
    <w:p>
      <w:pPr>
        <w:spacing w:after="120" w:line="312"/>
        <w:jc w:val="both"/>
      </w:pPr>
      <w:r>
        <w:rPr>
          <w:rFonts w:ascii="Times New Roman" w:eastAsia="SimSun" w:hAnsi="Times New Roman"/>
          <w:color w:val="000000"/>
          <w:sz w:val="24"/>
          <w:szCs w:val="24"/>
        </w:rPr>
        <w:t xml:space="preserve">Delivery requires a multidisciplinary team in which every deliverable has a single accountable owner. Six core roles cover research leadership, machine learning, geospatial and UAV operations, plant pathology, software engineering and data management. The partner research centres second agronomists for plot management and extension liaison during the field seasons, and two plant pathologists share the labelling workload to allow inter-rater agreement measurement. Table 1 summarises the roles, their approximate full-time equivalent (FTE) commitments and their core responsibilities.</w:t>
      </w:r>
    </w:p>
    <w:p>
      <w:pPr>
        <w:keepNext/>
        <w:spacing w:after="100" w:before="160" w:line="312"/>
        <w:jc w:val="left"/>
      </w:pPr>
      <w:r>
        <w:rPr>
          <w:rFonts w:ascii="Times New Roman" w:eastAsia="SimSun" w:hAnsi="Times New Roman"/>
          <w:b/>
          <w:bCs/>
          <w:color w:val="5A6470"/>
          <w:sz w:val="21"/>
          <w:szCs w:val="21"/>
        </w:rPr>
        <w:t xml:space="preserve">Table 1: Core team roles and responsibilities</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2285"/>
        <w:gridCol w:w="879"/>
        <w:gridCol w:w="5624"/>
      </w:tblGrid>
      <w:tr>
        <w:trPr>
          <w:cantSplit/>
          <w:tblHeader/>
        </w:trPr>
        <w:tc>
          <w:tcPr>
            <w:tcW w:type="pct" w:w="26%"/>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Role</w:t>
            </w:r>
          </w:p>
        </w:tc>
        <w:tc>
          <w:tcPr>
            <w:tcW w:type="pct" w:w="10%"/>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FTE</w:t>
            </w:r>
          </w:p>
        </w:tc>
        <w:tc>
          <w:tcPr>
            <w:tcW w:type="pct" w:w="64%"/>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Core Responsibilities</w:t>
            </w:r>
          </w:p>
        </w:tc>
      </w:tr>
      <w:tr>
        <w:trPr>
          <w:cantSplit/>
        </w:trPr>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Project Principal Investigator</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1.0</w:t>
            </w:r>
          </w:p>
        </w:tc>
        <w:tc>
          <w:tcPr>
            <w:tcW w:type="pct" w:w="6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Overall delivery, research direction, partner and steering-committee liaison, milestone reporting</w:t>
            </w:r>
          </w:p>
        </w:tc>
      </w:tr>
      <w:tr>
        <w:trPr>
          <w:cantSplit/>
        </w:trPr>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Machine Learning Engineer</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1.0</w:t>
            </w:r>
          </w:p>
        </w:tc>
        <w:tc>
          <w:tcPr>
            <w:tcW w:type="pct" w:w="6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Feature engineering, SSCNN training and optimisation, uncertainty calibration, model registry and model cards</w:t>
            </w:r>
          </w:p>
        </w:tc>
      </w:tr>
      <w:tr>
        <w:trPr>
          <w:cantSplit/>
        </w:trPr>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GIS and UAV Specialist</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1.0</w:t>
            </w:r>
          </w:p>
        </w:tc>
        <w:tc>
          <w:tcPr>
            <w:tcW w:type="pct" w:w="6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Flight planning and execution, sensor calibration, orthomosaic generation, spatial data infrastructure</w:t>
            </w:r>
          </w:p>
        </w:tc>
      </w:tr>
      <w:tr>
        <w:trPr>
          <w:cantSplit/>
        </w:trPr>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Plant Pathologists (two, part-time)</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2 x 0.5</w:t>
            </w:r>
          </w:p>
        </w:tc>
        <w:tc>
          <w:tcPr>
            <w:tcW w:type="pct" w:w="6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Ground-truth protocol design, disease labelling, expert validation, agronomic rules for recommendations</w:t>
            </w:r>
          </w:p>
        </w:tc>
      </w:tr>
      <w:tr>
        <w:trPr>
          <w:cantSplit/>
        </w:trPr>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Software Developer</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1.0</w:t>
            </w:r>
          </w:p>
        </w:tc>
        <w:tc>
          <w:tcPr>
            <w:tcW w:type="pct" w:w="6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Inference pipeline, decision engine, dashboard, map overlays and alert services</w:t>
            </w:r>
          </w:p>
        </w:tc>
      </w:tr>
      <w:tr>
        <w:trPr>
          <w:cantSplit/>
        </w:trPr>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Data Manager</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1.0</w:t>
            </w:r>
          </w:p>
        </w:tc>
        <w:tc>
          <w:tcPr>
            <w:tcW w:type="pct" w:w="6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Data quality assurance, storage and versioning, metadata and access control, dataset release packaging</w:t>
            </w:r>
          </w:p>
        </w:tc>
      </w:tr>
    </w:tbl>
    <w:p>
      <w:pPr>
        <w:spacing w:after="120" w:line="312"/>
        <w:jc w:val="both"/>
      </w:pPr>
      <w:r>
        <w:rPr>
          <w:rFonts w:ascii="Times New Roman" w:eastAsia="SimSun" w:hAnsi="Times New Roman"/>
          <w:color w:val="000000"/>
          <w:sz w:val="24"/>
          <w:szCs w:val="24"/>
        </w:rPr>
        <w:t xml:space="preserve">Governance operates at three cadences. A weekly team stand-up tracks activity-level progress and unblocks field and engineering dependencies. A monthly technical review chaired by the Principal Investigator examines data quality, experiment results and the risk register, and approves any change to scope or schedule through the decision log. A quarterly steering committee, comprising the Principal Investigator, centre representatives and an observer from the Ministry of Agriculture, reviews milestone status, budget consumption and strategic risks; season-end review boards after each campaign formally accept the season datasets and decide on model release candidates.</w:t>
      </w:r>
    </w:p>
    <w:p>
      <w:pPr>
        <w:pStyle w:val="Heading1"/>
        <w:spacing w:after="160" w:before="360" w:line="312"/>
      </w:pPr>
      <w:bookmarkStart w:id="100003" w:name="_Toc100003"/>
      <w:r>
        <w:rPr>
          <w:rFonts w:ascii="Times New Roman" w:eastAsia="SimSun" w:hAnsi="Times New Roman"/>
          <w:b/>
          <w:bCs/>
          <w:color w:val="1A2330"/>
          <w:sz w:val="32"/>
          <w:szCs w:val="32"/>
        </w:rPr>
        <w:t xml:space="preserve">4. Implementation Phases</w:t>
      </w:r>
      <w:bookmarkEnd w:id="100003"/>
    </w:p>
    <w:p>
      <w:pPr>
        <w:spacing w:after="120" w:line="312"/>
        <w:jc w:val="both"/>
      </w:pPr>
      <w:r>
        <w:rPr>
          <w:rFonts w:ascii="Times New Roman" w:eastAsia="SimSun" w:hAnsi="Times New Roman"/>
          <w:color w:val="000000"/>
          <w:sz w:val="24"/>
          <w:szCs w:val="24"/>
        </w:rPr>
        <w:t xml:space="preserve">The project runs seven overlapping phases across the 24-month window. Phases deliberately overlap: preprocessing infrastructure is built while procurement completes, model development begins while Season 1 flights are still underway, and integration testing starts before the final model is frozen. This overlap protects the critical path, which runs through procurement, weather-station installation, the Season 1 flight campaign, model validation and the Season 2 operational season. Each phase below states its window, principal activities and exit criteria; the corresponding schedule bars appear in Figure 1 and Tables 2 and 3.</w:t>
      </w:r>
    </w:p>
    <w:p>
      <w:pPr>
        <w:pStyle w:val="Heading2"/>
        <w:spacing w:after="120" w:before="240" w:line="312"/>
      </w:pPr>
      <w:bookmarkStart w:id="100004" w:name="_Toc100004"/>
      <w:r>
        <w:rPr>
          <w:rFonts w:ascii="Times New Roman" w:eastAsia="SimSun" w:hAnsi="Times New Roman"/>
          <w:b/>
          <w:bCs/>
          <w:color w:val="1A2330"/>
          <w:sz w:val="30"/>
          <w:szCs w:val="30"/>
        </w:rPr>
        <w:t xml:space="preserve">4.1 Phase 1 - Project Setup and Procurement (Months 1-4)</w:t>
      </w:r>
      <w:bookmarkEnd w:id="100004"/>
    </w:p>
    <w:p>
      <w:pPr>
        <w:spacing w:after="120" w:line="312"/>
        <w:jc w:val="both"/>
      </w:pPr>
      <w:r>
        <w:rPr>
          <w:rFonts w:ascii="Times New Roman" w:eastAsia="SimSun" w:hAnsi="Times New Roman"/>
          <w:color w:val="000000"/>
          <w:sz w:val="24"/>
          <w:szCs w:val="24"/>
        </w:rPr>
        <w:t xml:space="preserve">Phase 1 establishes everything the field seasons depend on. The team is onboarded, collaboration agreements are signed with the three research centres, UAV flight clearances are obtained from the aviation regulator, and ethics approval is secured for the stakeholder surveys. Procurement covers two UAV multispectral platforms with reflectance calibration panels and downwelling light sensors, and automatic weather stations are installed at all three sites with hourly logging of temperature, relative humidity, rainfall, soil moisture and leaf wetness. A baseline soil survey with laboratory analysis populates the soil property database used later by the decision engine. Exit criteria: all equipment accepted and calibrated, agreements and permits signed, and the soil database populated.</w:t>
      </w:r>
    </w:p>
    <w:p>
      <w:pPr>
        <w:pStyle w:val="Heading2"/>
        <w:spacing w:after="120" w:before="240" w:line="312"/>
      </w:pPr>
      <w:bookmarkStart w:id="100005" w:name="_Toc100005"/>
      <w:r>
        <w:rPr>
          <w:rFonts w:ascii="Times New Roman" w:eastAsia="SimSun" w:hAnsi="Times New Roman"/>
          <w:b/>
          <w:bCs/>
          <w:color w:val="1A2330"/>
          <w:sz w:val="30"/>
          <w:szCs w:val="30"/>
        </w:rPr>
        <w:t xml:space="preserve">4.2 Phase 2 - Infrastructure and Baseline Studies (Months 2-6)</w:t>
      </w:r>
      <w:bookmarkEnd w:id="100005"/>
    </w:p>
    <w:p>
      <w:pPr>
        <w:spacing w:after="120" w:line="312"/>
        <w:jc w:val="both"/>
      </w:pPr>
      <w:r>
        <w:rPr>
          <w:rFonts w:ascii="Times New Roman" w:eastAsia="SimSun" w:hAnsi="Times New Roman"/>
          <w:color w:val="000000"/>
          <w:sz w:val="24"/>
          <w:szCs w:val="24"/>
        </w:rPr>
        <w:t xml:space="preserve">Phase 2 builds the digital backbone. The data platform, storage schema and version-control conventions are established before the first research flight, so that every capture lands in a governed catalogue with complete metadata. The preprocessing pipeline, covering radiometric calibration to surface reflectance, orthomosaicking, plot-level tiling and vegetation-index computation, is developed and validated against pilot flights at each site to confirm cross-site radiometric consistency. In parallel, the stakeholder survey with the Ministry of Agriculture, the Ethiopian Agricultural Research Institute and the Agricultural Transformation Institute captures ground-truth knowledge and user requirements that shape the dashboard and recommendation design. Exit criteria: preprocessing pipeline version 1.0 passes quality assurance on pilot data, and the survey report is accepted.</w:t>
      </w:r>
    </w:p>
    <w:p>
      <w:pPr>
        <w:pStyle w:val="Heading2"/>
        <w:spacing w:after="120" w:before="240" w:line="312"/>
      </w:pPr>
      <w:bookmarkStart w:id="100006" w:name="_Toc100006"/>
      <w:r>
        <w:rPr>
          <w:rFonts w:ascii="Times New Roman" w:eastAsia="SimSun" w:hAnsi="Times New Roman"/>
          <w:b/>
          <w:bCs/>
          <w:color w:val="1A2330"/>
          <w:sz w:val="30"/>
          <w:szCs w:val="30"/>
        </w:rPr>
        <w:t xml:space="preserve">4.3 Phase 3 - Season 1 Data Collection (Months 6-12)</w:t>
      </w:r>
      <w:bookmarkEnd w:id="100006"/>
    </w:p>
    <w:p>
      <w:pPr>
        <w:spacing w:after="120" w:line="312"/>
        <w:jc w:val="both"/>
      </w:pPr>
      <w:r>
        <w:rPr>
          <w:rFonts w:ascii="Times New Roman" w:eastAsia="SimSun" w:hAnsi="Times New Roman"/>
          <w:color w:val="000000"/>
          <w:sz w:val="24"/>
          <w:szCs w:val="24"/>
        </w:rPr>
        <w:t xml:space="preserve">Phase 3 executes the first Meher campaign. Planting in June includes inoculated and spreader-row plots agreed with the centres, guaranteeing that early-stage disease examples exist even if natural epidemic pressure is low. Weekly UAV flights run from July to November under a fixed calibration protocol, while scouting teams label plots independently on standard severity scales, with laboratory confirmation applied to a designated subset of samples. Weather and soil monitoring run continuously throughout the season. Exit criteria: the Season 1 dataset is locked at Milestone MS-3 with all flights calibrated and orthomosaicked, multi-rater labels with an agreement report, and aligned environmental series.</w:t>
      </w:r>
    </w:p>
    <w:p>
      <w:pPr>
        <w:pStyle w:val="Heading2"/>
        <w:spacing w:after="120" w:before="240" w:line="312"/>
      </w:pPr>
      <w:bookmarkStart w:id="100007" w:name="_Toc100007"/>
      <w:r>
        <w:rPr>
          <w:rFonts w:ascii="Times New Roman" w:eastAsia="SimSun" w:hAnsi="Times New Roman"/>
          <w:b/>
          <w:bCs/>
          <w:color w:val="1A2330"/>
          <w:sz w:val="30"/>
          <w:szCs w:val="30"/>
        </w:rPr>
        <w:t xml:space="preserve">4.4 Phase 4 - Model Development (Months 9-15)</w:t>
      </w:r>
      <w:bookmarkEnd w:id="100007"/>
    </w:p>
    <w:p>
      <w:pPr>
        <w:spacing w:after="120" w:line="312"/>
        <w:jc w:val="both"/>
      </w:pPr>
      <w:r>
        <w:rPr>
          <w:rFonts w:ascii="Times New Roman" w:eastAsia="SimSun" w:hAnsi="Times New Roman"/>
          <w:color w:val="000000"/>
          <w:sz w:val="24"/>
          <w:szCs w:val="24"/>
        </w:rPr>
        <w:t xml:space="preserve">Phase 4 converts the Season 1 data into a validated model. Feature engineering produces spectral indices, canopy texture measures, temporal deltas between flights and lagged epidemiological weather features. Dataset assembly enforces leakage-aware splits at the plot, date and block level before any training begins. SSCNN training applies class-imbalance handling, Bayesian hyperparameter optimisation, early stopping and regularisation; a weather-soil fusion head and Monte Carlo dropout uncertainty are calibrated, and leave-one-site-out testing quantifies cross-site generalisation. Exit criteria: SSCNN version 1.0 meets the pre-agreed performance and calibration targets at Milestone MS-4 and is released with a complete model card.</w:t>
      </w:r>
    </w:p>
    <w:p>
      <w:pPr>
        <w:pStyle w:val="Heading2"/>
        <w:spacing w:after="120" w:before="240" w:line="312"/>
      </w:pPr>
      <w:bookmarkStart w:id="100008" w:name="_Toc100008"/>
      <w:r>
        <w:rPr>
          <w:rFonts w:ascii="Times New Roman" w:eastAsia="SimSun" w:hAnsi="Times New Roman"/>
          <w:b/>
          <w:bCs/>
          <w:color w:val="1A2330"/>
          <w:sz w:val="30"/>
          <w:szCs w:val="30"/>
        </w:rPr>
        <w:t xml:space="preserve">4.5 Phase 5 - System Integration (Months 14-18)</w:t>
      </w:r>
      <w:bookmarkEnd w:id="100008"/>
    </w:p>
    <w:p>
      <w:pPr>
        <w:spacing w:after="120" w:line="312"/>
        <w:jc w:val="both"/>
      </w:pPr>
      <w:r>
        <w:rPr>
          <w:rFonts w:ascii="Times New Roman" w:eastAsia="SimSun" w:hAnsi="Times New Roman"/>
          <w:color w:val="000000"/>
          <w:sz w:val="24"/>
          <w:szCs w:val="24"/>
        </w:rPr>
        <w:t xml:space="preserve">Phase 5 assembles the operational platform around the trained model. The inference pipeline loads the optimised SSCNN from the local model registry, ingests new flights through the same preprocessing path used in training, and produces per-tile predictions with uncertainty and attention maps. The decision engine fuses model evidence with the infection-window weather score and the soil susceptibility index, applies uncertainty gating that routes ambiguous cases to expert review, and maps risk levels to agronomic recommendations. The dashboard renders georeferenced risk polygons, attention heatmaps and temporal index trends, with alert services for threshold crossings. Exit criteria: an end-to-end run on the Season 1 replay meets the latency and functional targets at Milestone MS-5.</w:t>
      </w:r>
    </w:p>
    <w:p>
      <w:pPr>
        <w:pStyle w:val="Heading2"/>
        <w:spacing w:after="120" w:before="240" w:line="312"/>
      </w:pPr>
      <w:bookmarkStart w:id="100009" w:name="_Toc100009"/>
      <w:r>
        <w:rPr>
          <w:rFonts w:ascii="Times New Roman" w:eastAsia="SimSun" w:hAnsi="Times New Roman"/>
          <w:b/>
          <w:bCs/>
          <w:color w:val="1A2330"/>
          <w:sz w:val="30"/>
          <w:szCs w:val="30"/>
        </w:rPr>
        <w:t xml:space="preserve">4.6 Phase 6 - Season 2 Validation (Months 18-23)</w:t>
      </w:r>
      <w:bookmarkEnd w:id="100009"/>
    </w:p>
    <w:p>
      <w:pPr>
        <w:spacing w:after="120" w:line="312"/>
        <w:jc w:val="both"/>
      </w:pPr>
      <w:r>
        <w:rPr>
          <w:rFonts w:ascii="Times New Roman" w:eastAsia="SimSun" w:hAnsi="Times New Roman"/>
          <w:color w:val="000000"/>
          <w:sz w:val="24"/>
          <w:szCs w:val="24"/>
        </w:rPr>
        <w:t xml:space="preserve">Phase 6 deploys the integrated system operationally during Meher 2028. Weekly flights are processed with a next-business-day target so that alerts reach experts while interventions remain possible. High-uncertainty predictions are routed to plant pathologists, whose verdicts feed both quality assurance and the retraining set. The validation programme quantifies detection accuracy against expert diagnosis, detection lead time on the inoculated plots, probability calibration, cross-season generalisation relative to Season 1, and usability feedback from extension users. Exit criteria: the Season 2 validation report is accepted at Milestone MS-6.</w:t>
      </w:r>
    </w:p>
    <w:p>
      <w:pPr>
        <w:pStyle w:val="Heading2"/>
        <w:spacing w:after="120" w:before="240" w:line="312"/>
      </w:pPr>
      <w:bookmarkStart w:id="100010" w:name="_Toc100010"/>
      <w:r>
        <w:rPr>
          <w:rFonts w:ascii="Times New Roman" w:eastAsia="SimSun" w:hAnsi="Times New Roman"/>
          <w:b/>
          <w:bCs/>
          <w:color w:val="1A2330"/>
          <w:sz w:val="30"/>
          <w:szCs w:val="30"/>
        </w:rPr>
        <w:t xml:space="preserve">4.7 Phase 7 - Close-out and Handover (Months 23-24)</w:t>
      </w:r>
      <w:bookmarkEnd w:id="100010"/>
    </w:p>
    <w:p>
      <w:pPr>
        <w:spacing w:after="120" w:line="312"/>
        <w:jc w:val="both"/>
      </w:pPr>
      <w:r>
        <w:rPr>
          <w:rFonts w:ascii="Times New Roman" w:eastAsia="SimSun" w:hAnsi="Times New Roman"/>
          <w:color w:val="000000"/>
          <w:sz w:val="24"/>
          <w:szCs w:val="24"/>
        </w:rPr>
        <w:t xml:space="preserve">Phase 7 converts project outputs into a durable institutional asset. The model is retrained with Season 2 labels and frozen as the release candidate, with updated model cards and reproducible training configurations. Documentation, the data catalogue, the model registry and the codebase are transferred to the partner institutions together with training for designated local staff, and a sustainability and maintenance plan is agreed. The final report and scientific publications are completed. Exit criteria: the steering committee formally accepts the handover pack at Milestone MS-7.</w:t>
      </w:r>
    </w:p>
    <w:p>
      <w:pPr>
        <w:pStyle w:val="Heading1"/>
        <w:spacing w:after="160" w:before="360" w:line="312"/>
      </w:pPr>
      <w:bookmarkStart w:id="100011" w:name="_Toc100011"/>
      <w:r>
        <w:rPr>
          <w:rFonts w:ascii="Times New Roman" w:eastAsia="SimSun" w:hAnsi="Times New Roman"/>
          <w:b/>
          <w:bCs/>
          <w:color w:val="1A2330"/>
          <w:sz w:val="32"/>
          <w:szCs w:val="32"/>
        </w:rPr>
        <w:t xml:space="preserve">5. Calendar Gantt Schedule (January 2027 - December 2028)</w:t>
      </w:r>
      <w:bookmarkEnd w:id="100011"/>
    </w:p>
    <w:p>
      <w:pPr>
        <w:spacing w:after="120" w:line="312"/>
        <w:jc w:val="both"/>
      </w:pPr>
      <w:r>
        <w:rPr>
          <w:rFonts w:ascii="Times New Roman" w:eastAsia="SimSun" w:hAnsi="Times New Roman"/>
          <w:color w:val="000000"/>
          <w:sz w:val="24"/>
          <w:szCs w:val="24"/>
        </w:rPr>
        <w:t xml:space="preserve">This chapter is the operational heart of the plan. Figure 1 presents the full 24-month calendar Gantt chart: activities are grouped by phase, bar colours distinguish setup, field-campaign, development and close-out work, dashed horizontal lines separate phases, and diamond markers denote the seven milestones. Vertical gridlines mark every month with heavier lines each quarter, which is how the team reads progress in monthly technical reviews. Tables 2 and 3 reproduce the same schedule in month-grid form for the two calendar years, with shaded cells indicating months in which an activity is active.</w:t>
      </w:r>
    </w:p>
    <w:p>
      <w:pPr>
        <w:keepNext/>
        <w:spacing w:before="160"/>
        <w:jc w:val="center"/>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33750"/>
                    </a:xfrm>
                    <a:prstGeom prst="rect">
                      <a:avLst/>
                    </a:prstGeom>
                  </pic:spPr>
                </pic:pic>
              </a:graphicData>
            </a:graphic>
          </wp:inline>
        </w:drawing>
      </w:r>
    </w:p>
    <w:p>
      <w:pPr>
        <w:spacing w:after="240" w:before="80" w:line="312"/>
        <w:jc w:val="center"/>
      </w:pPr>
      <w:r>
        <w:rPr>
          <w:rFonts w:ascii="Times New Roman" w:eastAsia="SimSun" w:hAnsi="Times New Roman"/>
          <w:color w:val="5A6470"/>
          <w:sz w:val="21"/>
          <w:szCs w:val="21"/>
        </w:rPr>
        <w:t xml:space="preserve">Figure 1: 24-month calendar Gantt schedule with phase grouping and milestone markers</w:t>
      </w:r>
    </w:p>
    <w:p>
      <w:pPr>
        <w:spacing w:after="120" w:line="312"/>
        <w:jc w:val="both"/>
      </w:pPr>
      <w:r>
        <w:rPr>
          <w:rFonts w:ascii="Times New Roman" w:eastAsia="SimSun" w:hAnsi="Times New Roman"/>
          <w:color w:val="000000"/>
          <w:sz w:val="24"/>
          <w:szCs w:val="24"/>
        </w:rPr>
        <w:t xml:space="preserve">Table 2 covers Months 1 to 12, from January to December 2027. The early months concentrate on procurement and infrastructure so that the project enters the flight season with fully calibrated equipment; the June planting then fixes the experimental layout, and the July to November window carries the weekly flight campaigns in parallel with ground-truth scouting and continuous environmental monitoring. Model development deliberately starts in September, inside the flight season, so that feature engineering can be tested against freshly captured data rather than waiting for the season to close.</w:t>
      </w:r>
    </w:p>
    <w:p>
      <w:pPr>
        <w:keepNext/>
        <w:spacing w:after="100" w:before="160" w:line="312"/>
        <w:jc w:val="left"/>
      </w:pPr>
      <w:r>
        <w:rPr>
          <w:rFonts w:ascii="Times New Roman" w:eastAsia="SimSun" w:hAnsi="Times New Roman"/>
          <w:b/>
          <w:bCs/>
          <w:color w:val="5A6470"/>
          <w:sz w:val="21"/>
          <w:szCs w:val="21"/>
        </w:rPr>
        <w:t xml:space="preserve">Table 2: Activity schedule, Months 1-12 (January - December 2027)</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2400"/>
        <w:gridCol w:w="532"/>
        <w:gridCol w:w="532"/>
        <w:gridCol w:w="532"/>
        <w:gridCol w:w="532"/>
        <w:gridCol w:w="532"/>
        <w:gridCol w:w="532"/>
        <w:gridCol w:w="532"/>
        <w:gridCol w:w="532"/>
        <w:gridCol w:w="532"/>
        <w:gridCol w:w="532"/>
        <w:gridCol w:w="532"/>
        <w:gridCol w:w="532"/>
      </w:tblGrid>
      <w:tr>
        <w:trPr>
          <w:cantSplit/>
          <w:tblHeader/>
        </w:trPr>
        <w:tc>
          <w:tcPr>
            <w:tcW w:type="pct" w:w="25%"/>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Activity</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J</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F</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M</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A</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M</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J</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J</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A</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S</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O</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N</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D</w:t>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1 - Project Setup and Procurement</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Team onboarding and governance</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UAV and multispectral sensor procurement</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Weather station installation (three sites)</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Site agreements, permits and ethics approval</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Baseline soil survey and laboratory analysis</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2 - Infrastructure and Baseline Studies</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Data platform and storage setup</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Preprocessing pipeline development</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Stakeholder survey (MoA, EIAR, ATI)</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3 - Season 1 Data Collection</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Season-1 planting and inoculated plots</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Weekly UAV flight campaigns</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Ground-truth scouting and lab confirmation</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Weather and soil monitoring</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4 - Model Development</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Feature engineering and dataset assembly</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SSCNN training and optimization</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bl>
    <w:p>
      <w:pPr>
        <w:spacing w:after="120" w:line="312"/>
        <w:jc w:val="both"/>
      </w:pPr>
      <w:r>
        <w:rPr>
          <w:rFonts w:ascii="Times New Roman" w:eastAsia="SimSun" w:hAnsi="Times New Roman"/>
          <w:color w:val="000000"/>
          <w:sz w:val="24"/>
          <w:szCs w:val="24"/>
        </w:rPr>
        <w:t xml:space="preserve">Table 3 covers Months 13 to 24, from January to December 2028. The first half of the year completes model validation and system integration, with the dashboard and decision engine frozen at Milestone MS-5 before the season opens. The Meher 2028 campaign then runs the platform operationally from July to November, and close-out activities, including final retraining, documentation and handover, occupy the final quarter. Milestones MS-6 and MS-7 mark the end of operational validation and the formal acceptance of the handover pack.</w:t>
      </w:r>
    </w:p>
    <w:p>
      <w:pPr>
        <w:keepNext/>
        <w:spacing w:after="100" w:before="160" w:line="312"/>
        <w:jc w:val="left"/>
      </w:pPr>
      <w:r>
        <w:rPr>
          <w:rFonts w:ascii="Times New Roman" w:eastAsia="SimSun" w:hAnsi="Times New Roman"/>
          <w:b/>
          <w:bCs/>
          <w:color w:val="5A6470"/>
          <w:sz w:val="21"/>
          <w:szCs w:val="21"/>
        </w:rPr>
        <w:t xml:space="preserve">Table 3: Activity schedule, Months 13-24 (January - December 2028)</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2400"/>
        <w:gridCol w:w="532"/>
        <w:gridCol w:w="532"/>
        <w:gridCol w:w="532"/>
        <w:gridCol w:w="532"/>
        <w:gridCol w:w="532"/>
        <w:gridCol w:w="532"/>
        <w:gridCol w:w="532"/>
        <w:gridCol w:w="532"/>
        <w:gridCol w:w="532"/>
        <w:gridCol w:w="532"/>
        <w:gridCol w:w="532"/>
        <w:gridCol w:w="532"/>
      </w:tblGrid>
      <w:tr>
        <w:trPr>
          <w:cantSplit/>
          <w:tblHeader/>
        </w:trPr>
        <w:tc>
          <w:tcPr>
            <w:tcW w:type="pct" w:w="25%"/>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Activity</w:t>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4 - Model Development</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SSCNN training and optimization</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Weather-soil fusion and calibration</w:t>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Leakage-aware validation and model card</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5 - System Integration</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Inference pipeline and decision engine</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Dashboard and map overlay development</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End-to-end integration testing</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6 - Season 2 Validation</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Season-2 planting and trial design</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Operational flights and live alerts</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Expert field validation (cross-season)</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gridSpan w:val="13"/>
            <w:shd w:fill="F8F0EB" w:val="clear"/>
            <w:tcMar>
              <w:top w:type="dxa" w:w="80"/>
              <w:left w:type="dxa" w:w="120"/>
              <w:bottom w:type="dxa" w:w="80"/>
              <w:right w:type="dxa" w:w="120"/>
            </w:tcMar>
          </w:tcPr>
          <w:p>
            <w:pPr>
              <w:spacing w:line="312"/>
              <w:jc w:val="left"/>
            </w:pPr>
            <w:r>
              <w:rPr>
                <w:rFonts w:ascii="Times New Roman" w:eastAsia="SimSun" w:hAnsi="Times New Roman"/>
                <w:b/>
                <w:bCs/>
                <w:color w:val="1A2330"/>
                <w:sz w:val="21"/>
                <w:szCs w:val="21"/>
              </w:rPr>
              <w:t xml:space="preserve">Phase 7 - Close-out and Handover</w:t>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Model retraining and release candidate</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r>
        <w:trPr>
          <w:cantSplit/>
        </w:trPr>
        <w:tc>
          <w:tcPr>
            <w:tcW w:type="pct" w:w="25%"/>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Final report, publication and handover</w:t>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c>
          <w:tcPr>
            <w:tcW w:type="pct" w:w="6.25%"/>
            <w:shd w:fill="D4875A" w:val="clear"/>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
            </w:r>
          </w:p>
        </w:tc>
      </w:tr>
    </w:tbl>
    <w:p>
      <w:pPr>
        <w:spacing w:after="120" w:line="312"/>
        <w:jc w:val="both"/>
      </w:pPr>
      <w:r>
        <w:rPr>
          <w:rFonts w:ascii="Times New Roman" w:eastAsia="SimSun" w:hAnsi="Times New Roman"/>
          <w:color w:val="000000"/>
          <w:sz w:val="24"/>
          <w:szCs w:val="24"/>
        </w:rPr>
        <w:t xml:space="preserve">Two scheduling properties deserve attention. First, float is concentrated in the analysis activities, while field windows are immovable: a missed flight week cannot be recovered later in the season, which is why flight operations carry contingency windows in the risk register. Second, the critical path runs from sensor procurement through the Season 1 campaign to model validation and onward into Season 2; any slippage at Milestone MS-3 therefore triggers an immediate review of the Season 2 validation scope at the next steering committee.</w:t>
      </w:r>
    </w:p>
    <w:p>
      <w:pPr>
        <w:pStyle w:val="Heading1"/>
        <w:spacing w:after="160" w:before="360" w:line="312"/>
      </w:pPr>
      <w:bookmarkStart w:id="100012" w:name="_Toc100012"/>
      <w:r>
        <w:rPr>
          <w:rFonts w:ascii="Times New Roman" w:eastAsia="SimSun" w:hAnsi="Times New Roman"/>
          <w:b/>
          <w:bCs/>
          <w:color w:val="1A2330"/>
          <w:sz w:val="32"/>
          <w:szCs w:val="32"/>
        </w:rPr>
        <w:t xml:space="preserve">6. Milestones and Deliverables Matrix</w:t>
      </w:r>
      <w:bookmarkEnd w:id="100012"/>
    </w:p>
    <w:p>
      <w:pPr>
        <w:pStyle w:val="Heading2"/>
        <w:spacing w:after="120" w:before="240" w:line="312"/>
      </w:pPr>
      <w:bookmarkStart w:id="100013" w:name="_Toc100013"/>
      <w:r>
        <w:rPr>
          <w:rFonts w:ascii="Times New Roman" w:eastAsia="SimSun" w:hAnsi="Times New Roman"/>
          <w:b/>
          <w:bCs/>
          <w:color w:val="1A2330"/>
          <w:sz w:val="30"/>
          <w:szCs w:val="30"/>
        </w:rPr>
        <w:t xml:space="preserve">6.1 Milestone Schedule</w:t>
      </w:r>
      <w:bookmarkEnd w:id="100013"/>
    </w:p>
    <w:p>
      <w:pPr>
        <w:spacing w:after="120" w:line="312"/>
        <w:jc w:val="both"/>
      </w:pPr>
      <w:r>
        <w:rPr>
          <w:rFonts w:ascii="Times New Roman" w:eastAsia="SimSun" w:hAnsi="Times New Roman"/>
          <w:color w:val="000000"/>
          <w:sz w:val="24"/>
          <w:szCs w:val="24"/>
        </w:rPr>
        <w:t xml:space="preserve">Milestones are the formal checkpoints at which the steering committee verifies that a coherent body of work is complete before downstream work proceeds. Each milestone carries explicit acceptance criteria so that status is a matter of evidence rather than opinion, and each is reviewed with the risk register so that slippage triggers defined mitigations rather than improvised ones. Table 4 lists the seven milestones with their timing and acceptance criteria.</w:t>
      </w:r>
    </w:p>
    <w:p>
      <w:pPr>
        <w:keepNext/>
        <w:spacing w:after="100" w:before="160" w:line="312"/>
        <w:jc w:val="left"/>
      </w:pPr>
      <w:r>
        <w:rPr>
          <w:rFonts w:ascii="Times New Roman" w:eastAsia="SimSun" w:hAnsi="Times New Roman"/>
          <w:b/>
          <w:bCs/>
          <w:color w:val="5A6470"/>
          <w:sz w:val="21"/>
          <w:szCs w:val="21"/>
        </w:rPr>
        <w:t xml:space="preserve">Table 4: Milestone schedule and acceptance criteria</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791"/>
        <w:gridCol w:w="1230"/>
        <w:gridCol w:w="2285"/>
        <w:gridCol w:w="4482"/>
      </w:tblGrid>
      <w:tr>
        <w:trPr>
          <w:cantSplit/>
          <w:tblHeader/>
        </w:trPr>
        <w:tc>
          <w:tcPr>
            <w:tcW w:type="pct" w:w="9%"/>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ID</w:t>
            </w:r>
          </w:p>
        </w:tc>
        <w:tc>
          <w:tcPr>
            <w:tcW w:type="pct" w:w="14%"/>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Month</w:t>
            </w:r>
          </w:p>
        </w:tc>
        <w:tc>
          <w:tcPr>
            <w:tcW w:type="pct" w:w="26%"/>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Milestone</w:t>
            </w:r>
          </w:p>
        </w:tc>
        <w:tc>
          <w:tcPr>
            <w:tcW w:type="pct" w:w="51%"/>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Acceptance Criteria</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MS-1</w:t>
            </w:r>
          </w:p>
        </w:tc>
        <w:tc>
          <w:tcPr>
            <w:tcW w:type="pct" w:w="14%"/>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M3 (Mar 2027)</w:t>
            </w:r>
          </w:p>
        </w:tc>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Field infrastructure operational</w:t>
            </w:r>
          </w:p>
        </w:tc>
        <w:tc>
          <w:tcPr>
            <w:tcW w:type="pct" w:w="51%"/>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UAV and sensors calibrated and accepted; three weather stations streaming validated data; agreements, permits and ethics approvals in place</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MS-2</w:t>
            </w:r>
          </w:p>
        </w:tc>
        <w:tc>
          <w:tcPr>
            <w:tcW w:type="pct" w:w="14%"/>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M5 (May 2027)</w:t>
            </w:r>
          </w:p>
        </w:tc>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Baseline studies complete</w:t>
            </w:r>
          </w:p>
        </w:tc>
        <w:tc>
          <w:tcPr>
            <w:tcW w:type="pct" w:w="51%"/>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Preprocessing pipeline v1.0 passes QA on pilot flights at all sites; stakeholder survey report accepted; evaluation targets frozen</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MS-3</w:t>
            </w:r>
          </w:p>
        </w:tc>
        <w:tc>
          <w:tcPr>
            <w:tcW w:type="pct" w:w="14%"/>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M12 (Dec 2027)</w:t>
            </w:r>
          </w:p>
        </w:tc>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Season-1 dataset locked</w:t>
            </w:r>
          </w:p>
        </w:tc>
        <w:tc>
          <w:tcPr>
            <w:tcW w:type="pct" w:w="51%"/>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All flights calibrated and orthomosaicked; multi-rater labels with inter-rater agreement report; weather and soil series aligned and versioned</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MS-4</w:t>
            </w:r>
          </w:p>
        </w:tc>
        <w:tc>
          <w:tcPr>
            <w:tcW w:type="pct" w:w="14%"/>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M15 (Mar 2028)</w:t>
            </w:r>
          </w:p>
        </w:tc>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SSCNN v1.0 validated</w:t>
            </w:r>
          </w:p>
        </w:tc>
        <w:tc>
          <w:tcPr>
            <w:tcW w:type="pct" w:w="51%"/>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Leakage-aware metrics reported per site and per class; calibration checked against targets; model card released</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MS-5</w:t>
            </w:r>
          </w:p>
        </w:tc>
        <w:tc>
          <w:tcPr>
            <w:tcW w:type="pct" w:w="14%"/>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M18 (Jun 2028)</w:t>
            </w:r>
          </w:p>
        </w:tc>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Integrated system v1.0 released</w:t>
            </w:r>
          </w:p>
        </w:tc>
        <w:tc>
          <w:tcPr>
            <w:tcW w:type="pct" w:w="51%"/>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End-to-end run on Season 1 replay meets latency and functional targets; dashboard with map overlays and attention layers demonstrated</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MS-6</w:t>
            </w:r>
          </w:p>
        </w:tc>
        <w:tc>
          <w:tcPr>
            <w:tcW w:type="pct" w:w="14%"/>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M23 (Nov 2028)</w:t>
            </w:r>
          </w:p>
        </w:tc>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Season-2 validation complete</w:t>
            </w:r>
          </w:p>
        </w:tc>
        <w:tc>
          <w:tcPr>
            <w:tcW w:type="pct" w:w="51%"/>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Operational season executed with alert service; expert concordance, earliness and cross-season results reported</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MS-7</w:t>
            </w:r>
          </w:p>
        </w:tc>
        <w:tc>
          <w:tcPr>
            <w:tcW w:type="pct" w:w="14%"/>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M24 (Dec 2028)</w:t>
            </w:r>
          </w:p>
        </w:tc>
        <w:tc>
          <w:tcPr>
            <w:tcW w:type="pct" w:w="26%"/>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Project handover accepted</w:t>
            </w:r>
          </w:p>
        </w:tc>
        <w:tc>
          <w:tcPr>
            <w:tcW w:type="pct" w:w="51%"/>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Final report, documentation, data catalogue, model registry and training delivered; steering committee sign-off</w:t>
            </w:r>
          </w:p>
        </w:tc>
      </w:tr>
    </w:tbl>
    <w:p>
      <w:pPr>
        <w:pStyle w:val="Heading2"/>
        <w:spacing w:after="120" w:before="240" w:line="312"/>
      </w:pPr>
      <w:bookmarkStart w:id="100014" w:name="_Toc100014"/>
      <w:r>
        <w:rPr>
          <w:rFonts w:ascii="Times New Roman" w:eastAsia="SimSun" w:hAnsi="Times New Roman"/>
          <w:b/>
          <w:bCs/>
          <w:color w:val="1A2330"/>
          <w:sz w:val="30"/>
          <w:szCs w:val="30"/>
        </w:rPr>
        <w:t xml:space="preserve">6.2 Deliverables Matrix</w:t>
      </w:r>
      <w:bookmarkEnd w:id="100014"/>
    </w:p>
    <w:p>
      <w:pPr>
        <w:spacing w:after="120" w:line="312"/>
        <w:jc w:val="both"/>
      </w:pPr>
      <w:r>
        <w:rPr>
          <w:rFonts w:ascii="Times New Roman" w:eastAsia="SimSun" w:hAnsi="Times New Roman"/>
          <w:color w:val="000000"/>
          <w:sz w:val="24"/>
          <w:szCs w:val="24"/>
        </w:rPr>
        <w:t xml:space="preserve">Deliverables are the concrete artefacts through which milestones are evidenced, and each has a single accountable owner. The matrix below lists the eleven formal deliverables together with the phase that produces them and their due month. Deliverable acceptance follows the same evidence rule as milestones: a dataset is accepted only with its metadata and quality report, and a model only with its evaluation results and model card.</w:t>
      </w:r>
    </w:p>
    <w:p>
      <w:pPr>
        <w:keepNext/>
        <w:spacing w:after="100" w:before="160" w:line="312"/>
        <w:jc w:val="left"/>
      </w:pPr>
      <w:r>
        <w:rPr>
          <w:rFonts w:ascii="Times New Roman" w:eastAsia="SimSun" w:hAnsi="Times New Roman"/>
          <w:b/>
          <w:bCs/>
          <w:color w:val="5A6470"/>
          <w:sz w:val="21"/>
          <w:szCs w:val="21"/>
        </w:rPr>
        <w:t xml:space="preserve">Table 5: Deliverables matrix</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791"/>
        <w:gridCol w:w="3779"/>
        <w:gridCol w:w="1670"/>
        <w:gridCol w:w="1055"/>
        <w:gridCol w:w="1494"/>
      </w:tblGrid>
      <w:tr>
        <w:trPr>
          <w:cantSplit/>
          <w:tblHeader/>
        </w:trPr>
        <w:tc>
          <w:tcPr>
            <w:tcW w:type="pct" w:w="9%"/>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ID</w:t>
            </w:r>
          </w:p>
        </w:tc>
        <w:tc>
          <w:tcPr>
            <w:tcW w:type="pct" w:w="43%"/>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Deliverable</w:t>
            </w:r>
          </w:p>
        </w:tc>
        <w:tc>
          <w:tcPr>
            <w:tcW w:type="pct" w:w="19%"/>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Owner</w:t>
            </w:r>
          </w:p>
        </w:tc>
        <w:tc>
          <w:tcPr>
            <w:tcW w:type="pct" w:w="12%"/>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Phase</w:t>
            </w:r>
          </w:p>
        </w:tc>
        <w:tc>
          <w:tcPr>
            <w:tcW w:type="pct" w:w="17%"/>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Due</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D1</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Project management plan, agreements and ethics approvals</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PI</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P1</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M2</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D2</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Installed and calibrated UAV and weather-station infrastructure</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GIS/UAV</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P1</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M3</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D3</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Soil property database for the three study sites</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Data Mgr</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P1</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M4</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D4</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Preprocessing pipeline v1.0 with QA report</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ML Eng</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P2</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M6</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D5</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Stakeholder survey and requirements report</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PI</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P2</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M5</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D6</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Season-1 labelled multispectral dataset with metadata</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Data Mgr</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P3</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M12</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D7</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SSCNN v1.0 with model card and evaluation results</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ML Eng</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P4</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M15</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D8</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Decision engine with fusion rules and recommendation mapping</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SW Dev</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P5</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M17</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D9</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Dashboard v1.0 with map overlays, attention layers and alerts</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SW Dev</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P5</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M18</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D10</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Season-2 operational validation report</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PI</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P6</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M23</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D11</w:t>
            </w:r>
          </w:p>
        </w:tc>
        <w:tc>
          <w:tcPr>
            <w:tcW w:type="pct" w:w="43%"/>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Final report, publications and handover pack</w:t>
            </w:r>
          </w:p>
        </w:tc>
        <w:tc>
          <w:tcPr>
            <w:tcW w:type="pct" w:w="19%"/>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PI</w:t>
            </w:r>
          </w:p>
        </w:tc>
        <w:tc>
          <w:tcPr>
            <w:tcW w:type="pct" w:w="12%"/>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P7</w:t>
            </w:r>
          </w:p>
        </w:tc>
        <w:tc>
          <w:tcPr>
            <w:tcW w:type="pct" w:w="17%"/>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M24</w:t>
            </w:r>
          </w:p>
        </w:tc>
      </w:tr>
    </w:tbl>
    <w:p>
      <w:pPr>
        <w:pStyle w:val="Heading1"/>
        <w:spacing w:after="160" w:before="360" w:line="312"/>
      </w:pPr>
      <w:bookmarkStart w:id="100015" w:name="_Toc100015"/>
      <w:r>
        <w:rPr>
          <w:rFonts w:ascii="Times New Roman" w:eastAsia="SimSun" w:hAnsi="Times New Roman"/>
          <w:b/>
          <w:bCs/>
          <w:color w:val="1A2330"/>
          <w:sz w:val="32"/>
          <w:szCs w:val="32"/>
        </w:rPr>
        <w:t xml:space="preserve">7. Risk Register and Mitigation Strategies</w:t>
      </w:r>
      <w:bookmarkEnd w:id="100015"/>
    </w:p>
    <w:p>
      <w:pPr>
        <w:spacing w:after="120" w:line="312"/>
        <w:jc w:val="both"/>
      </w:pPr>
      <w:r>
        <w:rPr>
          <w:rFonts w:ascii="Times New Roman" w:eastAsia="SimSun" w:hAnsi="Times New Roman"/>
          <w:color w:val="000000"/>
          <w:sz w:val="24"/>
          <w:szCs w:val="24"/>
        </w:rPr>
        <w:t xml:space="preserve">Risk management follows a live register rather than a one-off annex. Each risk has a named owner, a likelihood and impact rating reviewed monthly, and mitigations with defined trigger dates so that responses are proactive. The ten highest-exposure risks at plan start are listed in Table 6; the register is re-scored at every monthly technical review, and any risk whose exposure rises for two consecutive reviews is escalated to the steering committee with a written response option analysis.</w:t>
      </w:r>
    </w:p>
    <w:p>
      <w:pPr>
        <w:keepNext/>
        <w:spacing w:after="100" w:before="160" w:line="312"/>
        <w:jc w:val="left"/>
      </w:pPr>
      <w:r>
        <w:rPr>
          <w:rFonts w:ascii="Times New Roman" w:eastAsia="SimSun" w:hAnsi="Times New Roman"/>
          <w:b/>
          <w:bCs/>
          <w:color w:val="5A6470"/>
          <w:sz w:val="21"/>
          <w:szCs w:val="21"/>
        </w:rPr>
        <w:t xml:space="preserve">Table 6: Risk register and mitigation strategies</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791"/>
        <w:gridCol w:w="2373"/>
        <w:gridCol w:w="1318"/>
        <w:gridCol w:w="967"/>
        <w:gridCol w:w="3339"/>
      </w:tblGrid>
      <w:tr>
        <w:trPr>
          <w:cantSplit/>
          <w:tblHeader/>
        </w:trPr>
        <w:tc>
          <w:tcPr>
            <w:tcW w:type="pct" w:w="9%"/>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ID</w:t>
            </w:r>
          </w:p>
        </w:tc>
        <w:tc>
          <w:tcPr>
            <w:tcW w:type="pct" w:w="27%"/>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Risk</w:t>
            </w:r>
          </w:p>
        </w:tc>
        <w:tc>
          <w:tcPr>
            <w:tcW w:type="pct" w:w="15%"/>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Likelihood</w:t>
            </w:r>
          </w:p>
        </w:tc>
        <w:tc>
          <w:tcPr>
            <w:tcW w:type="pct" w:w="11%"/>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Impact</w:t>
            </w:r>
          </w:p>
        </w:tc>
        <w:tc>
          <w:tcPr>
            <w:tcW w:type="pct" w:w="38%"/>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Mitigation</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R1</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Weather-station procurement or installation delay</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Order in Month 1; acceptance test before MS-1; fallback to satellite reanalysis products (ERA5/CHIRPS) with documented resolution limits</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R2</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Low natural disease pressure in Season 1</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High</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Inoculated and spreader-row plots agreed with centres; unsprayed sentinel plots; coordination with breeding nurseries on epidemic nurseries</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R3</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Class imbalance: few early-stage disease samples</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High</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Weighted or focal loss; targeted oversampling of early stages; multi-site pooling; active learning on borderline patches</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R4</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Cross-sensor inconsistency between the two UAV platforms</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Standardised band order; per-sensor radiometric workflows; cross-sensor normalisation checks at every flight</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R5</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Ground-truth label noise and expert disagreement</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High</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At least two independent raters per plot; inter-rater agreement monitoring; laboratory confirmation subset; adjudication panel for conflicts</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R6</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Data leakage inflating reported accuracy</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High</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Splits enforced at plot, date and block level inside the pipeline; automated leakage audits; naive and leakage-free results reported side by side</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R7</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UAV regulatory or permit delays</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Early engagement with the aviation regulator; licensed pilots; contingency flight windows agreed with centre management</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R8</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Site connectivity and power gaps</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High</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Offline-first field capture; edge preprocessing at the centres; scheduled synchronisation; solar backup for weather stations</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R9</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Staff turnover in a small specialist team</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Low</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Versioned repositories and runbooks; cross-training between paired roles; named deputies in the governance plan</w:t>
            </w:r>
          </w:p>
        </w:tc>
      </w:tr>
      <w:tr>
        <w:trPr>
          <w:cantSplit/>
        </w:trPr>
        <w:tc>
          <w:tcPr>
            <w:tcW w:type="pct" w:w="9%"/>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R10</w:t>
            </w:r>
          </w:p>
        </w:tc>
        <w:tc>
          <w:tcPr>
            <w:tcW w:type="pct" w:w="27%"/>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GPU compute constraints or training budget overrun</w:t>
            </w:r>
          </w:p>
        </w:tc>
        <w:tc>
          <w:tcPr>
            <w:tcW w:type="pct" w:w="15%"/>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Low</w:t>
            </w:r>
          </w:p>
        </w:tc>
        <w:tc>
          <w:tcPr>
            <w:tcW w:type="pct" w:w="11%"/>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Medium</w:t>
            </w:r>
          </w:p>
        </w:tc>
        <w:tc>
          <w:tcPr>
            <w:tcW w:type="pct" w:w="3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Burst cloud capacity on demand; checkpointed training runs; prioritised experiment queue reviewed monthly</w:t>
            </w:r>
          </w:p>
        </w:tc>
      </w:tr>
    </w:tbl>
    <w:p>
      <w:pPr>
        <w:spacing w:after="120" w:line="312"/>
        <w:jc w:val="both"/>
      </w:pPr>
      <w:r>
        <w:rPr>
          <w:rFonts w:ascii="Times New Roman" w:eastAsia="SimSun" w:hAnsi="Times New Roman"/>
          <w:color w:val="000000"/>
          <w:sz w:val="24"/>
          <w:szCs w:val="24"/>
        </w:rPr>
        <w:t xml:space="preserve">Two risks deserve narrative emphasis because they attack the scientific claim itself. Low disease pressure (R2) would starve the dataset of the early-stage examples the project exists to detect, which is why the inoculated-plot programme is treated as core infrastructure rather than an experiment. Data leakage (R6) silently invalidates reported accuracy, which is why the split policy is enforced in code inside the data pipeline, audited automatically, and reported transparently alongside any naive-split figures in every evaluation document.</w:t>
      </w:r>
    </w:p>
    <w:p>
      <w:pPr>
        <w:pStyle w:val="Heading1"/>
        <w:spacing w:after="160" w:before="360" w:line="312"/>
      </w:pPr>
      <w:bookmarkStart w:id="100016" w:name="_Toc100016"/>
      <w:r>
        <w:rPr>
          <w:rFonts w:ascii="Times New Roman" w:eastAsia="SimSun" w:hAnsi="Times New Roman"/>
          <w:b/>
          <w:bCs/>
          <w:color w:val="1A2330"/>
          <w:sz w:val="32"/>
          <w:szCs w:val="32"/>
        </w:rPr>
        <w:t xml:space="preserve">8. Resource and Infrastructure Requirements</w:t>
      </w:r>
      <w:bookmarkEnd w:id="100016"/>
    </w:p>
    <w:p>
      <w:pPr>
        <w:spacing w:after="120" w:line="312"/>
        <w:jc w:val="both"/>
      </w:pPr>
      <w:r>
        <w:rPr>
          <w:rFonts w:ascii="Times New Roman" w:eastAsia="SimSun" w:hAnsi="Times New Roman"/>
          <w:color w:val="000000"/>
          <w:sz w:val="24"/>
          <w:szCs w:val="24"/>
        </w:rPr>
        <w:t xml:space="preserve">The resource baseline is deliberately modest but non-negotiable in its core items: calibrated multispectral capture, on-site environmental measurement and adequate training compute are the three inputs the science cannot proceed without. Table 7 lists the principal physical and software resources, their specification and the phase in which each is deployed. Quantities assume the three-site design; any reduction in site count would be a steering-level change because it would weaken the cross-site generalisation evidence.</w:t>
      </w:r>
    </w:p>
    <w:p>
      <w:pPr>
        <w:keepNext/>
        <w:spacing w:after="100" w:before="160" w:line="312"/>
        <w:jc w:val="left"/>
      </w:pPr>
      <w:r>
        <w:rPr>
          <w:rFonts w:ascii="Times New Roman" w:eastAsia="SimSun" w:hAnsi="Times New Roman"/>
          <w:b/>
          <w:bCs/>
          <w:color w:val="5A6470"/>
          <w:sz w:val="21"/>
          <w:szCs w:val="21"/>
        </w:rPr>
        <w:t xml:space="preserve">Table 7: Principal resources and infrastructure</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2109"/>
        <w:gridCol w:w="4218"/>
        <w:gridCol w:w="879"/>
        <w:gridCol w:w="1582"/>
      </w:tblGrid>
      <w:tr>
        <w:trPr>
          <w:cantSplit/>
          <w:tblHeader/>
        </w:trPr>
        <w:tc>
          <w:tcPr>
            <w:tcW w:type="pct" w:w="24%"/>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Item</w:t>
            </w:r>
          </w:p>
        </w:tc>
        <w:tc>
          <w:tcPr>
            <w:tcW w:type="pct" w:w="48%"/>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Specification</w:t>
            </w:r>
          </w:p>
        </w:tc>
        <w:tc>
          <w:tcPr>
            <w:tcW w:type="pct" w:w="10%"/>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Qty</w:t>
            </w:r>
          </w:p>
        </w:tc>
        <w:tc>
          <w:tcPr>
            <w:tcW w:type="pct" w:w="18%"/>
            <w:shd w:fill="D4875A" w:val="clear"/>
            <w:tcMar>
              <w:top w:type="dxa" w:w="80"/>
              <w:left w:type="dxa" w:w="120"/>
              <w:bottom w:type="dxa" w:w="80"/>
              <w:right w:type="dxa" w:w="120"/>
            </w:tcMar>
          </w:tcPr>
          <w:p>
            <w:pPr>
              <w:spacing w:line="312"/>
              <w:jc w:val="center"/>
            </w:pPr>
            <w:r>
              <w:rPr>
                <w:rFonts w:ascii="Times New Roman" w:eastAsia="SimSun" w:hAnsi="Times New Roman"/>
                <w:b/>
                <w:bCs/>
                <w:color w:val="FFFFFF"/>
                <w:sz w:val="21"/>
                <w:szCs w:val="21"/>
              </w:rPr>
              <w:t xml:space="preserve">Deployed</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UAV multispectral platform A</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DJI Mavic 3M class: four multispectral bands (green, red, red edge, near-infrared) plus RGB</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P1</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UAV multispectral platform B</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P4 Multispectral / RedEdge-P class: five-band sun-angle-aware sensor</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P1</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Reflectance calibration kit</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Calibration panel and downwelling light sensor per platform, used every flight</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2</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P1</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Automatic weather stations</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Temperature, relative humidity, rainfall, soil moisture and leaf wetness; hourly logging; solar power; cellular or offline store-and-forward</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3</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P1</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GPU training server</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Dual data-centre class GPUs, 256 GB RAM, NVMe storage; or equivalent committed cloud allocation</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P2</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Cloud storage and burst compute</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Versioned object storage for imagery and datasets; on-demand GPU burst for large experiments</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1</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P2</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Software stack</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Python; TensorFlow or PyTorch; GDAL and an orthomosaic engine (OpenDroneMap or Pix4D); geospatial libraries; open-source dashboard framework</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P2</w:t>
            </w:r>
          </w:p>
        </w:tc>
      </w:tr>
      <w:tr>
        <w:trPr>
          <w:cantSplit/>
        </w:trPr>
        <w:tc>
          <w:tcPr>
            <w:tcW w:type="pct" w:w="2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Field logistics</w:t>
            </w:r>
          </w:p>
        </w:tc>
        <w:tc>
          <w:tcPr>
            <w:tcW w:type="pct" w:w="48%"/>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Vehicles, field staff and laboratory access shared with the research centres under the collaboration agreements</w:t>
            </w:r>
          </w:p>
        </w:tc>
        <w:tc>
          <w:tcPr>
            <w:tcW w:type="pct" w:w="10%"/>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3 sites</w:t>
            </w:r>
          </w:p>
        </w:tc>
        <w:tc>
          <w:tcPr>
            <w:tcW w:type="pct" w:w="18%"/>
            <w:tcMar>
              <w:top w:type="dxa" w:w="80"/>
              <w:left w:type="dxa" w:w="120"/>
              <w:bottom w:type="dxa" w:w="80"/>
              <w:right w:type="dxa" w:w="120"/>
            </w:tcMar>
          </w:tcPr>
          <w:p>
            <w:pPr>
              <w:spacing w:line="312"/>
              <w:jc w:val="center"/>
            </w:pPr>
            <w:r>
              <w:rPr>
                <w:rFonts w:ascii="Times New Roman" w:eastAsia="SimSun" w:hAnsi="Times New Roman"/>
                <w:b w:val="false"/>
                <w:bCs w:val="false"/>
                <w:color w:val="000000"/>
                <w:sz w:val="21"/>
                <w:szCs w:val="21"/>
              </w:rPr>
              <w:t xml:space="preserve">P3, P6</w:t>
            </w:r>
          </w:p>
        </w:tc>
      </w:tr>
    </w:tbl>
    <w:p>
      <w:pPr>
        <w:spacing w:after="120" w:line="312"/>
        <w:jc w:val="both"/>
      </w:pPr>
      <w:r>
        <w:rPr>
          <w:rFonts w:ascii="Times New Roman" w:eastAsia="SimSun" w:hAnsi="Times New Roman"/>
          <w:color w:val="000000"/>
          <w:sz w:val="24"/>
          <w:szCs w:val="24"/>
        </w:rPr>
        <w:t xml:space="preserve">Procurement and licensing follow two principles. First, prefer open-source software wherever capability permits, reserving commercial licences for the orthomosaic engine if its quality advantage is demonstrated in the Phase 2 pilot comparison. Second, procure all long-lead hardware in Month 1 with acceptance testing built into the Phase 1 exit criteria, because every week of sensor delay compresses the flight season that cannot be extended.</w:t>
      </w:r>
    </w:p>
    <w:p>
      <w:pPr>
        <w:pStyle w:val="Heading1"/>
        <w:spacing w:after="160" w:before="360" w:line="312"/>
      </w:pPr>
      <w:bookmarkStart w:id="100017" w:name="_Toc100017"/>
      <w:r>
        <w:rPr>
          <w:rFonts w:ascii="Times New Roman" w:eastAsia="SimSun" w:hAnsi="Times New Roman"/>
          <w:b/>
          <w:bCs/>
          <w:color w:val="1A2330"/>
          <w:sz w:val="32"/>
          <w:szCs w:val="32"/>
        </w:rPr>
        <w:t xml:space="preserve">9. Monitoring, Evaluation and Reporting</w:t>
      </w:r>
      <w:bookmarkEnd w:id="100017"/>
    </w:p>
    <w:p>
      <w:pPr>
        <w:pStyle w:val="Heading2"/>
        <w:spacing w:after="120" w:before="240" w:line="312"/>
      </w:pPr>
      <w:bookmarkStart w:id="100018" w:name="_Toc100018"/>
      <w:r>
        <w:rPr>
          <w:rFonts w:ascii="Times New Roman" w:eastAsia="SimSun" w:hAnsi="Times New Roman"/>
          <w:b/>
          <w:bCs/>
          <w:color w:val="1A2330"/>
          <w:sz w:val="30"/>
          <w:szCs w:val="30"/>
        </w:rPr>
        <w:t xml:space="preserve">9.1 Key Performance Indicators</w:t>
      </w:r>
      <w:bookmarkEnd w:id="100018"/>
    </w:p>
    <w:p>
      <w:pPr>
        <w:spacing w:after="120" w:line="312"/>
        <w:jc w:val="both"/>
      </w:pPr>
      <w:r>
        <w:rPr>
          <w:rFonts w:ascii="Times New Roman" w:eastAsia="SimSun" w:hAnsi="Times New Roman"/>
          <w:color w:val="000000"/>
          <w:sz w:val="24"/>
          <w:szCs w:val="24"/>
        </w:rPr>
        <w:t xml:space="preserve">Monitoring and evaluation rests on a small set of indicators that are frozen before the results they measure exist. At Milestone MS-2 the team fixes the evaluation protocol, the target values and the acceptance tolerances in an evaluation charter; from that point, reported numbers can be compared against commitments rather than invented after the fact. Table 8 defines the key performance indicators, their planned targets and the milestones at which they are formally measured.</w:t>
      </w:r>
    </w:p>
    <w:p>
      <w:pPr>
        <w:keepNext/>
        <w:spacing w:after="100" w:before="160" w:line="312"/>
        <w:jc w:val="left"/>
      </w:pPr>
      <w:r>
        <w:rPr>
          <w:rFonts w:ascii="Times New Roman" w:eastAsia="SimSun" w:hAnsi="Times New Roman"/>
          <w:b/>
          <w:bCs/>
          <w:color w:val="5A6470"/>
          <w:sz w:val="21"/>
          <w:szCs w:val="21"/>
        </w:rPr>
        <w:t xml:space="preserve">Table 8: Key performance indicators and planned targets</w:t>
      </w:r>
    </w:p>
    <w:tbl>
      <w:tblPr>
        <w:tblW w:type="pct" w:w="100%"/>
        <w:tblBorders>
          <w:top w:val="single" w:color="D4875A" w:sz="6"/>
          <w:left w:val="none" w:color="FFFFFF" w:sz="0"/>
          <w:bottom w:val="single" w:color="D4875A" w:sz="6"/>
          <w:right w:val="none" w:color="FFFFFF" w:sz="0"/>
          <w:insideH w:val="single" w:color="DDD0C8" w:sz="2"/>
          <w:insideV w:val="none" w:color="FFFFFF" w:sz="0"/>
        </w:tblBorders>
        <w:tblLayout w:type="fixed"/>
      </w:tblPr>
      <w:tblGrid>
        <w:gridCol w:w="2988"/>
        <w:gridCol w:w="3867"/>
        <w:gridCol w:w="1933"/>
      </w:tblGrid>
      <w:tr>
        <w:trPr>
          <w:cantSplit/>
          <w:tblHeader/>
        </w:trPr>
        <w:tc>
          <w:tcPr>
            <w:tcW w:type="pct" w:w="34%"/>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Indicator</w:t>
            </w:r>
          </w:p>
        </w:tc>
        <w:tc>
          <w:tcPr>
            <w:tcW w:type="pct" w:w="44%"/>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Planned Target</w:t>
            </w:r>
          </w:p>
        </w:tc>
        <w:tc>
          <w:tcPr>
            <w:tcW w:type="pct" w:w="22%"/>
            <w:shd w:fill="D4875A" w:val="clear"/>
            <w:tcMar>
              <w:top w:type="dxa" w:w="80"/>
              <w:left w:type="dxa" w:w="120"/>
              <w:bottom w:type="dxa" w:w="80"/>
              <w:right w:type="dxa" w:w="120"/>
            </w:tcMar>
          </w:tcPr>
          <w:p>
            <w:pPr>
              <w:spacing w:line="312"/>
              <w:jc w:val="left"/>
            </w:pPr>
            <w:r>
              <w:rPr>
                <w:rFonts w:ascii="Times New Roman" w:eastAsia="SimSun" w:hAnsi="Times New Roman"/>
                <w:b/>
                <w:bCs/>
                <w:color w:val="FFFFFF"/>
                <w:sz w:val="21"/>
                <w:szCs w:val="21"/>
              </w:rPr>
              <w:t xml:space="preserve">Measured At</w:t>
            </w:r>
          </w:p>
        </w:tc>
      </w:tr>
      <w:tr>
        <w:trPr>
          <w:cantSplit/>
        </w:trPr>
        <w:tc>
          <w:tcPr>
            <w:tcW w:type="pct" w:w="3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Per-class detection F1 (leakage-aware)</w:t>
            </w:r>
          </w:p>
        </w:tc>
        <w:tc>
          <w:tcPr>
            <w:tcW w:type="pct" w:w="4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Target value frozen in the evaluation charter at MS-2, before any training data is fully assembled</w:t>
            </w:r>
          </w:p>
        </w:tc>
        <w:tc>
          <w:tcPr>
            <w:tcW w:type="pct" w:w="22%"/>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MS-4, MS-6</w:t>
            </w:r>
          </w:p>
        </w:tc>
      </w:tr>
      <w:tr>
        <w:trPr>
          <w:cantSplit/>
        </w:trPr>
        <w:tc>
          <w:tcPr>
            <w:tcW w:type="pct" w:w="3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Detection lead time before visual symptoms</w:t>
            </w:r>
          </w:p>
        </w:tc>
        <w:tc>
          <w:tcPr>
            <w:tcW w:type="pct" w:w="4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Quantified on inoculated plots with known infection timing; target fixed in the evaluation charter</w:t>
            </w:r>
          </w:p>
        </w:tc>
        <w:tc>
          <w:tcPr>
            <w:tcW w:type="pct" w:w="22%"/>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MS-6</w:t>
            </w:r>
          </w:p>
        </w:tc>
      </w:tr>
      <w:tr>
        <w:trPr>
          <w:cantSplit/>
        </w:trPr>
        <w:tc>
          <w:tcPr>
            <w:tcW w:type="pct" w:w="3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Probability calibration error (ECE)</w:t>
            </w:r>
          </w:p>
        </w:tc>
        <w:tc>
          <w:tcPr>
            <w:tcW w:type="pct" w:w="4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Within the tolerance band agreed in the evaluation charter</w:t>
            </w:r>
          </w:p>
        </w:tc>
        <w:tc>
          <w:tcPr>
            <w:tcW w:type="pct" w:w="22%"/>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MS-4, MS-6</w:t>
            </w:r>
          </w:p>
        </w:tc>
      </w:tr>
      <w:tr>
        <w:trPr>
          <w:cantSplit/>
        </w:trPr>
        <w:tc>
          <w:tcPr>
            <w:tcW w:type="pct" w:w="3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Expert-model agreement (Cohen kappa)</w:t>
            </w:r>
          </w:p>
        </w:tc>
        <w:tc>
          <w:tcPr>
            <w:tcW w:type="pct" w:w="4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Model concordance within one agreement band of the expert inter-rater baseline</w:t>
            </w:r>
          </w:p>
        </w:tc>
        <w:tc>
          <w:tcPr>
            <w:tcW w:type="pct" w:w="22%"/>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MS-6</w:t>
            </w:r>
          </w:p>
        </w:tc>
      </w:tr>
      <w:tr>
        <w:trPr>
          <w:cantSplit/>
        </w:trPr>
        <w:tc>
          <w:tcPr>
            <w:tcW w:type="pct" w:w="3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End-to-end processing latency per flight</w:t>
            </w:r>
          </w:p>
        </w:tc>
        <w:tc>
          <w:tcPr>
            <w:tcW w:type="pct" w:w="4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Next-business-day delivery of risk maps and alerts during Season 2 operations</w:t>
            </w:r>
          </w:p>
        </w:tc>
        <w:tc>
          <w:tcPr>
            <w:tcW w:type="pct" w:w="22%"/>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MS-5, MS-6</w:t>
            </w:r>
          </w:p>
        </w:tc>
      </w:tr>
      <w:tr>
        <w:trPr>
          <w:cantSplit/>
        </w:trPr>
        <w:tc>
          <w:tcPr>
            <w:tcW w:type="pct" w:w="3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Dataset completeness and metadata quality</w:t>
            </w:r>
          </w:p>
        </w:tc>
        <w:tc>
          <w:tcPr>
            <w:tcW w:type="pct" w:w="44%"/>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At least 95 percent of planned flights and labels captured with complete metadata</w:t>
            </w:r>
          </w:p>
        </w:tc>
        <w:tc>
          <w:tcPr>
            <w:tcW w:type="pct" w:w="22%"/>
            <w:tcMar>
              <w:top w:type="dxa" w:w="80"/>
              <w:left w:type="dxa" w:w="120"/>
              <w:bottom w:type="dxa" w:w="80"/>
              <w:right w:type="dxa" w:w="120"/>
            </w:tcMar>
          </w:tcPr>
          <w:p>
            <w:pPr>
              <w:spacing w:line="312"/>
              <w:jc w:val="left"/>
            </w:pPr>
            <w:r>
              <w:rPr>
                <w:rFonts w:ascii="Times New Roman" w:eastAsia="SimSun" w:hAnsi="Times New Roman"/>
                <w:b w:val="false"/>
                <w:bCs w:val="false"/>
                <w:color w:val="000000"/>
                <w:sz w:val="21"/>
                <w:szCs w:val="21"/>
              </w:rPr>
              <w:t xml:space="preserve">MS-3, MS-6</w:t>
            </w:r>
          </w:p>
        </w:tc>
      </w:tr>
    </w:tbl>
    <w:p>
      <w:pPr>
        <w:pStyle w:val="Heading2"/>
        <w:spacing w:after="120" w:before="240" w:line="312"/>
      </w:pPr>
      <w:bookmarkStart w:id="100019" w:name="_Toc100019"/>
      <w:r>
        <w:rPr>
          <w:rFonts w:ascii="Times New Roman" w:eastAsia="SimSun" w:hAnsi="Times New Roman"/>
          <w:b/>
          <w:bCs/>
          <w:color w:val="1A2330"/>
          <w:sz w:val="30"/>
          <w:szCs w:val="30"/>
        </w:rPr>
        <w:t xml:space="preserve">9.2 Review Cadence and Reporting</w:t>
      </w:r>
      <w:bookmarkEnd w:id="100019"/>
    </w:p>
    <w:p>
      <w:pPr>
        <w:spacing w:after="120" w:line="312"/>
        <w:jc w:val="both"/>
      </w:pPr>
      <w:r>
        <w:rPr>
          <w:rFonts w:ascii="Times New Roman" w:eastAsia="SimSun" w:hAnsi="Times New Roman"/>
          <w:color w:val="000000"/>
          <w:sz w:val="24"/>
          <w:szCs w:val="24"/>
        </w:rPr>
        <w:t xml:space="preserve">Reporting follows the governance cadence. A brief monthly progress note records activity status against the Gantt, experiment results, risk changes and decisions taken; the quarterly steering report consolidates these into milestone-level status with financial consumption and a forward-look section. Milestone reports are produced only at the seven formal checkpoints and contain the acceptance evidence for the criteria in Table 4. Season-end review boards after each campaign accept the seasonal datasets and decide the next season operating plan, and their minutes are appended to the project record.</w:t>
      </w:r>
    </w:p>
    <w:p>
      <w:pPr>
        <w:pStyle w:val="Heading2"/>
        <w:spacing w:after="120" w:before="240" w:line="312"/>
      </w:pPr>
      <w:bookmarkStart w:id="100020" w:name="_Toc100020"/>
      <w:r>
        <w:rPr>
          <w:rFonts w:ascii="Times New Roman" w:eastAsia="SimSun" w:hAnsi="Times New Roman"/>
          <w:b/>
          <w:bCs/>
          <w:color w:val="1A2330"/>
          <w:sz w:val="30"/>
          <w:szCs w:val="30"/>
        </w:rPr>
        <w:t xml:space="preserve">9.3 Handover Criteria</w:t>
      </w:r>
      <w:bookmarkEnd w:id="100020"/>
    </w:p>
    <w:p>
      <w:pPr>
        <w:spacing w:after="120" w:line="312"/>
        <w:jc w:val="both"/>
      </w:pPr>
      <w:r>
        <w:rPr>
          <w:rFonts w:ascii="Times New Roman" w:eastAsia="SimSun" w:hAnsi="Times New Roman"/>
          <w:color w:val="000000"/>
          <w:sz w:val="24"/>
          <w:szCs w:val="24"/>
        </w:rPr>
        <w:t xml:space="preserve">Handover is an outcome the plan manages from Month 1, not an event at the end. Reproducibility practice, versioned repositories, runbooks and the decision log are maintained continuously so that the Month 24 transfer transfers a living system rather than an archaeology project. The handover pack at MS-7 comprises the final report, the complete data catalogue, the model registry with model cards, environment and pipeline documentation, trained local staff and an agreed sustainability and maintenance plan with the partner institutions, at which point the steering committee formally closes the project.</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center"/>
    </w:pPr>
    <w:r>
      <w:rPr>
        <w:rFonts w:ascii="Times New Roman" w:eastAsia="SimSun" w:hAnsi="Times New Roman"/>
        <w:color w:val="808080"/>
        <w:sz w:val="18"/>
        <w:szCs w:val="18"/>
      </w:rPr>
      <w:t xml:space="preserve">Wheat Disease Early Detection Project | Implementation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center"/>
    </w:pPr>
    <w:r>
      <w:rPr>
        <w:rFonts w:ascii="Times New Roman" w:eastAsia="SimSun" w:hAnsi="Times New Roman"/>
        <w:color w:val="808080"/>
        <w:sz w:val="18"/>
        <w:szCs w:val="18"/>
      </w:rPr>
      <w:t xml:space="preserve">Wheat Disease Early Detection Project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A2330"/>
      <w:sz w:val="30"/>
      <w:szCs w:val="30"/>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b6f5401d99e63419dea6d6035838ecdd76b1bb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2026-09-27T11:59:07.860Z</dcterms:created>
  <dcterms:modified xsi:type="dcterms:W3CDTF">2026-09-27T11:59:07.860Z</dcterms:modified>
</cp:coreProperties>
</file>

<file path=docProps/custom.xml><?xml version="1.0" encoding="utf-8"?>
<Properties xmlns="http://schemas.openxmlformats.org/officeDocument/2006/custom-properties" xmlns:vt="http://schemas.openxmlformats.org/officeDocument/2006/docPropsVTypes"/>
</file>