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SAMI Pipeline Methodology - Full Technical Reference</w:t>
      </w:r>
    </w:p>
    <w:p>
      <w:r>
        <w:rPr>
          <w:b w:val="0"/>
          <w:i/>
        </w:rPr>
        <w:t>This document expands the pipeline walkthrough into a complete technical reference: every data-handling action, every anonymisation/de-identification mechanism, every validated accuracy figure, every named model, and every named method used to turn the two raw platform exports into the SAMI dashboard. It is written for drafting the methodology section of the programme report. Source: src/sami/*.py, run_pipeline.py, OPERATIONS.md and exports/_schema.md in the project repository.</w:t>
      </w:r>
    </w:p>
    <w:p>
      <w:pPr>
        <w:pStyle w:val="Heading1"/>
      </w:pPr>
      <w:r>
        <w:t>0. Pipeline Overview</w:t>
      </w:r>
    </w:p>
    <w:p>
      <w:pPr>
        <w:pStyle w:val="ListBullet"/>
      </w:pPr>
      <w:r>
        <w:rPr>
          <w:b/>
        </w:rPr>
        <w:t xml:space="preserve">Single entry point. </w:t>
      </w:r>
      <w:r>
        <w:t>sami.load_sami() (src/sami/facade.py) is the single entry point. It validates schema, loads and pseudonymises both source exports, builds the message-grain frame, runs every quality-assurance check, and returns a frozen data bundle (responses, messages, meal, reconciliation, run metadata). Every notebook and the production run script go through this one function rather than re-parsing Excel independently.</w:t>
      </w:r>
    </w:p>
    <w:p>
      <w:pPr>
        <w:pStyle w:val="ListBullet"/>
      </w:pPr>
      <w:r>
        <w:rPr>
          <w:b/>
        </w:rPr>
        <w:t xml:space="preserve">Orchestration. </w:t>
      </w:r>
      <w:r>
        <w:t>run_pipeline.py orchestrates the full run. Two modes: a full run (loads, embeds, clusters, scores sentiment/emotion, builds every dimension/fact/aggregate table, PII-scans, and writes - roughly 3 minutes on an NVIDIA GPU, roughly 5 minutes CPU-only) and --check (preflight validation only: no model download, no write, completes in seconds).</w:t>
      </w:r>
    </w:p>
    <w:p>
      <w:pPr>
        <w:pStyle w:val="ListBullet"/>
      </w:pPr>
      <w:r>
        <w:rPr>
          <w:b/>
        </w:rPr>
        <w:t xml:space="preserve">Nine timed run stages, in order: </w:t>
      </w:r>
      <w:r>
        <w:t>loading responses + MEAL  →  building dimension + fact tables  →  embedding user documents  →  choosing k and clustering  →  cluster terms + 2D projection  →  sub-clustering inside each cluster  →  sentiment scoring  →  emotion scoring  →  archetype profiles + tone validation + stability  →  bot replies + coverage gap  →  aggregate tables  →  PII scan + write. Each stage is printed with an elapsed time, so a slow stage is visibly working rather than hung.</w:t>
      </w:r>
    </w:p>
    <w:p>
      <w:pPr>
        <w:pStyle w:val="ListBullet"/>
      </w:pPr>
      <w:r>
        <w:rPr>
          <w:b/>
        </w:rPr>
        <w:t xml:space="preserve">Determinism. </w:t>
      </w:r>
      <w:r>
        <w:t>A single constant, RANDOM_STATE = 0, seeds every stochastic step: k-means, the bootstrap resampling used to test cluster stability, and the UMAP projection. Two runs on the same machine against the same input data produce byte-identical exports except meta_run.csv's generation timestamp. Comparing a CPU run against a GPU run on identical input: every export table is byte-identical except meta_run.csv (timestamp only) and the x/y columns of nlp_umap.csv (the 2D scatter-plot coordinates) - no count or percentage anywhere in the exports depends on those coordinates.</w:t>
      </w:r>
    </w:p>
    <w:p>
      <w:pPr>
        <w:pStyle w:val="ListBullet"/>
      </w:pPr>
      <w:r>
        <w:rPr>
          <w:b/>
        </w:rPr>
        <w:t xml:space="preserve">Output - the gold layer. </w:t>
      </w:r>
      <w:r>
        <w:t>The pipeline writes a “gold layer” of roughly thirty CSV tables to exports/ - dimension tables (dim_user, dim_cluster, dim_subcluster, dim_city, dim_quadrant), fact tables (fact_message, fact_conversation_full, fact_meal, fact_bot_turn, fact_message_entities), pre-aggregated tables (agg_daily_volume, agg_weekly_cluster, agg_priority_matrix, agg_coverage_gap, agg_registration_funnel, agg_language, and others), NLP-derived tables (nlp_umap, nlp_cluster_terms, nlp_subcluster_terms, nlp_voices, nlp_tone_confusion, nlp_emotion_confusion, nlp_entity_candidates), and two meta tables (meta_run, parity_check). Every table's grain, columns and consuming notebook/dashboard page is documented in exports/_schema.md, which also carries a versioned changelog explaining every change to the data contract.</w:t>
      </w:r>
    </w:p>
    <w:p>
      <w:pPr>
        <w:pStyle w:val="ListBullet"/>
      </w:pPr>
      <w:r>
        <w:rPr>
          <w:b/>
        </w:rPr>
        <w:t xml:space="preserve">The parity gate. </w:t>
      </w:r>
      <w:r>
        <w:t>Every run reconciles the exported row counts and headline metrics against an independently computed count taken straight from the freshly loaded data (not from the export code path itself), and writes the comparison to exports/parity_check.csv. If any single row's match column is False, the run prints “PARITY FAILED”, exits with a non-zero status code, and that run's output must not be committed, published, or used to refresh the Power BI report. This is described in full in Section 2.</w:t>
      </w:r>
    </w:p>
    <w:p>
      <w:pPr>
        <w:pStyle w:val="Heading1"/>
      </w:pPr>
      <w:r>
        <w:t>1. Collecting the Raw Data</w:t>
      </w:r>
    </w:p>
    <w:p>
      <w:pPr>
        <w:pStyle w:val="ListBullet"/>
      </w:pPr>
      <w:r>
        <w:rPr>
          <w:b/>
        </w:rPr>
        <w:t xml:space="preserve">Sources. </w:t>
      </w:r>
      <w:r>
        <w:t>Two required Microsoft Excel (.xlsx) exports from the chatbot platform, placed by a human into datasets/responses/ and datasets/meal/. The pipeline always reads the newest .xlsx present in each folder - the filename itself carries no meaning, and a workbook currently open in Excel (which leaves a lock file) is correctly treated as absent rather than causing a confusing read error.</w:t>
      </w:r>
    </w:p>
    <w:p>
      <w:pPr>
        <w:pStyle w:val="ListBullet"/>
      </w:pPr>
      <w:r>
        <w:rPr>
          <w:b/>
        </w:rPr>
        <w:t xml:space="preserve">A third, optional source: </w:t>
      </w:r>
      <w:r>
        <w:t>the raw WhatsApp production conversation log (datasets/bot_log/), used only to measure the Coverage Gap Rate and Human Handoff Rate (Section 6.1). This file carries no header row at all: four unnamed, positional columns (timestamp, WhatsApp id, user message, bot reply), read with header=None and named by position. It covers a different time window and a different, only partly overlapping population from the two required exports (216 users, 2026-07-23 to 2026-08-04; 128 of those 216 have no matching survey record at all). Both tables it feeds are written empty-but-column-complete when this file is absent, so a clone of the project without it still produces a loadable dashboard.</w:t>
      </w:r>
    </w:p>
    <w:p>
      <w:pPr>
        <w:pStyle w:val="ListBullet"/>
      </w:pPr>
      <w:r>
        <w:rPr>
          <w:b/>
        </w:rPr>
        <w:t xml:space="preserve">Header detection, not assumption. </w:t>
      </w:r>
      <w:r>
        <w:t>Every export carries two banner rows above its real column header. Rather than assuming the header is always row 3, schema.detect_header_row scans the first 8 rows of the file looking for a row that contains every marker of an accepted marker set (for example “address” + “created at” for the current platform, or the legacy “name” + “timestamp” pair) - so a re-export with a different number of banner rows still loads correctly instead of silently misreading a banner row as data.</w:t>
      </w:r>
    </w:p>
    <w:p>
      <w:pPr>
        <w:pStyle w:val="ListBullet"/>
      </w:pPr>
      <w:r>
        <w:rPr>
          <w:b/>
        </w:rPr>
        <w:t xml:space="preserve">Column-name migration. </w:t>
      </w:r>
      <w:r>
        <w:t>The chatbot platform itself was replaced mid-project (referred to internally as the “v1” → “v2” migration), and the new platform renamed most fields. schema.normalize_columns maps every renamed field back to the pipeline's long-standing internal name (for example “Address”→“Name”, “Created At”→“Timestamp”, “nationality”→“Nationality”) so no other module has to know which platform vintage produced a given row. Every current export therefore carries a mix of v1 and v2 respondent records, distinguished throughout by dim_user[instrument_version], with an explicit, permanent policy (Section 6.7) governing which figures may pool the two cohorts and which must report them side by side.</w:t>
      </w:r>
    </w:p>
    <w:p>
      <w:pPr>
        <w:pStyle w:val="ListBullet"/>
      </w:pPr>
      <w:r>
        <w:rPr>
          <w:b/>
        </w:rPr>
        <w:t xml:space="preserve">Required columns are enforced before anything else runs. </w:t>
      </w:r>
      <w:r>
        <w:t>Every export must have Name and Timestamp at minimum. The responses export must additionally carry City, Age, and Messages (the raw blob of everything a user typed). A missing required column halts the run immediately with an error naming the file, the specific missing column(s), and every column the file actually does have - never a bare KeyError or a silently wrong downstream number.</w:t>
      </w:r>
    </w:p>
    <w:p>
      <w:pPr>
        <w:pStyle w:val="ListBullet"/>
      </w:pPr>
      <w:r>
        <w:rPr>
          <w:b/>
        </w:rPr>
        <w:t xml:space="preserve">Survey-question matching. </w:t>
      </w:r>
      <w:r>
        <w:t>The MEAL survey's five substantive questions (usefulness rating, would-recommend, recommendation text, discovery channel, and the “why wasn't it useful” follow-up) are matched by a distinctive fragment of the actual Spanish question wording (for example “que tan util”), never by column position and never by exact text match (wording is reworded and re-punctuated between exports). The v2 export carries both question vintages side by side with the older ones sitting empty; when a marker matches more than one column, the pipeline binds to whichever column actually contains data rather than defaulting to the first match.</w:t>
      </w:r>
    </w:p>
    <w:p>
      <w:pPr>
        <w:pStyle w:val="ListBullet"/>
      </w:pPr>
      <w:r>
        <w:rPr>
          <w:b/>
        </w:rPr>
        <w:t xml:space="preserve">Row-level validation. </w:t>
      </w:r>
      <w:r>
        <w:t>A row is rejected outright unless its identifier field contains at least one digit - a UI placeholder such as “Agregar address” left over from an incomplete registration does not, and is never allowed to enter the pipeline as a phantom user.</w:t>
      </w:r>
    </w:p>
    <w:p>
      <w:pPr>
        <w:pStyle w:val="ListBullet"/>
      </w:pPr>
      <w:r>
        <w:rPr>
          <w:b/>
        </w:rPr>
        <w:t xml:space="preserve">Sheet-name validation. </w:t>
      </w:r>
      <w:r>
        <w:t>Each workbook's sheet name is checked against an accepted set for its role before any column is inspected ({“users”, “mmc bot - responses”} for the chatbot export; {“survey responses”, “mmc-meal”} for MEAL), so an export saved from the wrong source produces its own distinct, early error rather than a confusing missing-column failure later on.</w:t>
      </w:r>
    </w:p>
    <w:p>
      <w:pPr>
        <w:pStyle w:val="ListBullet"/>
      </w:pPr>
      <w:r>
        <w:rPr>
          <w:b/>
        </w:rPr>
        <w:t xml:space="preserve">Output of this stage: </w:t>
      </w:r>
      <w:r>
        <w:t>raw, schema-validated tables - one for chatbot users and their messages, one for survey responses, and (if present) one for the bot conversation log - not yet cleaned, hashed, or de-identified.</w:t>
      </w:r>
    </w:p>
    <w:p>
      <w:pPr>
        <w:pStyle w:val="Heading1"/>
      </w:pPr>
      <w:r>
        <w:t>2. Cleaning, Checking, and Anonymising the Data</w:t>
      </w:r>
    </w:p>
    <w:p>
      <w:r>
        <w:rPr>
          <w:b w:val="0"/>
          <w:i w:val="0"/>
        </w:rPr>
        <w:t>This is the stage responsible for de-identification, safety gating, and quality assurance. It runs entirely before any clustering or NLP step, and again, independently, immediately before anything is written to disk.</w:t>
      </w:r>
    </w:p>
    <w:p>
      <w:pPr>
        <w:pStyle w:val="Heading2"/>
      </w:pPr>
      <w:r>
        <w:t>2.1 Pseudonymisation</w:t>
      </w:r>
    </w:p>
    <w:p>
      <w:pPr>
        <w:pStyle w:val="ListBullet"/>
      </w:pPr>
      <w:r>
        <w:rPr>
          <w:b/>
        </w:rPr>
        <w:t xml:space="preserve">Algorithm: </w:t>
      </w:r>
      <w:r>
        <w:t>user_id = SHA-256(SAMI_SALT + digits(Name))[:12] - a 12-character hexadecimal digest (load.pseudonymize). digits() strips every non-digit character from the WhatsApp identifier, after first removing a trailing “.0” artefact left by Excel storing the id as a number in the current export format (the legacy format stored it as text with a “whatsapp:” prefix) - this keeps a person's user_id byte-identical across the platform migration, so historical and current records still join correctly.</w:t>
      </w:r>
    </w:p>
    <w:p>
      <w:pPr>
        <w:pStyle w:val="ListBullet"/>
      </w:pPr>
      <w:r>
        <w:rPr>
          <w:b/>
        </w:rPr>
        <w:t xml:space="preserve">Salt handling. </w:t>
      </w:r>
      <w:r>
        <w:t>SAMI_SALT is never committed to the repository. It is supplied out-of-band, held in a gitignored .env file (or the environment) at run time, and the pipeline refuses to run at all if it is absent - there is no default salt value. Hashing is one-way and deterministic: the same person always produces the same user_id, so their records can be linked and counted across every table, but the digest cannot be reversed to recover the original phone number, and a different salt value produces a completely different, non-joinable set of ids for the same underlying people (used deliberately to make historical exports non-linkable without the specific salt used to produce them).</w:t>
      </w:r>
    </w:p>
    <w:p>
      <w:pPr>
        <w:pStyle w:val="ListBullet"/>
      </w:pPr>
      <w:r>
        <w:rPr>
          <w:b/>
        </w:rPr>
        <w:t xml:space="preserve">Consistency across sources. </w:t>
      </w:r>
      <w:r>
        <w:t>The same pseudonymisation function, with the same salt, is applied to the WhatsApp id in the optional bot-log source, so a person's user_id is identical whether they are being counted from the survey export or the raw conversation log - the two sources join for free through this shared identifier with no separate matching step.</w:t>
      </w:r>
    </w:p>
    <w:p>
      <w:pPr>
        <w:pStyle w:val="Heading2"/>
      </w:pPr>
      <w:r>
        <w:t>2.2 The PII (personally identifying information) scan - a hard stop</w:t>
      </w:r>
    </w:p>
    <w:p>
      <w:pPr>
        <w:pStyle w:val="ListBullet"/>
      </w:pPr>
      <w:r>
        <w:rPr>
          <w:b/>
        </w:rPr>
        <w:t xml:space="preserve">Mechanism. </w:t>
      </w:r>
      <w:r>
        <w:t>Every string/object-typed column of every table is scanned for a “whatsapp:” prefix or any run of 7 or more consecutive digits (a phone-number or national-id pattern), using two regular expressions (qa.pii_scan). A hit anywhere is a hard stop - processing halts completely, not merely a warning. Purely numeric or boolean-typed columns are skipped (a ratio like 0.8724100327 stringifies to a 7+ digit run and is not PII), and the pipeline's own generated hash columns (user_id, message_id, turn_id, reply_key) are explicitly exempted, since a hex digest can coincidentally contain such a run without being personal data.</w:t>
      </w:r>
    </w:p>
    <w:p>
      <w:pPr>
        <w:pStyle w:val="ListBullet"/>
      </w:pPr>
      <w:r>
        <w:rPr>
          <w:b/>
        </w:rPr>
        <w:t xml:space="preserve">Run twice: </w:t>
      </w:r>
      <w:r>
        <w:t>once as part of the standard quality-assurance checks immediately after loading (qa.run_checks, checks P1_pii_responses and P1_pii_messages), and a second time, independently, over every single table immediately before it is written to exports/ (export.write_all). A violation at the write stage leaves the entire output directory completely untouched - nothing is written until every table passes.</w:t>
      </w:r>
    </w:p>
    <w:p>
      <w:pPr>
        <w:pStyle w:val="ListBullet"/>
      </w:pPr>
      <w:r>
        <w:rPr>
          <w:b/>
        </w:rPr>
        <w:t xml:space="preserve">Belt-and-suspenders. </w:t>
      </w:r>
      <w:r>
        <w:t>a lighter, best-effort scrub (load._redact_pii_runs) also runs at load time: any run of 7+ consecutive digits appearing inside an open free-text field (the Messages blob, the platform's own Chat_summary field, etc.) is immediately replaced with the literal token “[redacted]” - covering, for example, a user who pastes their own phone number or national ID into a message. The authoritative gate remains the PII scan described above; this is a defence-in-depth pass that runs before it.</w:t>
      </w:r>
    </w:p>
    <w:p>
      <w:pPr>
        <w:pStyle w:val="Heading2"/>
      </w:pPr>
      <w:r>
        <w:t>2.3 Three-layer scrub of verbatim message text</w:t>
      </w:r>
    </w:p>
    <w:p>
      <w:r>
        <w:rPr>
          <w:b w:val="0"/>
          <w:i w:val="0"/>
        </w:rPr>
        <w:t>Applied specifically wherever real message excerpts may reach the dashboard - the curated per-cluster illustrative quotes and the full per-user conversation-text table.</w:t>
      </w:r>
    </w:p>
    <w:p>
      <w:pPr>
        <w:pStyle w:val="ListBullet"/>
      </w:pPr>
      <w:r>
        <w:rPr>
          <w:b/>
        </w:rPr>
        <w:t xml:space="preserve">Layer 1 - machine-learning named-entity recognition. </w:t>
      </w:r>
      <w:r>
        <w:t>spaCy's Spanish model (es_core_news_sm), with only its named-entity recognition component enabled (the tagger, parser and lemmatizer are switched off for speed), tags PER (person) spans in the message. Because this model leans heavily on capitalisation to recognise a name, and this corpus is lowercase, phone-typed Spanish, a curated “opener stoplist” of roughly 60 words the model was measured to reliably mistag as a person's name (conversational openers such as “quisiera”, “buenas”, “gracias”, “señor”, and the chatbot's own name “Sami”) is excluded from redaction on sight. Every other PER span the model finds is treated as a real name and replaced with the placeholder “[nombre]”, substituted by exact character offset rather than a text search (to avoid a shorter matched name corrupting a longer, overlapping name span). Two detected name spans that overlap cause the entire message to be dropped rather than guessed at.</w:t>
      </w:r>
    </w:p>
    <w:p>
      <w:pPr>
        <w:pStyle w:val="ListBullet"/>
      </w:pPr>
      <w:r>
        <w:rPr>
          <w:b/>
        </w:rPr>
        <w:t xml:space="preserve">Layer 2 - regular-expression self-identification patterns. </w:t>
      </w:r>
      <w:r>
        <w:t>a set of regular expressions that run independently of the model above, specifically because it is the layer that still catches a bare lowercase name with no capital letter and no help from the NER model: (a) explicit self-naming frames - “me llamo…”, “mi nombre es…”, “señor/a …”, and “soy …” (checked against an allow-list of roughly 90 non-name words - nationality terms, marital status, displacement status - so “soy venezolana” is never mistaken for a name); (b) third-party mention frames - “hablé con…”, “me atendió…”, “pregunté por…”, “me dijo…”, “el doctor/la abogada…”; (c) family-relation frames - “mi hija/hijo/ esposa/esposo…” and similar; and (d) a curated gazetteer of roughly 400 first names common in the Colombian and Venezuelan migrant population (including Venezuelan-specific name coinages that generic Spanish name lists omit), matched whole-word and case-insensitively anywhere in the message, independent of any surrounding frame. Unlike Layer 1, this layer drops the whole message rather than editing it: when a name is suspected but cannot be located precisely enough to remove cleanly, the message is discarded rather than shipped partially scrubbed.</w:t>
      </w:r>
    </w:p>
    <w:p>
      <w:pPr>
        <w:pStyle w:val="ListBullet"/>
      </w:pPr>
      <w:r>
        <w:rPr>
          <w:b/>
        </w:rPr>
        <w:t xml:space="preserve">Layer 3 - the pipeline's own PII gate, re-applied to the output. </w:t>
      </w:r>
      <w:r>
        <w:t>the pipeline's own PII regular-expression gate (the same phone-number/“whatsapp:” pattern described in Section 2.2) is applied a final time to the already-scrubbed output; anything that still trips it causes the message to be dropped, never shipped.</w:t>
      </w:r>
    </w:p>
    <w:p>
      <w:pPr>
        <w:pStyle w:val="ListBullet"/>
      </w:pPr>
      <w:r>
        <w:rPr>
          <w:b/>
        </w:rPr>
        <w:t xml:space="preserve">Measured accuracy note. </w:t>
      </w:r>
      <w:r>
        <w:t>this is a curated, finite gazetteer and pattern set, not a guarantee of completeness - a name with no capital letter, no surrounding frame, and not on the roughly 400-name list can pass through unscrubbed. This is exactly why the curated quote sample this feeds is additionally read end-to-end by a human reviewer before publication, rather than relying on the automated scrub alone.</w:t>
      </w:r>
    </w:p>
    <w:p>
      <w:pPr>
        <w:pStyle w:val="Heading2"/>
      </w:pPr>
      <w:r>
        <w:t>2.4 Small-cell demographic disclosure controls</w:t>
      </w:r>
    </w:p>
    <w:p>
      <w:r>
        <w:rPr>
          <w:b w:val="0"/>
          <w:i w:val="0"/>
        </w:rPr>
        <w:t>Rare demographic answers are deliberately folded into a broader category specifically to prevent re-identification, driven by the measured size of the affected group rather than by category logic alone.</w:t>
      </w:r>
    </w:p>
    <w:p>
      <w:pPr>
        <w:pStyle w:val="ListBullet"/>
      </w:pPr>
      <w:r>
        <w:rPr>
          <w:b/>
        </w:rPr>
        <w:t xml:space="preserve">Gender. </w:t>
      </w:r>
      <w:r>
        <w:t>Gender is canonicalised into a closed set of exactly four dashboard values - Woman, Man, LGBTQ+, and “Other or prefer not to say”. Transgender and non-binary self-descriptions (measured at 4 people and 2 people respectively) were merged into LGBTQ+ specifically because a named slice that small is re-identifying within this population. “Otro” (3 people) and “Prefiero no responder” (19 people) were separately merged into a single joint bucket - deliberately labelled “Other or prefer not to say” rather than “Prefer not to say” alone, since collapsing a stated identity answer into a pure-refusal label would misreport those 3 people as having declined to answer.</w:t>
      </w:r>
    </w:p>
    <w:p>
      <w:pPr>
        <w:pStyle w:val="ListBullet"/>
      </w:pPr>
      <w:r>
        <w:rPr>
          <w:b/>
        </w:rPr>
        <w:t xml:space="preserve">Nationality. </w:t>
      </w:r>
      <w:r>
        <w:t>Nationality survey values that are not plausible country names - bare numeric codes (“1”, “3”, “4”) or free-text sentences (“Soy Colombovenezolana”) - are detected by a rule that rejects any value with no letters at all, any value longer than three words, or any value containing a Spanish first-person or verb marker word, and are folded into the same “Desconocida”/“Unknown” bucket used for genuine non-response, rather than each becoming its own noisy, un-mergeable category.</w:t>
      </w:r>
    </w:p>
    <w:p>
      <w:pPr>
        <w:pStyle w:val="ListBullet"/>
      </w:pPr>
      <w:r>
        <w:rPr>
          <w:b/>
        </w:rPr>
        <w:t xml:space="preserve">Sub-group (sub-cluster) minimum size. </w:t>
      </w:r>
      <w:r>
        <w:t>A discovered sub-group within an archetype (see Section 4.4) is only reported as its own row once it clears a hard floor of 30 users. This is stated in the code as explicitly a privacy decision, not only a statistical one: the dashboard's demographic filters (nationality, city, gender, presence of children, destination) can be crossed against a small sub-group to re-identify a specific person, and this floor is audited on every single run and blocks publication if it is not met.</w:t>
      </w:r>
    </w:p>
    <w:p>
      <w:pPr>
        <w:pStyle w:val="ListBullet"/>
      </w:pPr>
      <w:r>
        <w:rPr>
          <w:b/>
        </w:rPr>
        <w:t xml:space="preserve">Non-response as a named category. </w:t>
      </w:r>
      <w:r>
        <w:t>Non-response on both duration questions (time away from origin, time in current city) is encoded as its own explicitly named category (“Did not respond”) with a defined sort position, rather than left as a blank cell that would render as an unlabelled bar on a chart axis.</w:t>
      </w:r>
    </w:p>
    <w:p>
      <w:pPr>
        <w:pStyle w:val="Heading2"/>
      </w:pPr>
      <w:r>
        <w:t>2.5 Schema, quality-assurance, and reconciliation checks</w:t>
      </w:r>
    </w:p>
    <w:p>
      <w:pPr>
        <w:pStyle w:val="ListBullet"/>
      </w:pPr>
      <w:r>
        <w:rPr>
          <w:b/>
        </w:rPr>
        <w:t xml:space="preserve">Structural checks (before load): </w:t>
      </w:r>
      <w:r>
        <w:t>the header-row detection and required-column checks described in Section 1, plus the sheet-name check, and a timestamp parse-rate check (the share of non-null Timestamp values that successfully parse as a real date/time).</w:t>
      </w:r>
    </w:p>
    <w:p>
      <w:pPr>
        <w:pStyle w:val="ListBullet"/>
      </w:pPr>
      <w:r>
        <w:rPr>
          <w:b/>
        </w:rPr>
        <w:t xml:space="preserve">P1 - PII gate. </w:t>
      </w:r>
      <w:r>
        <w:t>no PII pattern found anywhere in the loaded responses or message tables (re-checks Section 2.2's gate as a named, reportable check).</w:t>
      </w:r>
    </w:p>
    <w:p>
      <w:pPr>
        <w:pStyle w:val="ListBullet"/>
      </w:pPr>
      <w:r>
        <w:rPr>
          <w:b/>
        </w:rPr>
        <w:t xml:space="preserve">P6 - spine invariant. </w:t>
      </w:r>
      <w:r>
        <w:t>the sum of every user's own recorded message count equals the total row count of the fully exploded, one-row-per-message table - catches any message silently lost or duplicated while turning one response record's message blob into individual message rows.</w:t>
      </w:r>
    </w:p>
    <w:p>
      <w:pPr>
        <w:pStyle w:val="ListBullet"/>
      </w:pPr>
      <w:r>
        <w:rPr>
          <w:b/>
        </w:rPr>
        <w:t xml:space="preserve">P8 - MEAL uniqueness. </w:t>
      </w:r>
      <w:r>
        <w:t>exactly one MEAL survey row remains per user after de-duplication to the most recent response.</w:t>
      </w:r>
    </w:p>
    <w:p>
      <w:pPr>
        <w:pStyle w:val="ListBullet"/>
      </w:pPr>
      <w:r>
        <w:rPr>
          <w:b/>
        </w:rPr>
        <w:t xml:space="preserve">Cluster-coverage floor. </w:t>
      </w:r>
      <w:r>
        <w:t>at least 80% of users must carry a real (non-− 1) cluster assignment; measured 85.1% in the current export. A failure here would indicate a clustering run that silently dropped a chunk of the corpus.</w:t>
      </w:r>
    </w:p>
    <w:p>
      <w:pPr>
        <w:pStyle w:val="ListBullet"/>
      </w:pPr>
      <w:r>
        <w:rPr>
          <w:b/>
        </w:rPr>
        <w:t xml:space="preserve">Sub-cluster minimum-size floor. </w:t>
      </w:r>
      <w:r>
        <w:t>the smallest real, split sub-group must contain at least 30 users (restates the disclosure control in Section 2.4 as an auditable, per-run gate).</w:t>
      </w:r>
    </w:p>
    <w:p>
      <w:pPr>
        <w:pStyle w:val="ListBullet"/>
      </w:pPr>
      <w:r>
        <w:rPr>
          <w:b/>
        </w:rPr>
        <w:t xml:space="preserve">Entity-dictionary coverage floor. </w:t>
      </w:r>
      <w:r>
        <w:t>at least 20% of messages must match at least one entry in the institutions/procedures dictionary (Section 6.5) - a hard floor; below it the dictionary likely failed to load or was corrupted (for example, saved in the wrong text encoding, silently breaking every accented entity name). A separate, non-blocking 35% warning threshold flags vocabulary drift without stopping the run.</w:t>
      </w:r>
    </w:p>
    <w:p>
      <w:pPr>
        <w:pStyle w:val="ListBullet"/>
      </w:pPr>
      <w:r>
        <w:rPr>
          <w:b/>
        </w:rPr>
        <w:t xml:space="preserve">The parity gate. </w:t>
      </w:r>
      <w:r>
        <w:t>after every table is built, the pipeline reconciles the exported row counts and headline metrics - total users, response records, messages, users with any message text, MEAL responses, repeat-asker share, cluster coverage, sub-cluster minimum size, entity coverage - against an independently computed reference count taken directly from the freshly loaded data, not from the export code path itself. The comparison is written to exports/parity_check.csv. If any single row's match column reads False, the run prints “PARITY FAILED” to the console, exits with a non-zero status code, and that run's exports must not be committed, published, or used to refresh the Power BI report.</w:t>
      </w:r>
    </w:p>
    <w:p>
      <w:pPr>
        <w:pStyle w:val="ListBullet"/>
      </w:pPr>
      <w:r>
        <w:rPr>
          <w:b/>
        </w:rPr>
        <w:t xml:space="preserve">Output of this stage: </w:t>
      </w:r>
      <w:r>
        <w:t>pseudonymised, schema-validated, quality-checked tables - no real name or phone number remains in any column, no demographic cell is small enough to plausibly identify one person, and every headline count carries an audited, reproducible reconciliation trail.</w:t>
      </w:r>
    </w:p>
    <w:p>
      <w:pPr>
        <w:pStyle w:val="Heading1"/>
      </w:pPr>
      <w:r>
        <w:t>3. Standardising Written Messages</w:t>
      </w:r>
    </w:p>
    <w:p>
      <w:pPr>
        <w:pStyle w:val="ListBullet"/>
      </w:pPr>
      <w:r>
        <w:rPr>
          <w:b/>
        </w:rPr>
        <w:t xml:space="preserve">Splitting the raw blob into individual messages. </w:t>
      </w:r>
      <w:r>
        <w:t>Each response record's Messages field is one text blob containing every message that person ever sent, separated by newlines. It is split into individual message rows, discarding “noise” lines: anything under 3 characters, a line that is only digits, or an empty/placeholder token (“undefined”, “?”) - while remaining aware of the “[redacted]” placeholder from Section 2.2, so a line whose only content was a scrubbed digit run is judged on its real underlying content, not the placeholder text itself.</w:t>
      </w:r>
    </w:p>
    <w:p>
      <w:pPr>
        <w:pStyle w:val="ListBullet"/>
      </w:pPr>
      <w:r>
        <w:rPr>
          <w:b/>
        </w:rPr>
        <w:t xml:space="preserve">Normalisation and per-user document construction. </w:t>
      </w:r>
      <w:r>
        <w:t>Repeated whitespace is collapsed and null/blank values become an empty string; every user's normalised messages are then concatenated into a single combined document per user (the exact unit the embedding model in Section 4 actually sees), joined with a single space, in a deterministic, sorted row order.</w:t>
      </w:r>
    </w:p>
    <w:p>
      <w:pPr>
        <w:pStyle w:val="ListBullet"/>
      </w:pPr>
      <w:r>
        <w:rPr>
          <w:b/>
        </w:rPr>
        <w:t xml:space="preserve">Original language and grammar are preserved. </w:t>
      </w:r>
      <w:r>
        <w:t>This step deliberately keeps the original words, phrasing, and Spanish stopwords intact - no stemming, no lemmatisation, no stopword removal, and no translation. The embedding model needs the full grammatical signal to correctly place similar users near one another; stripping common function words at this stage could change which archetype a person's messages end up closest to.</w:t>
      </w:r>
    </w:p>
    <w:p>
      <w:pPr>
        <w:pStyle w:val="ListBullet"/>
      </w:pPr>
      <w:r>
        <w:rPr>
          <w:b/>
        </w:rPr>
        <w:t xml:space="preserve">A stricter clean-up exists, but only for labelling clusters. </w:t>
      </w:r>
      <w:r>
        <w:t>A separate, much more aggressive Spanish stopword list (covering greetings, courtesy phrases, and generic chatbot boilerplate such as “hola”, “gracias”, “necesito”, “información”) is applied only downstream, and only when extracting the short representative “key terms” used to label and describe a discovered archetype (Section 4.3) - never to the underlying per-user documents used for clustering itself. A companion helper flags a whole message as pure courtesy/filler (for example, a message containing only greeting and thank-you words) for the same downstream term-extraction step, again without altering the source documents.</w:t>
      </w:r>
    </w:p>
    <w:p>
      <w:pPr>
        <w:pStyle w:val="ListBullet"/>
      </w:pPr>
      <w:r>
        <w:rPr>
          <w:b/>
        </w:rPr>
        <w:t xml:space="preserve">Output of this stage: </w:t>
      </w:r>
      <w:r>
        <w:t>one combined, whitespace-normalised block of original-language message text per user, ready to be embedded.</w:t>
      </w:r>
    </w:p>
    <w:p>
      <w:pPr>
        <w:pStyle w:val="Heading1"/>
      </w:pPr>
      <w:r>
        <w:t>4. Identifying User Archetypes - Clustering Methodology</w:t>
      </w:r>
    </w:p>
    <w:p>
      <w:pPr>
        <w:pStyle w:val="Heading2"/>
      </w:pPr>
      <w:r>
        <w:t>4.1 Turning text into something a computer can compare: embeddings</w:t>
      </w:r>
    </w:p>
    <w:p>
      <w:pPr>
        <w:pStyle w:val="ListBullet"/>
      </w:pPr>
      <w:r>
        <w:rPr>
          <w:b/>
        </w:rPr>
        <w:t xml:space="preserve">Model: </w:t>
      </w:r>
      <w:r>
        <w:t>Every user's combined document is converted into a numeric vector with intfloat/multilingual-e5-large, a multilingual sentence-embedding model, pinned to one specific published model revision so the pipeline's results cannot silently change if the model is later updated upstream. Per that model's documented usage convention, every document is prefixed with “query: ” before encoding, and the resulting embeddings are L2-normalised. Inference runs in evaluation mode (dropout disabled) in a fixed batch order, so the output is fully deterministic for the same input text and hardware. The exact model name and pinned revision, the compute device used, and the framework version are all written into every run's metadata table for reproducibility.</w:t>
      </w:r>
    </w:p>
    <w:p>
      <w:pPr>
        <w:pStyle w:val="Heading2"/>
      </w:pPr>
      <w:r>
        <w:t>4.2 Choosing how many archetypes exist (k)</w:t>
      </w:r>
    </w:p>
    <w:p>
      <w:pPr>
        <w:pStyle w:val="ListBullet"/>
      </w:pPr>
      <w:r>
        <w:rPr>
          <w:b/>
        </w:rPr>
        <w:t xml:space="preserve">A scan over candidate values, not a single guess. </w:t>
      </w:r>
      <w:r>
        <w:t>The number of archetypes is not hardcoded. k-means (scikit-learn, 10 restarts per fit, seeded) is fit once for every candidate group count from 4 to 12, and two standard internal cluster-quality metrics - silhouette score and the Davies-Bouldin index - are recorded for each.</w:t>
      </w:r>
    </w:p>
    <w:p>
      <w:pPr>
        <w:pStyle w:val="ListBullet"/>
      </w:pPr>
      <w:r>
        <w:rPr>
          <w:b/>
        </w:rPr>
        <w:t xml:space="preserve">Why silhouette alone is not used here. </w:t>
      </w:r>
      <w:r>
        <w:t>On this corpus the silhouette curve is essentially flat across the whole range (measured between 0.028 and 0.040 - close to zero in absolute terms, and with a spread smaller than the metric's own sampling noise), so choosing k by silhouette alone would amount to choosing on noise. The pipeline detects this condition automatically and falls back to a stability-based criterion instead.</w:t>
      </w:r>
    </w:p>
    <w:p>
      <w:pPr>
        <w:pStyle w:val="ListBullet"/>
      </w:pPr>
      <w:r>
        <w:rPr>
          <w:b/>
        </w:rPr>
        <w:t xml:space="preserve">Stability scan: bootstrap resampling and the Adjusted Rand Index. </w:t>
      </w:r>
      <w:r>
        <w:t>For each candidate k, between 30 and 50 bootstrap resamples are drawn (80% of users each, without replacement); k-means is refit on every resample, and the Adjusted Rand Index (a standard measure of agreement between two different cluster assignments) is computed pairwise between every pair of resample solutions, restricted to the users any given pair of resamples happen to share. The mean of all those pairwise scores is that k's “stability”. A required bar of 0.6 mean Adjusted Rand Index defines “stable”. The rule actually applied is to choose the largest k whose mean stability clears 0.6 by at least one full standard deviation of margin - the maximum resolution the data will support while still being robust to which specific users happened to be sampled.</w:t>
      </w:r>
    </w:p>
    <w:p>
      <w:pPr>
        <w:pStyle w:val="ListBullet"/>
      </w:pPr>
      <w:r>
        <w:rPr>
          <w:b/>
        </w:rPr>
        <w:t xml:space="preserve">Measured result. </w:t>
      </w:r>
      <w:r>
        <w:t>In the current export (1,346 users with any conversation text) this selected k = 6, with a measured mean stability (Adjusted Rand Index) of 0.841.</w:t>
      </w:r>
    </w:p>
    <w:p>
      <w:pPr>
        <w:pStyle w:val="ListBullet"/>
      </w:pPr>
      <w:r>
        <w:rPr>
          <w:b/>
        </w:rPr>
        <w:t xml:space="preserve">Users with no messages. </w:t>
      </w:r>
      <w:r>
        <w:t>Users who registered but never sent the chatbot a single message have no document to embed and nothing to cluster. They are assigned a synthetic cluster identifier (“No conversation text”, 235 users in the current export) that is kept structurally separate from, and is never counted among, the discovered archetypes.</w:t>
      </w:r>
    </w:p>
    <w:p>
      <w:pPr>
        <w:pStyle w:val="Heading2"/>
      </w:pPr>
      <w:r>
        <w:t>4.3 Naming the discovered archetypes</w:t>
      </w:r>
    </w:p>
    <w:p>
      <w:pPr>
        <w:pStyle w:val="ListBullet"/>
      </w:pPr>
      <w:r>
        <w:rPr>
          <w:b/>
        </w:rPr>
        <w:t xml:space="preserve">Method: class-based TF-IDF (c-TF-IDF). </w:t>
      </w:r>
      <w:r>
        <w:t>Archetype names are never looked up by the raw numeric cluster id produced by k-means - that id is an artefact of one specific clustering run and reshuffles freely on the next data refresh. Instead, each cluster's most distinctive vocabulary is identified with class-based TF-IDF (c-TF-IDF): every user's document within one cluster is pooled into a single “class document,” and a term's importance to that class is scaled down by how many of the other classes also use it - so a word common to every archetype scores near zero however frequently it appears, while a word distinctive to one archetype scores highly.</w:t>
      </w:r>
    </w:p>
    <w:p>
      <w:pPr>
        <w:pStyle w:val="ListBullet"/>
      </w:pPr>
      <w:r>
        <w:rPr>
          <w:b/>
        </w:rPr>
        <w:t xml:space="preserve">A distinct-user floor (5 users minimum) doubles as a privacy control. </w:t>
      </w:r>
      <w:r>
        <w:t>A term is only eligible to be reported at all if it appears in at least 5 different users' documents. This single rule does two jobs at once: it removes vocabulary too rare to represent a genuine theme, and it acts as an additional privacy guard on any word list that might reach the dashboard - a personal name would typically appear in only one or two users' documents and is filtered out by the same floor, with no separate name blocklist required.</w:t>
      </w:r>
    </w:p>
    <w:p>
      <w:pPr>
        <w:pStyle w:val="ListBullet"/>
      </w:pPr>
      <w:r>
        <w:rPr>
          <w:b/>
        </w:rPr>
        <w:t xml:space="preserve">Matching against a curated name registry. </w:t>
      </w:r>
      <w:r>
        <w:t>Each cluster's top distinctive terms are matched against a curated, human-maintained registry that keys a name to a single distinctive “marker” term (rather than to a cluster id), so a name follows its archetype through a data refresh even when the underlying numeric id changes. A cluster whose top terms match no curated marker is auto-named from its own top three terms rather than blocking the run, and is explicitly flagged for human review.</w:t>
      </w:r>
    </w:p>
    <w:p>
      <w:pPr>
        <w:pStyle w:val="ListBullet"/>
      </w:pPr>
      <w:r>
        <w:rPr>
          <w:b/>
        </w:rPr>
        <w:t xml:space="preserve">The six archetypes, as resolved in the current export: </w:t>
      </w:r>
      <w:r>
        <w:t>1. Urgent humanitarian needs - food, shelter, disability support, and transport, often described as urgent, frequently near a bus terminal or border town. Currently split into three sub-groups: Health access and registration; Food and shelter from organisations; Single mothers seeking economic support.</w:t>
        <w:br/>
        <w:t>2. Nationality and family papers - Colombian nationality for children born in Colombia, birth registration, apostilles, and parents' paperwork. Currently split into three sub-groups: Family nationality options; Apostilles and birth records; Regularising status abroad.</w:t>
        <w:br/>
        <w:t>3. Stuck mid-procedure - already inside an official registration process (RUMV or PPT) and blocked on a specific step. Currently split into two sub-groups: Biometrics and minors' documents; Brigades and paperwork steps.</w:t>
        <w:br/>
        <w:t>4. Permits, visas and travel - temporary protection permits, visitor permits, safe-conduct passes (salvoconductos), foreign-resident ID cards (cédula de extranjería), extensions, and onward travel. Currently split into two sub-groups: Visas and travel abroad; Expiring permits and renewals.</w:t>
        <w:br/>
        <w:t>5. Settling in - housing, education, transport, and finishing regularisation; building a life rather than meeting an emergency. Did not clear the split criteria in the current export, so it is reported as one group: “Services and integration.”</w:t>
        <w:br/>
        <w:t>6. Building a livelihood - work, job training, and starting a small business. Also did not clear the split criteria in the current export, so it is reported as one group: “Starting a business.”</w:t>
      </w:r>
    </w:p>
    <w:p>
      <w:r>
        <w:rPr>
          <w:b w:val="0"/>
          <w:i w:val="0"/>
        </w:rPr>
        <w:t>Table 1 gives the full directory: each archetype's name, its dominant (most distinctive) c-TF-IDF terms exactly as exported to dim_cluster, and the number of user conversations, one combined document per user as built in Section 3, assigned to it. Terms are shown in their original Spanish, since the underlying documents are never translated (Section 3). Sizes are ordered largest to smallest, matching the dashboard's own display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Archetype (cluster)</w:t>
            </w:r>
          </w:p>
        </w:tc>
        <w:tc>
          <w:tcPr>
            <w:tcW w:type="dxa" w:w="2880"/>
          </w:tcPr>
          <w:p>
            <w:r>
              <w:rPr>
                <w:b/>
              </w:rPr>
              <w:t>Dominant terms</w:t>
            </w:r>
          </w:p>
        </w:tc>
        <w:tc>
          <w:tcPr>
            <w:tcW w:type="dxa" w:w="2880"/>
          </w:tcPr>
          <w:p>
            <w:r>
              <w:rPr>
                <w:b/>
              </w:rPr>
              <w:t>Conversations (users)</w:t>
            </w:r>
          </w:p>
        </w:tc>
      </w:tr>
      <w:tr>
        <w:tc>
          <w:tcPr>
            <w:tcW w:type="dxa" w:w="2880"/>
          </w:tcPr>
          <w:p>
            <w:r>
              <w:t>Urgent humanitarian needs</w:t>
            </w:r>
          </w:p>
        </w:tc>
        <w:tc>
          <w:tcPr>
            <w:tcW w:type="dxa" w:w="2880"/>
          </w:tcPr>
          <w:p>
            <w:r>
              <w:t>terminal, alimentos, ipiales, danés, venezuela, urgente</w:t>
            </w:r>
          </w:p>
        </w:tc>
        <w:tc>
          <w:tcPr>
            <w:tcW w:type="dxa" w:w="2880"/>
          </w:tcPr>
          <w:p>
            <w:r>
              <w:t>345</w:t>
            </w:r>
          </w:p>
        </w:tc>
      </w:tr>
      <w:tr>
        <w:tc>
          <w:tcPr>
            <w:tcW w:type="dxa" w:w="2880"/>
          </w:tcPr>
          <w:p>
            <w:r>
              <w:t>Nationality and family papers</w:t>
            </w:r>
          </w:p>
        </w:tc>
        <w:tc>
          <w:tcPr>
            <w:tcW w:type="dxa" w:w="2880"/>
          </w:tcPr>
          <w:p>
            <w:r>
              <w:t>colombia, colombiana, pasaporte, colombiano, venezuela, colombianos</w:t>
            </w:r>
          </w:p>
        </w:tc>
        <w:tc>
          <w:tcPr>
            <w:tcW w:type="dxa" w:w="2880"/>
          </w:tcPr>
          <w:p>
            <w:r>
              <w:t>334</w:t>
            </w:r>
          </w:p>
        </w:tc>
      </w:tr>
      <w:tr>
        <w:tc>
          <w:tcPr>
            <w:tcW w:type="dxa" w:w="2880"/>
          </w:tcPr>
          <w:p>
            <w:r>
              <w:t>Stuck mid-procedure</w:t>
            </w:r>
          </w:p>
        </w:tc>
        <w:tc>
          <w:tcPr>
            <w:tcW w:type="dxa" w:w="2880"/>
          </w:tcPr>
          <w:p>
            <w:r>
              <w:t>tutor, migración, hijos, trámite, conducto, biométrico</w:t>
            </w:r>
          </w:p>
        </w:tc>
        <w:tc>
          <w:tcPr>
            <w:tcW w:type="dxa" w:w="2880"/>
          </w:tcPr>
          <w:p>
            <w:r>
              <w:t>251</w:t>
            </w:r>
          </w:p>
        </w:tc>
      </w:tr>
      <w:tr>
        <w:tc>
          <w:tcPr>
            <w:tcW w:type="dxa" w:w="2880"/>
          </w:tcPr>
          <w:p>
            <w:r>
              <w:t>Permits, visas and travel</w:t>
            </w:r>
          </w:p>
        </w:tc>
        <w:tc>
          <w:tcPr>
            <w:tcW w:type="dxa" w:w="2880"/>
          </w:tcPr>
          <w:p>
            <w:r>
              <w:t>permiso, salvoconducto, pasaporte, conducto, visa, visitante</w:t>
            </w:r>
          </w:p>
        </w:tc>
        <w:tc>
          <w:tcPr>
            <w:tcW w:type="dxa" w:w="2880"/>
          </w:tcPr>
          <w:p>
            <w:r>
              <w:t>203</w:t>
            </w:r>
          </w:p>
        </w:tc>
      </w:tr>
      <w:tr>
        <w:tc>
          <w:tcPr>
            <w:tcW w:type="dxa" w:w="2880"/>
          </w:tcPr>
          <w:p>
            <w:r>
              <w:t>Settling in</w:t>
            </w:r>
          </w:p>
        </w:tc>
        <w:tc>
          <w:tcPr>
            <w:tcW w:type="dxa" w:w="2880"/>
          </w:tcPr>
          <w:p>
            <w:r>
              <w:t>humanitarias, ipiales, humanitaria, salud, regulación, danes</w:t>
            </w:r>
          </w:p>
        </w:tc>
        <w:tc>
          <w:tcPr>
            <w:tcW w:type="dxa" w:w="2880"/>
          </w:tcPr>
          <w:p>
            <w:r>
              <w:t>112</w:t>
            </w:r>
          </w:p>
        </w:tc>
      </w:tr>
      <w:tr>
        <w:tc>
          <w:tcPr>
            <w:tcW w:type="dxa" w:w="2880"/>
          </w:tcPr>
          <w:p>
            <w:r>
              <w:t>Building a livelihood</w:t>
            </w:r>
          </w:p>
        </w:tc>
        <w:tc>
          <w:tcPr>
            <w:tcW w:type="dxa" w:w="2880"/>
          </w:tcPr>
          <w:p>
            <w:r>
              <w:t>emprendimiento, capital, emprendimientos, empleos, beneficios, negocio</w:t>
            </w:r>
          </w:p>
        </w:tc>
        <w:tc>
          <w:tcPr>
            <w:tcW w:type="dxa" w:w="2880"/>
          </w:tcPr>
          <w:p>
            <w:r>
              <w:t>101</w:t>
            </w:r>
          </w:p>
        </w:tc>
      </w:tr>
      <w:tr>
        <w:tc>
          <w:tcPr>
            <w:tcW w:type="dxa" w:w="2880"/>
          </w:tcPr>
          <w:p>
            <w:r>
              <w:t>No conversation text (unclustered)</w:t>
            </w:r>
          </w:p>
        </w:tc>
        <w:tc>
          <w:tcPr>
            <w:tcW w:type="dxa" w:w="2880"/>
          </w:tcPr>
          <w:p>
            <w:r>
              <w:t>not applicable, no message text to derive terms from</w:t>
            </w:r>
          </w:p>
        </w:tc>
        <w:tc>
          <w:tcPr>
            <w:tcW w:type="dxa" w:w="2880"/>
          </w:tcPr>
          <w:p>
            <w:r>
              <w:t>235</w:t>
            </w:r>
          </w:p>
        </w:tc>
      </w:tr>
    </w:tbl>
    <w:p>
      <w:r>
        <w:rPr>
          <w:b w:val="0"/>
          <w:i/>
        </w:rPr>
        <w:t>The last row is not one of the six archetypes; it is the separate, structurally distinct bucket described in Section 4.2 for users who registered but never sent a message. 345 + 334 + 251 + 203 + 112 + 101 = 1,346 conversations across the six real archetypes, plus 235 users with no conversation text, against 1,581 total registered users in the current export.</w:t>
      </w:r>
    </w:p>
    <w:p>
      <w:pPr>
        <w:pStyle w:val="ListBullet"/>
      </w:pPr>
      <w:r>
        <w:rPr>
          <w:b/>
        </w:rPr>
        <w:t xml:space="preserve">Note on provenance. </w:t>
      </w:r>
      <w:r>
        <w:t>This clustering approach replaced the chatbot platform's own self-generated category field, which was retired specifically because it was the bot summarising its own conversations, its coverage was degrading as the platform moved toward free-form prose, and it carried no external validation of any kind. Discovered clustering is now the pipeline's single categorisation axis.</w:t>
      </w:r>
    </w:p>
    <w:p>
      <w:pPr>
        <w:pStyle w:val="Heading2"/>
      </w:pPr>
      <w:r>
        <w:t>4.4 Sub-clustering - a second level inside each archetype</w:t>
      </w:r>
    </w:p>
    <w:p>
      <w:pPr>
        <w:pStyle w:val="ListBullet"/>
      </w:pPr>
      <w:r>
        <w:rPr>
          <w:b/>
        </w:rPr>
        <w:t xml:space="preserve">Method. </w:t>
      </w:r>
      <w:r>
        <w:t>Each of the six top-level archetypes is independently re-clustered on only its own users' embeddings, to offer a category-to-sub-category drill-down on the dashboard. A candidate split size is drawn from {2, 3, 4} sub-groups (capped at 4 because the dashboard's colour system cannot keep more than four shades of one hue visually distinct).</w:t>
      </w:r>
    </w:p>
    <w:p>
      <w:pPr>
        <w:pStyle w:val="ListBullet"/>
      </w:pPr>
      <w:r>
        <w:rPr>
          <w:b/>
        </w:rPr>
        <w:t xml:space="preserve">A split is only reported when the data genuinely supports it. </w:t>
      </w:r>
      <w:r>
        <w:t>An archetype is only reported as split when at least one candidate split size produces every resulting sub-group clearing the same 30-user privacy floor described in Section 2.4, and that split is itself stable under the same bootstrapped Adjusted Rand Index test described in Section 4.2 (though with no required stability margin - a slightly looser bar than the top-level pass, since this test runs once per archetype on a much smaller number of users). Among every split size that qualifies, the one producing the most sub-groups wins. An archetype with no qualifying split is reported unsplit - it still receives exactly one sub-group row equal to the whole archetype, so a drill-down total is never short a single user.</w:t>
      </w:r>
    </w:p>
    <w:p>
      <w:pPr>
        <w:pStyle w:val="ListBullet"/>
      </w:pPr>
      <w:r>
        <w:rPr>
          <w:b/>
        </w:rPr>
        <w:t xml:space="preserve">Measured result and sibling-exclusive naming. </w:t>
      </w:r>
      <w:r>
        <w:t>In the current export, 4 of the 6 archetypes split (Urgent humanitarian needs, Nationality and family papers, Stuck mid-procedure, and Permits/visas/travel); Settling in and Building a livelihood did not clear the split criteria and are each reported as one unsplit group. Splitting produced 12 real sub-groups in total; the smallest split sub-group has 66 users, comfortably above the 30-user privacy floor. Sub-group names are resolved the same way as top-level names, but only against terms unique to that sub-group relative to its own siblings - siblings of one archetype share most of their vocabulary (they were one document pool a moment earlier), so a shared term would otherwise resolve every sibling to nearly the same name.</w:t>
      </w:r>
    </w:p>
    <w:p>
      <w:r>
        <w:rPr>
          <w:b w:val="0"/>
          <w:i w:val="0"/>
        </w:rPr>
        <w:t>Table 2 gives the full sub-group directory, grouped by parent archetype and ordered largest to smallest within each. The two unsplit archetypes still appear, each as a single sub-group covering every one of the parent's own conversations, so the category-to-sub-category drill-down total is never short a user.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Parent archetype</w:t>
            </w:r>
          </w:p>
        </w:tc>
        <w:tc>
          <w:tcPr>
            <w:tcW w:type="dxa" w:w="2160"/>
          </w:tcPr>
          <w:p>
            <w:r>
              <w:rPr>
                <w:b/>
              </w:rPr>
              <w:t>Sub-group</w:t>
            </w:r>
          </w:p>
        </w:tc>
        <w:tc>
          <w:tcPr>
            <w:tcW w:type="dxa" w:w="2160"/>
          </w:tcPr>
          <w:p>
            <w:r>
              <w:rPr>
                <w:b/>
              </w:rPr>
              <w:t>Dominant terms</w:t>
            </w:r>
          </w:p>
        </w:tc>
        <w:tc>
          <w:tcPr>
            <w:tcW w:type="dxa" w:w="2160"/>
          </w:tcPr>
          <w:p>
            <w:r>
              <w:rPr>
                <w:b/>
              </w:rPr>
              <w:t>Conversations (users)</w:t>
            </w:r>
          </w:p>
        </w:tc>
      </w:tr>
      <w:tr>
        <w:tc>
          <w:tcPr>
            <w:tcW w:type="dxa" w:w="2160"/>
          </w:tcPr>
          <w:p>
            <w:r>
              <w:t>Urgent humanitarian needs</w:t>
            </w:r>
          </w:p>
        </w:tc>
        <w:tc>
          <w:tcPr>
            <w:tcW w:type="dxa" w:w="2160"/>
          </w:tcPr>
          <w:p>
            <w:r>
              <w:t>Health access and registration</w:t>
            </w:r>
          </w:p>
        </w:tc>
        <w:tc>
          <w:tcPr>
            <w:tcW w:type="dxa" w:w="2160"/>
          </w:tcPr>
          <w:p>
            <w:r>
              <w:t>nuevo, registrarme, hospital, villa, maicao, urgente</w:t>
            </w:r>
          </w:p>
        </w:tc>
        <w:tc>
          <w:tcPr>
            <w:tcW w:type="dxa" w:w="2160"/>
          </w:tcPr>
          <w:p>
            <w:r>
              <w:t>146</w:t>
            </w:r>
          </w:p>
        </w:tc>
      </w:tr>
      <w:tr>
        <w:tc>
          <w:tcPr>
            <w:tcW w:type="dxa" w:w="2160"/>
          </w:tcPr>
          <w:p>
            <w:r>
              <w:t>Urgent humanitarian needs</w:t>
            </w:r>
          </w:p>
        </w:tc>
        <w:tc>
          <w:tcPr>
            <w:tcW w:type="dxa" w:w="2160"/>
          </w:tcPr>
          <w:p>
            <w:r>
              <w:t>Food and shelter from organisations</w:t>
            </w:r>
          </w:p>
        </w:tc>
        <w:tc>
          <w:tcPr>
            <w:tcW w:type="dxa" w:w="2160"/>
          </w:tcPr>
          <w:p>
            <w:r>
              <w:t>danés, fundación, alimentación, ropa, venezolanos, pasajes</w:t>
            </w:r>
          </w:p>
        </w:tc>
        <w:tc>
          <w:tcPr>
            <w:tcW w:type="dxa" w:w="2160"/>
          </w:tcPr>
          <w:p>
            <w:r>
              <w:t>126</w:t>
            </w:r>
          </w:p>
        </w:tc>
      </w:tr>
      <w:tr>
        <w:tc>
          <w:tcPr>
            <w:tcW w:type="dxa" w:w="2160"/>
          </w:tcPr>
          <w:p>
            <w:r>
              <w:t>Urgent humanitarian needs</w:t>
            </w:r>
          </w:p>
        </w:tc>
        <w:tc>
          <w:tcPr>
            <w:tcW w:type="dxa" w:w="2160"/>
          </w:tcPr>
          <w:p>
            <w:r>
              <w:t>Single mothers seeking economic support</w:t>
            </w:r>
          </w:p>
        </w:tc>
        <w:tc>
          <w:tcPr>
            <w:tcW w:type="dxa" w:w="2160"/>
          </w:tcPr>
          <w:p>
            <w:r>
              <w:t>soltera, madre, subsidio, estable, ando, mejor</w:t>
            </w:r>
          </w:p>
        </w:tc>
        <w:tc>
          <w:tcPr>
            <w:tcW w:type="dxa" w:w="2160"/>
          </w:tcPr>
          <w:p>
            <w:r>
              <w:t>73</w:t>
            </w:r>
          </w:p>
        </w:tc>
      </w:tr>
      <w:tr>
        <w:tc>
          <w:tcPr>
            <w:tcW w:type="dxa" w:w="2160"/>
          </w:tcPr>
          <w:p>
            <w:r>
              <w:t>Nationality and family papers</w:t>
            </w:r>
          </w:p>
        </w:tc>
        <w:tc>
          <w:tcPr>
            <w:tcW w:type="dxa" w:w="2160"/>
          </w:tcPr>
          <w:p>
            <w:r>
              <w:t>Family nationality options</w:t>
            </w:r>
          </w:p>
        </w:tc>
        <w:tc>
          <w:tcPr>
            <w:tcW w:type="dxa" w:w="2160"/>
          </w:tcPr>
          <w:p>
            <w:r>
              <w:t>conmigo, sino, medio, ciudadanía, entrar, teniendo</w:t>
            </w:r>
          </w:p>
        </w:tc>
        <w:tc>
          <w:tcPr>
            <w:tcW w:type="dxa" w:w="2160"/>
          </w:tcPr>
          <w:p>
            <w:r>
              <w:t>129</w:t>
            </w:r>
          </w:p>
        </w:tc>
      </w:tr>
      <w:tr>
        <w:tc>
          <w:tcPr>
            <w:tcW w:type="dxa" w:w="2160"/>
          </w:tcPr>
          <w:p>
            <w:r>
              <w:t>Nationality and family papers</w:t>
            </w:r>
          </w:p>
        </w:tc>
        <w:tc>
          <w:tcPr>
            <w:tcW w:type="dxa" w:w="2160"/>
          </w:tcPr>
          <w:p>
            <w:r>
              <w:t>Apostilles and birth records</w:t>
            </w:r>
          </w:p>
        </w:tc>
        <w:tc>
          <w:tcPr>
            <w:tcW w:type="dxa" w:w="2160"/>
          </w:tcPr>
          <w:p>
            <w:r>
              <w:t>antecedentes, apostillado, nacimiento, civil, mamá, padres</w:t>
            </w:r>
          </w:p>
        </w:tc>
        <w:tc>
          <w:tcPr>
            <w:tcW w:type="dxa" w:w="2160"/>
          </w:tcPr>
          <w:p>
            <w:r>
              <w:t>106</w:t>
            </w:r>
          </w:p>
        </w:tc>
      </w:tr>
      <w:tr>
        <w:tc>
          <w:tcPr>
            <w:tcW w:type="dxa" w:w="2160"/>
          </w:tcPr>
          <w:p>
            <w:r>
              <w:t>Nationality and family papers</w:t>
            </w:r>
          </w:p>
        </w:tc>
        <w:tc>
          <w:tcPr>
            <w:tcW w:type="dxa" w:w="2160"/>
          </w:tcPr>
          <w:p>
            <w:r>
              <w:t>Regularising status abroad</w:t>
            </w:r>
          </w:p>
        </w:tc>
        <w:tc>
          <w:tcPr>
            <w:tcW w:type="dxa" w:w="2160"/>
          </w:tcPr>
          <w:p>
            <w:r>
              <w:t>españa, legalizar, llevo, empezar, irregular, casi</w:t>
            </w:r>
          </w:p>
        </w:tc>
        <w:tc>
          <w:tcPr>
            <w:tcW w:type="dxa" w:w="2160"/>
          </w:tcPr>
          <w:p>
            <w:r>
              <w:t>99</w:t>
            </w:r>
          </w:p>
        </w:tc>
      </w:tr>
      <w:tr>
        <w:tc>
          <w:tcPr>
            <w:tcW w:type="dxa" w:w="2160"/>
          </w:tcPr>
          <w:p>
            <w:r>
              <w:t>Stuck mid-procedure</w:t>
            </w:r>
          </w:p>
        </w:tc>
        <w:tc>
          <w:tcPr>
            <w:tcW w:type="dxa" w:w="2160"/>
          </w:tcPr>
          <w:p>
            <w:r>
              <w:t>Biometrics and minors' documents</w:t>
            </w:r>
          </w:p>
        </w:tc>
        <w:tc>
          <w:tcPr>
            <w:tcW w:type="dxa" w:w="2160"/>
          </w:tcPr>
          <w:p>
            <w:r>
              <w:t>biométrico, rumv, migración, afiliar, estudiar, papa</w:t>
            </w:r>
          </w:p>
        </w:tc>
        <w:tc>
          <w:tcPr>
            <w:tcW w:type="dxa" w:w="2160"/>
          </w:tcPr>
          <w:p>
            <w:r>
              <w:t>173</w:t>
            </w:r>
          </w:p>
        </w:tc>
      </w:tr>
      <w:tr>
        <w:tc>
          <w:tcPr>
            <w:tcW w:type="dxa" w:w="2160"/>
          </w:tcPr>
          <w:p>
            <w:r>
              <w:t>Stuck mid-procedure</w:t>
            </w:r>
          </w:p>
        </w:tc>
        <w:tc>
          <w:tcPr>
            <w:tcW w:type="dxa" w:w="2160"/>
          </w:tcPr>
          <w:p>
            <w:r>
              <w:t>Brigades and paperwork steps</w:t>
            </w:r>
          </w:p>
        </w:tc>
        <w:tc>
          <w:tcPr>
            <w:tcW w:type="dxa" w:w="2160"/>
          </w:tcPr>
          <w:p>
            <w:r>
              <w:t>duplicado, sacarle, adultos, link, salido, estando</w:t>
            </w:r>
          </w:p>
        </w:tc>
        <w:tc>
          <w:tcPr>
            <w:tcW w:type="dxa" w:w="2160"/>
          </w:tcPr>
          <w:p>
            <w:r>
              <w:t>78</w:t>
            </w:r>
          </w:p>
        </w:tc>
      </w:tr>
      <w:tr>
        <w:tc>
          <w:tcPr>
            <w:tcW w:type="dxa" w:w="2160"/>
          </w:tcPr>
          <w:p>
            <w:r>
              <w:t>Permits, visas and travel</w:t>
            </w:r>
          </w:p>
        </w:tc>
        <w:tc>
          <w:tcPr>
            <w:tcW w:type="dxa" w:w="2160"/>
          </w:tcPr>
          <w:p>
            <w:r>
              <w:t>Visas and travel abroad</w:t>
            </w:r>
          </w:p>
        </w:tc>
        <w:tc>
          <w:tcPr>
            <w:tcW w:type="dxa" w:w="2160"/>
          </w:tcPr>
          <w:p>
            <w:r>
              <w:t>canadá, visitante, encuesta, quedaron, tarjeta, sistema</w:t>
            </w:r>
          </w:p>
        </w:tc>
        <w:tc>
          <w:tcPr>
            <w:tcW w:type="dxa" w:w="2160"/>
          </w:tcPr>
          <w:p>
            <w:r>
              <w:t>137</w:t>
            </w:r>
          </w:p>
        </w:tc>
      </w:tr>
      <w:tr>
        <w:tc>
          <w:tcPr>
            <w:tcW w:type="dxa" w:w="2160"/>
          </w:tcPr>
          <w:p>
            <w:r>
              <w:t>Permits, visas and travel</w:t>
            </w:r>
          </w:p>
        </w:tc>
        <w:tc>
          <w:tcPr>
            <w:tcW w:type="dxa" w:w="2160"/>
          </w:tcPr>
          <w:p>
            <w:r>
              <w:t>Expiring permits and renewals</w:t>
            </w:r>
          </w:p>
        </w:tc>
        <w:tc>
          <w:tcPr>
            <w:tcW w:type="dxa" w:w="2160"/>
          </w:tcPr>
          <w:p>
            <w:r>
              <w:t>renovar, sacarlo, permiso, salvó, sede, permanente</w:t>
            </w:r>
          </w:p>
        </w:tc>
        <w:tc>
          <w:tcPr>
            <w:tcW w:type="dxa" w:w="2160"/>
          </w:tcPr>
          <w:p>
            <w:r>
              <w:t>66</w:t>
            </w:r>
          </w:p>
        </w:tc>
      </w:tr>
      <w:tr>
        <w:tc>
          <w:tcPr>
            <w:tcW w:type="dxa" w:w="2160"/>
          </w:tcPr>
          <w:p>
            <w:r>
              <w:t>Settling in (not split)</w:t>
            </w:r>
          </w:p>
        </w:tc>
        <w:tc>
          <w:tcPr>
            <w:tcW w:type="dxa" w:w="2160"/>
          </w:tcPr>
          <w:p>
            <w:r>
              <w:t>Services and integration</w:t>
            </w:r>
          </w:p>
        </w:tc>
        <w:tc>
          <w:tcPr>
            <w:tcW w:type="dxa" w:w="2160"/>
          </w:tcPr>
          <w:p>
            <w:r>
              <w:t>abierto, educación, intégrate, servicios, migratorio, especial</w:t>
            </w:r>
          </w:p>
        </w:tc>
        <w:tc>
          <w:tcPr>
            <w:tcW w:type="dxa" w:w="2160"/>
          </w:tcPr>
          <w:p>
            <w:r>
              <w:t>112</w:t>
            </w:r>
          </w:p>
        </w:tc>
      </w:tr>
      <w:tr>
        <w:tc>
          <w:tcPr>
            <w:tcW w:type="dxa" w:w="2160"/>
          </w:tcPr>
          <w:p>
            <w:r>
              <w:t>Building a livelihood (not split)</w:t>
            </w:r>
          </w:p>
        </w:tc>
        <w:tc>
          <w:tcPr>
            <w:tcW w:type="dxa" w:w="2160"/>
          </w:tcPr>
          <w:p>
            <w:r>
              <w:t>Starting a business</w:t>
            </w:r>
          </w:p>
        </w:tc>
        <w:tc>
          <w:tcPr>
            <w:tcW w:type="dxa" w:w="2160"/>
          </w:tcPr>
          <w:p>
            <w:r>
              <w:t>emprendimiento, emprendimientos, capital, negocio, empleos, apoyo</w:t>
            </w:r>
          </w:p>
        </w:tc>
        <w:tc>
          <w:tcPr>
            <w:tcW w:type="dxa" w:w="2160"/>
          </w:tcPr>
          <w:p>
            <w:r>
              <w:t>101</w:t>
            </w:r>
          </w:p>
        </w:tc>
      </w:tr>
    </w:tbl>
    <w:p>
      <w:pPr>
        <w:pStyle w:val="Heading2"/>
      </w:pPr>
      <w:r>
        <w:t>4.5 The archetype map (visualisation only)</w:t>
      </w:r>
    </w:p>
    <w:p>
      <w:pPr>
        <w:pStyle w:val="ListBullet"/>
      </w:pPr>
      <w:r>
        <w:rPr>
          <w:b/>
        </w:rPr>
        <w:t xml:space="preserve">Method. </w:t>
      </w:r>
      <w:r>
        <w:t>A single 2D projection of the full embedding space is computed once per run purely to draw the dashboard's archetype scatter chart, using UMAP (15 nearest neighbours, minimum distance 0.1, seeded for reproducibility) - never a 3D projection. This projection has no bearing whatsoever on which archetype a user is actually assigned to; that assignment is fixed earlier by the k-means fit in the full, high-dimensional embedding space, not by where a point happens to land on the 2D chart.</w:t>
      </w:r>
    </w:p>
    <w:p>
      <w:pPr>
        <w:pStyle w:val="Heading1"/>
      </w:pPr>
      <w:r>
        <w:t>5. Analysing Sentiment and Emotion</w:t>
      </w:r>
    </w:p>
    <w:p>
      <w:pPr>
        <w:pStyle w:val="Heading2"/>
      </w:pPr>
      <w:r>
        <w:t>5.1 Sentiment (tone): positive, neutral, or negative</w:t>
      </w:r>
    </w:p>
    <w:p>
      <w:pPr>
        <w:pStyle w:val="ListBullet"/>
      </w:pPr>
      <w:r>
        <w:rPr>
          <w:b/>
        </w:rPr>
        <w:t xml:space="preserve">Model: </w:t>
      </w:r>
      <w:r>
        <w:t>cardiffnlp/twitter-xlm-roberta-base-sentiment, a multilingual transformer model fine-tuned for 3-class sentiment classification, pinned to a specific published revision. Every message is tokenised (truncated to at most 256 tokens) and scored with a softmax over the model's output; the highest-probability class becomes that message's sentiment label, with the associated probability kept as a confidence score. Empty messages default to “neutral” with no score, so the output table stays perfectly row-aligned with the message table rather than silently coming up short.</w:t>
      </w:r>
    </w:p>
    <w:p>
      <w:pPr>
        <w:pStyle w:val="ListBullet"/>
      </w:pPr>
      <w:r>
        <w:rPr>
          <w:b/>
        </w:rPr>
        <w:t xml:space="preserve">Validation design: a blind, stratified sample. </w:t>
      </w:r>
      <w:r>
        <w:t>A sample of messages was drawn for human labelling using a blind, stratified design - stratified jointly by archetype and by the model's own predicted sentiment, so that a rare combination (for example, a negative-toned message inside a small archetype) cannot be missed purely by chance. Critically, the model's own prediction was never shown to the human labeller, specifically to avoid an “anchoring” effect that would measure agreement with a visible hint rather than genuinely independent human judgement.</w:t>
      </w:r>
    </w:p>
    <w:p>
      <w:pPr>
        <w:pStyle w:val="ListBullet"/>
      </w:pPr>
      <w:r>
        <w:rPr>
          <w:b/>
        </w:rPr>
        <w:t xml:space="preserve">Measured accuracy. </w:t>
      </w:r>
      <w:r>
        <w:t>Two independent, blind human annotators labelled 378 messages. Agreement between the human labels and the model's predictions is measured on a simplified binary collapse of the label (negative vs. not-negative), because that is the axis the dashboard's tone reporting actually depends on, and checked against a required publication threshold before any aggregated figure is allowed onto the dashboard. In the current export the model's agreement with the human labels does not clear that threshold: as a direct consequence, aggregated sentiment percentages are suppressed on the dashboard, and tone is instead reported directionally rather than as a validated rate. (A per-message sentiment label is still computed and exported for every single message in the corpus; the restriction applies specifically to treating an aggregated percentage built from those labels as a validated figure.)</w:t>
      </w:r>
    </w:p>
    <w:p>
      <w:pPr>
        <w:pStyle w:val="Heading2"/>
      </w:pPr>
      <w:r>
        <w:t>5.2 Emotion (a richer, 7-class axis)</w:t>
      </w:r>
    </w:p>
    <w:p>
      <w:pPr>
        <w:pStyle w:val="ListBullet"/>
      </w:pPr>
      <w:r>
        <w:rPr>
          <w:b/>
        </w:rPr>
        <w:t xml:space="preserve">Model: </w:t>
      </w:r>
      <w:r>
        <w:t>pysentimiento/robertuito-emotion-analysis (RoBERTuito, a Spanish-native transformer model), classifying into 7 classes - the model's own “others” category, joy, sadness, anger, surprise, disgust, and fear - pinned to a specific published revision. Scored the same way as sentiment (softmax over model output), but with a shorter 128-token truncation limit, chosen to stay under this specific model's own 130-token position-embedding ceiling (exceeding it crashes the model rather than simply truncating the input further).</w:t>
      </w:r>
    </w:p>
    <w:p>
      <w:pPr>
        <w:pStyle w:val="ListBullet"/>
      </w:pPr>
      <w:r>
        <w:rPr>
          <w:b/>
        </w:rPr>
        <w:t xml:space="preserve">A validated correction for a known model bias. </w:t>
      </w:r>
      <w:r>
        <w:t>RoBERTuito was originally trained on Twitter text, where the absence of any strong emotion is comparatively rare - so on short, flat, administrative WhatsApp text it defaults to “others” even when a real emotion is the clear runner-up class. A validated post-processing correction is applied on top of the raw model output before it is published:</w:t>
      </w:r>
    </w:p>
    <w:p>
      <w:pPr>
        <w:pStyle w:val="ListBullet2"/>
      </w:pPr>
      <w:r>
        <w:t>“Surprise” and “disgust” are removed from the model's candidate classes entirely, at any confidence level, before ranking begins. An audited 185-message blind gold set found 0 of 8 confident “surprise” calls were actually correct (the model reads almost any “¿Cómo…?” question as surprise), and “disgust” never fired even once across roughly 9,000 real messages checked across two separate production runs.</w:t>
      </w:r>
    </w:p>
    <w:p>
      <w:pPr>
        <w:pStyle w:val="ListBullet2"/>
      </w:pPr>
      <w:r>
        <w:t>When the model's remaining top class is still “others” and its margin over the runner-up class is below 0.15, the label falls through to that runner-up - but only when the runner-up is sadness, fear, or anger. “Joy” and “surprise” runner-ups were separately audited on the real corpus and found not to carry genuine signal in this domain (“joy” fires on short direct requests such as “Necesito asilo”; “surprise” fires on roughly half of every “¿Cómo…?” question), so promoting either would trade a boring-but-correct “others” label for an actively wrong one.</w:t>
      </w:r>
    </w:p>
    <w:p>
      <w:pPr>
        <w:pStyle w:val="ListBullet2"/>
      </w:pPr>
      <w:r>
        <w:t>If the label is still “others” after the margin rule above, a small, curated list of roughly 15 Spanish keyword and phrase markers can move it off “others” as a genuine last resort (examples: “estafa” → fear; “deprimid[a/o]” → sadness; “maltrat[a/o]” → anger). These markers were curated from a manual review of the corpus's own messages and never override a confident non-“others” prediction.</w:t>
      </w:r>
    </w:p>
    <w:p>
      <w:pPr>
        <w:pStyle w:val="ListBullet"/>
      </w:pPr>
      <w:r>
        <w:rPr>
          <w:b/>
        </w:rPr>
        <w:t xml:space="preserve">Display refinement. </w:t>
      </w:r>
      <w:r>
        <w:t>The model's own “others” class is renamed to “neutral” at the point the data is exported, so its vocabulary matches sentiment_label's. For display purposes only, that neutral bucket is further split into “Concern”, “Satisfaction”, or “Neutral” using that same message's own sentiment label, so a plain question-and-answer exchange is not collapsed into one undifferentiated category on the dashboard.</w:t>
      </w:r>
    </w:p>
    <w:p>
      <w:pPr>
        <w:pStyle w:val="ListBullet"/>
      </w:pPr>
      <w:r>
        <w:rPr>
          <w:b/>
        </w:rPr>
        <w:t xml:space="preserve">Measured accuracy. </w:t>
      </w:r>
      <w:r>
        <w:t>A blind gold set of 429 messages, labelled in a single annotation pass (unlike tone's two-pass protocol above), was checked against a publication threshold for this axis, set independently of and lower than tone's own threshold - not a relaxed version of the same bar, but a different, independently justified one: tone's threshold is measured on an easier binary collapse, while this is a genuine 7-way multiclass task, where more categories inherently means more room for two honest human annotators to differ on a real borderline case without either being wrong. In the current export, agreement between the human labels and the model's predictions clears this threshold with real margin, so emotion percentages are published on the dashboard as validated rates.</w:t>
      </w:r>
    </w:p>
    <w:p>
      <w:pPr>
        <w:pStyle w:val="ListBullet"/>
      </w:pPr>
      <w:r>
        <w:rPr>
          <w:b/>
        </w:rPr>
        <w:t xml:space="preserve">Measured recall by class. </w:t>
      </w:r>
      <w:r>
        <w:t>Recall (the share of a true emotion the model actually catches) is measured as uneven by class on the same gold set: fear 26%, sadness 48%, anger 58%, joy 90%, neutral/others 92%. Emotional content that is implicit - stated as a flat fact rather than in an explicit emotion word (for example, describing a health crisis or a hardship without writing “estoy triste”) - is largely invisible to this model. Rare-class percentages built on this label should be read as directional rather than exact.</w:t>
      </w:r>
    </w:p>
    <w:p>
      <w:pPr>
        <w:pStyle w:val="ListBullet"/>
      </w:pPr>
      <w:r>
        <w:rPr>
          <w:b/>
        </w:rPr>
        <w:t xml:space="preserve">Alternatives tested and not adopted. </w:t>
      </w:r>
      <w:r>
        <w:t>Two alternative approaches were built and tested during validation and rejected in favour of the approach actually shipped: zero-shot natural-language-inference classification against a custom Spanish emotion taxonomy (measured worse recall on exactly the implicit-emotion cases above), and a second, independently fine-tuned Spanish emotion model (daveni/twitter-xlm-roberta-emotion-es), tested both standalone and blended with the primary model as an ensemble. Both measured lower agreement with the human labels than the approach actually shipped.</w:t>
      </w:r>
    </w:p>
    <w:p>
      <w:pPr>
        <w:pStyle w:val="ListBullet"/>
      </w:pPr>
      <w:r>
        <w:rPr>
          <w:b/>
        </w:rPr>
        <w:t xml:space="preserve">Conversation-level roll-up. </w:t>
      </w:r>
      <w:r>
        <w:t>Both the message-level sentiment label and the message-level emotion label are additionally rolled up to a single dominant label per user's entire conversation - the single most frequent label across that user's surviving (redacted, non-low-content) messages, with ties broken alphabetically for a fully reproducible result - feeding the dashboard's conversation-level (rather than message-level) tone and emotion views.</w:t>
      </w:r>
    </w:p>
    <w:p>
      <w:pPr>
        <w:pStyle w:val="Heading1"/>
      </w:pPr>
      <w:r>
        <w:t>6. Calculating Indicators and Key Figures (KPIs)</w:t>
      </w:r>
    </w:p>
    <w:p>
      <w:pPr>
        <w:pStyle w:val="Heading2"/>
      </w:pPr>
      <w:r>
        <w:t>6.1 Coverage Gap Rate - "Sami Doesn't Know"</w:t>
      </w:r>
    </w:p>
    <w:p>
      <w:pPr>
        <w:pStyle w:val="ListBullet"/>
      </w:pPr>
      <w:r>
        <w:rPr>
          <w:b/>
        </w:rPr>
        <w:t xml:space="preserve">Source. </w:t>
      </w:r>
      <w:r>
        <w:t>This is the one KPI measured directly from what the chatbot itself said, rather than inferred from what a user said or how a message was toned. It is built from the raw WhatsApp production conversation log described in Section 1 (216 users, window 2026-07-23 to 2026-08-04 - a different time window and a different, only partly overlapping population from the survey corpus; 128 of the 216 users have no matching survey record at all).</w:t>
      </w:r>
    </w:p>
    <w:p>
      <w:pPr>
        <w:pStyle w:val="ListBullet"/>
      </w:pPr>
      <w:r>
        <w:rPr>
          <w:b/>
        </w:rPr>
        <w:t xml:space="preserve">Detection method. </w:t>
      </w:r>
      <w:r>
        <w:t>A regular-expression probe is applied only to SAMI's own reply text (never to the user's message), looking for the assistant explicitly stating it lacks information (matched patterns include phrasings such as “no tengo la información”, “no puedo brindarte esa información”, and “no hay información disponible”).</w:t>
      </w:r>
    </w:p>
    <w:p>
      <w:pPr>
        <w:pStyle w:val="ListBullet"/>
      </w:pPr>
      <w:r>
        <w:rPr>
          <w:b/>
        </w:rPr>
        <w:t xml:space="preserve">Validation design. </w:t>
      </w:r>
      <w:r>
        <w:t>Because a regex probe on the bot's own words is still just a pattern-matching rule and not infallible, it was validated against a hand-labelled gold set using a deliberate two-stratum design: every single reply the probe flagged as a gap was labelled by a human (a full census of the flagged population, so precision carries no sampling error at all), and a separate random sample of 200 of the replies the probe did not flag was independently labelled, to estimate how many real gaps the probe missed (recall). A Wilson score confidence interval - chosen over a simple normal approximation, which misbehaves badly at small or near-zero counts - bounds the recall estimate.</w:t>
      </w:r>
    </w:p>
    <w:p>
      <w:pPr>
        <w:pStyle w:val="ListBullet"/>
      </w:pPr>
      <w:r>
        <w:rPr>
          <w:b/>
        </w:rPr>
        <w:t xml:space="preserve">Why the gate is on precision. </w:t>
      </w:r>
      <w:r>
        <w:t>the publication gate is set on precision, not recall, and this asymmetry is deliberate: a probe that misses some real gaps only makes the published rate an understatement, which is a defensible “at least X%” claim; a probe with poor precision would make the published number actively wrong, and no caveat on a dashboard card could rescue that. Required gate: precision ≥ 90%.</w:t>
      </w:r>
    </w:p>
    <w:p>
      <w:pPr>
        <w:pStyle w:val="ListBullet"/>
      </w:pPr>
      <w:r>
        <w:rPr>
          <w:b/>
        </w:rPr>
        <w:t xml:space="preserve">Measured result (2026-08-06 gold set). </w:t>
      </w:r>
      <w:r>
        <w:t>precision 95.2% (a full census of all 84 flagged replies), recall 64.7% (95% confidence interval 51%–77%, estimated from 284 total human labels). Because recall is below 100%, the published rate is explicitly labelled as a floor - “at least” - rather than an exact figure. At user grain (the dashboard's headline number) the measured rate is 25.5% (55 of 216 users hit at least one gap in the window); at turn (reply) grain it is 11.0% (112 of 1,021 individual turns), reported only as a supporting figure, since quoting the turn-grain number in isolation would read as an implausibly high 89% success rate.</w:t>
      </w:r>
    </w:p>
    <w:p>
      <w:pPr>
        <w:pStyle w:val="ListBullet"/>
      </w:pPr>
      <w:r>
        <w:rPr>
          <w:b/>
        </w:rPr>
        <w:t xml:space="preserve">Human Handoff Rate (a related, unvalidated figure). </w:t>
      </w:r>
      <w:r>
        <w:t>A companion, structurally similar probe detects when SAMI routes a user to a human being. It is deliberately not validated or gated (no gold set exists for it yet) and is never presented as a firm KPI card; it is shown only as a directional, floor-only figure, and is explicitly not treated as a failure - handing a user off to a human caseworker is usually the chatbot working exactly as designed.</w:t>
      </w:r>
    </w:p>
    <w:p>
      <w:pPr>
        <w:pStyle w:val="Heading2"/>
      </w:pPr>
      <w:r>
        <w:t>6.2 Average session time</w:t>
      </w:r>
    </w:p>
    <w:p>
      <w:pPr>
        <w:pStyle w:val="ListBullet"/>
      </w:pPr>
      <w:r>
        <w:rPr>
          <w:b/>
        </w:rPr>
        <w:t xml:space="preserve">Method and measured coverage. </w:t>
      </w:r>
      <w:r>
        <w:t>Computed as the time between a user's registration record being created and the timestamp of their last recorded message. Only timestamps recorded in a trusted, unambiguous ISO-8601 UTC format (written by the current platform from 2026-07-24 onward) are used; an older “naive local time” format inherited from the legacy platform sits on a hard, roughly two-hour floor when compared against the (always-UTC) registration timestamp - a timezone/format artefact rather than a genuine session length - and those legacy records are dropped entirely rather than shifted by a guessed correction, since the correction would be a guess about a platform that can no longer be queried. As a result this KPI currently covers only about 5% of users (70 of 1,392 in the reference export) and is reported as a median (3.7 minutes), not a mean (146 minutes, which is dominated by a single outlying 3.4-day session); values are used raw, with no capping applied to outliers.</w:t>
      </w:r>
    </w:p>
    <w:p>
      <w:pPr>
        <w:pStyle w:val="Heading2"/>
      </w:pPr>
      <w:r>
        <w:t>6.3 Repeat-asker share</w:t>
      </w:r>
    </w:p>
    <w:p>
      <w:pPr>
        <w:pStyle w:val="ListBullet"/>
      </w:pPr>
      <w:r>
        <w:rPr>
          <w:b/>
        </w:rPr>
        <w:t xml:space="preserve">Definition. </w:t>
      </w:r>
      <w:r>
        <w:t>A user is counted as a “repeat asker” if their total message volume sits at or above the 90th percentile of all users' message volumes. This single definition is used consistently everywhere the concept appears - the reconciliation table, the per-user flag, and the priority-matrix unmet-need axis below.</w:t>
      </w:r>
    </w:p>
    <w:p>
      <w:pPr>
        <w:pStyle w:val="Heading2"/>
      </w:pPr>
      <w:r>
        <w:t>6.4 The Demands and Needs (priority) matrix</w:t>
      </w:r>
    </w:p>
    <w:p>
      <w:pPr>
        <w:pStyle w:val="ListBullet"/>
      </w:pPr>
      <w:r>
        <w:rPr>
          <w:b/>
        </w:rPr>
        <w:t xml:space="preserve">Method. </w:t>
      </w:r>
      <w:r>
        <w:t>Each archetype is placed on two axes: message volume (how big the need is) and an “unmet need” score (how badly the need is currently served), the latter blending up to three underlying signals, each converted to a z-score (a standardised, comparable scale) before blending: the share of that archetype's users who are repeat-askers; the share of that archetype's messages scored negative in tone (only ever included, and only ever presented as a rate, when the tone validation threshold in Section 5.1 has actually been cleared - otherwise this axis is dropped from the blend or the whole figure is treated as directional only); and the archetype's mean satisfaction-survey rating, inverted (a worse rating raises the unmet-need score).</w:t>
      </w:r>
    </w:p>
    <w:p>
      <w:pPr>
        <w:pStyle w:val="ListBullet"/>
      </w:pPr>
      <w:r>
        <w:rPr>
          <w:b/>
        </w:rPr>
        <w:t xml:space="preserve">Small-sample safeguard. </w:t>
      </w:r>
      <w:r>
        <w:t>Because the satisfaction survey has relatively few responses spread across six archetypes, any archetype with fewer than 20 survey respondents falls back to the overall (not per-archetype) mean rating, rather than contributing an unstable per-archetype average built on a handful of people.</w:t>
      </w:r>
    </w:p>
    <w:p>
      <w:pPr>
        <w:pStyle w:val="ListBullet"/>
      </w:pPr>
      <w:r>
        <w:rPr>
          <w:b/>
        </w:rPr>
        <w:t xml:space="preserve">Live filtering design. </w:t>
      </w:r>
      <w:r>
        <w:t>Every point on this matrix carries its own live, filterable user and message count in the dashboard, computed using a fixed statistical baseline (the z-score mean and standard deviation from the full run) but a per-user contribution to that score, so the chart can be filtered live in Power BI without needing the underlying statistics to be recomputed on the fly.</w:t>
      </w:r>
    </w:p>
    <w:p>
      <w:pPr>
        <w:pStyle w:val="Heading2"/>
      </w:pPr>
      <w:r>
        <w:t>6.5 Institution and procedure ('entity') coverage</w:t>
      </w:r>
    </w:p>
    <w:p>
      <w:pPr>
        <w:pStyle w:val="ListBullet"/>
      </w:pPr>
      <w:r>
        <w:rPr>
          <w:b/>
        </w:rPr>
        <w:t xml:space="preserve">Method: a curated dictionary, not a model. </w:t>
      </w:r>
      <w:r>
        <w:t>Named institutions and procedures mentioned in user messages (specific government offices, permit types, and similar) are extracted using a hand-maintained, version-controlled dictionary of regular-expression patterns - deliberately not a machine-learning model, because this is a closed, curatable domain vocabulary rather than open-ended text.</w:t>
      </w:r>
    </w:p>
    <w:p>
      <w:pPr>
        <w:pStyle w:val="ListBullet"/>
      </w:pPr>
      <w:r>
        <w:rPr>
          <w:b/>
        </w:rPr>
        <w:t xml:space="preserve">Measured coverage and its accuracy floors. </w:t>
      </w:r>
      <w:r>
        <w:t>The pipeline measures and reports its own coverage of this dictionary against the real corpus: the share of non-empty messages matching at least one dictionary entry, measured at 40.1% in the current export. A hard floor of 20% blocks publication entirely if crossed (signalling the dictionary failed to load correctly - for example, was accidentally saved in the wrong text encoding, silently breaking every accented entity name), and a softer, non-blocking 35% warning threshold separately flags genuine vocabulary drift - new terms users have started using that the dictionary has not yet been extended to recognise.</w:t>
      </w:r>
    </w:p>
    <w:p>
      <w:pPr>
        <w:pStyle w:val="ListBullet"/>
      </w:pPr>
      <w:r>
        <w:rPr>
          <w:b/>
        </w:rPr>
        <w:t xml:space="preserve">Dictionary-maintenance worklist. </w:t>
      </w:r>
      <w:r>
        <w:t>A ranked worklist of the most common unrecognised terms is exported for a human reviewer to triage and, where appropriate, add to the dictionary - floored at a minimum of 15 distinct users per term, so that one especially prolific individual user cannot invent a false trend on their own.</w:t>
      </w:r>
    </w:p>
    <w:p>
      <w:pPr>
        <w:pStyle w:val="Heading2"/>
      </w:pPr>
      <w:r>
        <w:t>6.6 MEAL (Monitoring, Evaluation, Accountability and Learning) survey figures</w:t>
      </w:r>
    </w:p>
    <w:p>
      <w:pPr>
        <w:pStyle w:val="ListBullet"/>
      </w:pPr>
      <w:r>
        <w:rPr>
          <w:b/>
        </w:rPr>
        <w:t xml:space="preserve">De-duplication. </w:t>
      </w:r>
      <w:r>
        <w:t>The MEAL survey is de-duplicated to exactly one response per user (the most recent) before any figure is computed, so a person who filled it in more than once is never double-counted: 142 raw response rows collapse to 115 unique respondents in the reference export. The 115 figure is the correct one for anything joined to the main user table; the 142 figure is used only when explicitly discussing raw survey submissions.</w:t>
      </w:r>
    </w:p>
    <w:p>
      <w:pPr>
        <w:pStyle w:val="ListBullet"/>
      </w:pPr>
      <w:r>
        <w:rPr>
          <w:b/>
        </w:rPr>
        <w:t xml:space="preserve">A validity flag on the free-text follow-up. </w:t>
      </w:r>
      <w:r>
        <w:t>The “why wasn't it useful” free-text follow-up question carries its own validity flag, because the survey platform's own skip logic did not always correctly restrict this question to dissatisfied respondents only. At the raw-response grain, 43 answers pass this validity check; at the de-duplicated user grain, only 31 do. Any analysis or quotation of this free text must first filter to the valid subset.</w:t>
      </w:r>
    </w:p>
    <w:p>
      <w:pPr>
        <w:pStyle w:val="Heading2"/>
      </w:pPr>
      <w:r>
        <w:t>6.7 Cross-cohort comparability policy (v1 vs. v2 respondents)</w:t>
      </w:r>
    </w:p>
    <w:p>
      <w:pPr>
        <w:pStyle w:val="ListBullet"/>
      </w:pPr>
      <w:r>
        <w:rPr>
          <w:b/>
        </w:rPr>
        <w:t xml:space="preserve">Why this matters. </w:t>
      </w:r>
      <w:r>
        <w:t>The registration questionnaire was substantially rewritten mid-project (the same platform migration described in Section 1), and not every variable can safely be pooled across the two respondent cohorts. The earlier questionnaire, for instance, structurally excluded Colombian respondents (a screening question ended the survey for anyone answering “Colombia”), so a pooled nationality count would reflect who was allowed to answer the question, not the real underlying population.</w:t>
      </w:r>
    </w:p>
    <w:p>
      <w:pPr>
        <w:pStyle w:val="ListBullet"/>
      </w:pPr>
      <w:r>
        <w:rPr>
          <w:b/>
        </w:rPr>
        <w:t xml:space="preserve">The policy. </w:t>
      </w:r>
      <w:r>
        <w:t>A permanent, explicit policy classifies every affected variable into one of four categories: safe to sum across both cohorts; must always be reported per cohort side by side (nationality is the clearest example); retired in the newer questionnaire, so its series is frozen at its pre-migration value; or added only in the newer questionnaire, with no earlier history to compare against. Every KPI or chart that touches an affected variable follows this fixed classification rather than an ad hoc judgement call at report-writing time.</w:t>
      </w:r>
    </w:p>
    <w:p>
      <w:pPr>
        <w:pStyle w:val="Heading2"/>
      </w:pPr>
      <w:r>
        <w:t>6.8 Live counts and validation-aware reporting, throughout</w:t>
      </w:r>
    </w:p>
    <w:p>
      <w:pPr>
        <w:pStyle w:val="ListBullet"/>
      </w:pPr>
      <w:r>
        <w:rPr>
          <w:b/>
        </w:rPr>
        <w:t xml:space="preserve">Every figure carries its own denominator. </w:t>
      </w:r>
      <w:r>
        <w:t>Every summary figure and chart on the dashboard is joined back to a live user or message count, so a reader is never shown a bare percentage without also seeing how many people or messages it is based on - this specifically drove a restructuring of several summary tables from one row per metric down to one row per (metric, user), so that Power BI's own relationships and filters, rather than a fixed, pre-computed number, produce the live count on screen.</w:t>
      </w:r>
    </w:p>
    <w:p>
      <w:pPr>
        <w:pStyle w:val="ListBullet"/>
      </w:pPr>
      <w:r>
        <w:rPr>
          <w:b/>
        </w:rPr>
        <w:t xml:space="preserve">Validation status gates what can be published as a rate. </w:t>
      </w:r>
      <w:r>
        <w:t>Percentages derived from an unvalidated or under-validated measurement - tone, which does not clear its own validation threshold; human handoff, which has no gold set at all - are structurally prevented from being presented as a firm rate: they are either suppressed entirely or explicitly labelled directional or floor-only, consistently with the specific validation result for that measurement.</w:t>
      </w:r>
    </w:p>
    <w:p>
      <w:pPr>
        <w:pStyle w:val="Heading1"/>
      </w:pPr>
      <w:r>
        <w:t>7. Displaying the Dashboard</w:t>
      </w:r>
    </w:p>
    <w:p>
      <w:pPr>
        <w:pStyle w:val="ListBullet"/>
      </w:pPr>
      <w:r>
        <w:rPr>
          <w:b/>
        </w:rPr>
        <w:t xml:space="preserve">Structure: five pages. </w:t>
      </w:r>
      <w:r>
        <w:t>The finished gold-layer tables are loaded into a five-page Microsoft Power BI report: Home (navigation); Sami User Profile (nationality, age, gender, location, and migration journey - including away-from-origin duration and time in current city); Conversational Analysis (the six archetypes and their sub-groups shown on a 2D map-like scatter chart, together with representative key terms and one anonymised, hand-reviewed illustrative quote per archetype); Demands &amp; Needs (the priority/unmet-need matrix and institution/procedure mention charts); and MEAL Analysis (satisfaction-survey results, discovery channel mix, and the “why wasn't it useful” theme).</w:t>
      </w:r>
    </w:p>
    <w:p>
      <w:pPr>
        <w:pStyle w:val="ListBullet"/>
      </w:pPr>
      <w:r>
        <w:rPr>
          <w:b/>
        </w:rPr>
        <w:t xml:space="preserve">Global filters. </w:t>
      </w:r>
      <w:r>
        <w:t>Seven global filters sit at the top of every page - Date, Nationality, City, Category (archetype), Gender, Destination, and Presence of Children - and every chart across every page responds to all seven. Enabling this required a restructuring of several previously pre-aggregated tables down to one row per (metric, user), so a plain relationship to the user table restores full filterability without a single custom formula.</w:t>
      </w:r>
    </w:p>
    <w:p>
      <w:pPr>
        <w:pStyle w:val="ListBullet"/>
      </w:pPr>
      <w:r>
        <w:rPr>
          <w:b/>
        </w:rPr>
        <w:t xml:space="preserve">Live counts on every chart. </w:t>
      </w:r>
      <w:r>
        <w:t>Every chart and number card is paired with a live headcount of how many people or messages it is built on, computed by Power BI from the underlying table relationships rather than hardcoded - so a reader can immediately judge whether a figure comes from 10 people or 1,000, and so a demographic filter that happens to shrink a KPI's underlying population (for example, narrowing the Coverage Gap Rate down to only the bot-log users who also have a survey record) is visibly reflected on the card rather than silently changing the denominator behind the scenes.</w:t>
      </w:r>
    </w:p>
    <w:p>
      <w:pPr>
        <w:pStyle w:val="ListBullet"/>
      </w:pPr>
      <w:r>
        <w:rPr>
          <w:b/>
        </w:rPr>
        <w:t xml:space="preserve">Stable colour identity. </w:t>
      </w:r>
      <w:r>
        <w:t>Colour and display order for archetypes and their sub-groups are keyed to their size rank, never to the underlying numeric identifier produced by clustering - that identifier is an artefact of one specific clustering run and reshuffles on every data refresh, so binding a colour to it directly would re-colour the entire report on the next refresh. The largest archetype always takes the same primary brand colour, run after run.</w:t>
      </w:r>
    </w:p>
    <w:p>
      <w:pPr>
        <w:pStyle w:val="ListBullet"/>
      </w:pPr>
      <w:r>
        <w:rPr>
          <w:b/>
        </w:rPr>
        <w:t xml:space="preserve">Privacy by construction, not by dashboard-level filtering. </w:t>
      </w:r>
      <w:r>
        <w:t>No individual person can be identified anywhere on the dashboard. Every figure shown is either a group total or an anonymised, hand-reviewed quote (never a raw, unreviewed message); every column that could ever have carried a phone number or name has already passed through the pseudonymisation and PII-scan gates described in Section 2 before it ever reaches Power BI; and very small demographic or archetype cells are pre-merged into broader categories (also Section 2) rather than ever being shown on their own.</w:t>
      </w:r>
    </w:p>
    <w:p>
      <w:pPr>
        <w:pStyle w:val="ListBullet"/>
      </w:pPr>
      <w:r>
        <w:rPr>
          <w:b/>
        </w:rPr>
        <w:t xml:space="preserve">Versioning is visible to the reader. </w:t>
      </w:r>
      <w:r>
        <w:t>Both the report's own version number and the underlying data contract's schema version are written into every export and displayed on the report's footer/About page, so a viewer can always tell exactly which version of the methodology produced what they are looking at.</w:t>
      </w:r>
    </w:p>
    <w:p>
      <w:pPr>
        <w:pStyle w:val="ListBullet"/>
      </w:pPr>
      <w:r>
        <w:rPr>
          <w:b/>
        </w:rPr>
        <w:t xml:space="preserve">Refresh workflow. </w:t>
      </w:r>
      <w:r>
        <w:t>Refreshing the report is a deliberate, manual step that follows a successful pipeline run: Power BI's Refresh re-reads the CSV files in the gold layer (it is bound to those files, never directly to the raw platform exports or a live database), and is only performed after that run's parity gate (Section 2.5) has passed.</w:t>
      </w:r>
    </w:p>
    <w:p>
      <w:pPr>
        <w:pStyle w:val="Heading1"/>
      </w:pPr>
      <w:r>
        <w:t>8. Quick-Reference Table - Models, Methods, and Thresholds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Pseudonymisation algorithm</w:t>
            </w:r>
          </w:p>
        </w:tc>
        <w:tc>
          <w:tcPr>
            <w:tcW w:type="dxa" w:w="4320"/>
          </w:tcPr>
          <w:p>
            <w:r>
              <w:t>SHA-256(salt + digits(identifier)), truncated to 12 hex characters</w:t>
            </w:r>
          </w:p>
        </w:tc>
      </w:tr>
      <w:tr>
        <w:tc>
          <w:tcPr>
            <w:tcW w:type="dxa" w:w="4320"/>
          </w:tcPr>
          <w:p>
            <w:r>
              <w:t>Named-entity recognition model (redaction, Layer 1)</w:t>
            </w:r>
          </w:p>
        </w:tc>
        <w:tc>
          <w:tcPr>
            <w:tcW w:type="dxa" w:w="4320"/>
          </w:tcPr>
          <w:p>
            <w:r>
              <w:t>spaCy es_core_news_sm (NER component only)</w:t>
            </w:r>
          </w:p>
        </w:tc>
      </w:tr>
      <w:tr>
        <w:tc>
          <w:tcPr>
            <w:tcW w:type="dxa" w:w="4320"/>
          </w:tcPr>
          <w:p>
            <w:r>
              <w:t>Redaction gazetteer size (Layer 2)</w:t>
            </w:r>
          </w:p>
        </w:tc>
        <w:tc>
          <w:tcPr>
            <w:tcW w:type="dxa" w:w="4320"/>
          </w:tcPr>
          <w:p>
            <w:r>
              <w:t>~400 curated first names</w:t>
            </w:r>
          </w:p>
        </w:tc>
      </w:tr>
      <w:tr>
        <w:tc>
          <w:tcPr>
            <w:tcW w:type="dxa" w:w="4320"/>
          </w:tcPr>
          <w:p>
            <w:r>
              <w:t>Embedding model</w:t>
            </w:r>
          </w:p>
        </w:tc>
        <w:tc>
          <w:tcPr>
            <w:tcW w:type="dxa" w:w="4320"/>
          </w:tcPr>
          <w:p>
            <w:r>
              <w:t>intfloat/multilingual-e5-large (pinned revision)</w:t>
            </w:r>
          </w:p>
        </w:tc>
      </w:tr>
      <w:tr>
        <w:tc>
          <w:tcPr>
            <w:tcW w:type="dxa" w:w="4320"/>
          </w:tcPr>
          <w:p>
            <w:r>
              <w:t>Sentiment model</w:t>
            </w:r>
          </w:p>
        </w:tc>
        <w:tc>
          <w:tcPr>
            <w:tcW w:type="dxa" w:w="4320"/>
          </w:tcPr>
          <w:p>
            <w:r>
              <w:t>cardiffnlp/twitter-xlm-roberta-base-sentiment (pinned revision), 3-class</w:t>
            </w:r>
          </w:p>
        </w:tc>
      </w:tr>
      <w:tr>
        <w:tc>
          <w:tcPr>
            <w:tcW w:type="dxa" w:w="4320"/>
          </w:tcPr>
          <w:p>
            <w:r>
              <w:t>Emotion model</w:t>
            </w:r>
          </w:p>
        </w:tc>
        <w:tc>
          <w:tcPr>
            <w:tcW w:type="dxa" w:w="4320"/>
          </w:tcPr>
          <w:p>
            <w:r>
              <w:t>pysentimiento/robertuito-emotion-analysis (pinned revision), 7-class</w:t>
            </w:r>
          </w:p>
        </w:tc>
      </w:tr>
      <w:tr>
        <w:tc>
          <w:tcPr>
            <w:tcW w:type="dxa" w:w="4320"/>
          </w:tcPr>
          <w:p>
            <w:r>
              <w:t>Emotion alternatives tested (not adopted)</w:t>
            </w:r>
          </w:p>
        </w:tc>
        <w:tc>
          <w:tcPr>
            <w:tcW w:type="dxa" w:w="4320"/>
          </w:tcPr>
          <w:p>
            <w:r>
              <w:t>Zero-shot NLI vs. custom taxonomy; daveni/twitter-xlm-roberta-emotion-es (standalone and ensemble, both lower agreement than the shipped model)</w:t>
            </w:r>
          </w:p>
        </w:tc>
      </w:tr>
      <w:tr>
        <w:tc>
          <w:tcPr>
            <w:tcW w:type="dxa" w:w="4320"/>
          </w:tcPr>
          <w:p>
            <w:r>
              <w:t>Clustering algorithm</w:t>
            </w:r>
          </w:p>
        </w:tc>
        <w:tc>
          <w:tcPr>
            <w:tcW w:type="dxa" w:w="4320"/>
          </w:tcPr>
          <w:p>
            <w:r>
              <w:t>k-means (scikit-learn), seeded, 10 restarts per fit</w:t>
            </w:r>
          </w:p>
        </w:tc>
      </w:tr>
      <w:tr>
        <w:tc>
          <w:tcPr>
            <w:tcW w:type="dxa" w:w="4320"/>
          </w:tcPr>
          <w:p>
            <w:r>
              <w:t>Cluster-count (k) selection method</w:t>
            </w:r>
          </w:p>
        </w:tc>
        <w:tc>
          <w:tcPr>
            <w:tcW w:type="dxa" w:w="4320"/>
          </w:tcPr>
          <w:p>
            <w:r>
              <w:t>Bootstrap stability - mean Adjusted Rand Index ≥ 0.6, with a 1-standard-deviation margin</w:t>
            </w:r>
          </w:p>
        </w:tc>
      </w:tr>
      <w:tr>
        <w:tc>
          <w:tcPr>
            <w:tcW w:type="dxa" w:w="4320"/>
          </w:tcPr>
          <w:p>
            <w:r>
              <w:t>Chosen k / measured stability (current export)</w:t>
            </w:r>
          </w:p>
        </w:tc>
        <w:tc>
          <w:tcPr>
            <w:tcW w:type="dxa" w:w="4320"/>
          </w:tcPr>
          <w:p>
            <w:r>
              <w:t>6 archetypes / 0.841 mean Adjusted Rand Index</w:t>
            </w:r>
          </w:p>
        </w:tc>
      </w:tr>
      <w:tr>
        <w:tc>
          <w:tcPr>
            <w:tcW w:type="dxa" w:w="4320"/>
          </w:tcPr>
          <w:p>
            <w:r>
              <w:t>Sub-cluster candidate sizes</w:t>
            </w:r>
          </w:p>
        </w:tc>
        <w:tc>
          <w:tcPr>
            <w:tcW w:type="dxa" w:w="4320"/>
          </w:tcPr>
          <w:p>
            <w:r>
              <w:t>2–4 sub-groups per archetype</w:t>
            </w:r>
          </w:p>
        </w:tc>
      </w:tr>
      <w:tr>
        <w:tc>
          <w:tcPr>
            <w:tcW w:type="dxa" w:w="4320"/>
          </w:tcPr>
          <w:p>
            <w:r>
              <w:t>Sub-cluster minimum size (privacy floor) / smallest observed</w:t>
            </w:r>
          </w:p>
        </w:tc>
        <w:tc>
          <w:tcPr>
            <w:tcW w:type="dxa" w:w="4320"/>
          </w:tcPr>
          <w:p>
            <w:r>
              <w:t>30 users / 66 users</w:t>
            </w:r>
          </w:p>
        </w:tc>
      </w:tr>
      <w:tr>
        <w:tc>
          <w:tcPr>
            <w:tcW w:type="dxa" w:w="4320"/>
          </w:tcPr>
          <w:p>
            <w:r>
              <w:t>Archetypes split / not split (current export)</w:t>
            </w:r>
          </w:p>
        </w:tc>
        <w:tc>
          <w:tcPr>
            <w:tcW w:type="dxa" w:w="4320"/>
          </w:tcPr>
          <w:p>
            <w:r>
              <w:t>4 of 6 split (12 sub-groups); Settling in and Building a livelihood unsplit</w:t>
            </w:r>
          </w:p>
        </w:tc>
      </w:tr>
      <w:tr>
        <w:tc>
          <w:tcPr>
            <w:tcW w:type="dxa" w:w="4320"/>
          </w:tcPr>
          <w:p>
            <w:r>
              <w:t>2D visualisation method</w:t>
            </w:r>
          </w:p>
        </w:tc>
        <w:tc>
          <w:tcPr>
            <w:tcW w:type="dxa" w:w="4320"/>
          </w:tcPr>
          <w:p>
            <w:r>
              <w:t>UMAP (15 neighbours, min. distance 0.1) - display only, never used for cluster assignment</w:t>
            </w:r>
          </w:p>
        </w:tc>
      </w:tr>
      <w:tr>
        <w:tc>
          <w:tcPr>
            <w:tcW w:type="dxa" w:w="4320"/>
          </w:tcPr>
          <w:p>
            <w:r>
              <w:t>Archetype-labelling method</w:t>
            </w:r>
          </w:p>
        </w:tc>
        <w:tc>
          <w:tcPr>
            <w:tcW w:type="dxa" w:w="4320"/>
          </w:tcPr>
          <w:p>
            <w:r>
              <w:t>Class-based TF-IDF (c-TF-IDF), 5-distinct-user minimum per term</w:t>
            </w:r>
          </w:p>
        </w:tc>
      </w:tr>
      <w:tr>
        <w:tc>
          <w:tcPr>
            <w:tcW w:type="dxa" w:w="4320"/>
          </w:tcPr>
          <w:p>
            <w:r>
              <w:t>Tone validation (binary collapse, blind gold set)</w:t>
            </w:r>
          </w:p>
        </w:tc>
        <w:tc>
          <w:tcPr>
            <w:tcW w:type="dxa" w:w="4320"/>
          </w:tcPr>
          <w:p>
            <w:r>
              <w:t>Threshold not cleared in the current export; percentages suppressed and reported directionally</w:t>
            </w:r>
          </w:p>
        </w:tc>
      </w:tr>
      <w:tr>
        <w:tc>
          <w:tcPr>
            <w:tcW w:type="dxa" w:w="4320"/>
          </w:tcPr>
          <w:p>
            <w:r>
              <w:t>Emotion validation (7-class, blind gold set)</w:t>
            </w:r>
          </w:p>
        </w:tc>
        <w:tc>
          <w:tcPr>
            <w:tcW w:type="dxa" w:w="4320"/>
          </w:tcPr>
          <w:p>
            <w:r>
              <w:t>Threshold cleared with margin in the current export; reported as a validated rate</w:t>
            </w:r>
          </w:p>
        </w:tc>
      </w:tr>
      <w:tr>
        <w:tc>
          <w:tcPr>
            <w:tcW w:type="dxa" w:w="4320"/>
          </w:tcPr>
          <w:p>
            <w:r>
              <w:t>Emotion recall by class (measured)</w:t>
            </w:r>
          </w:p>
        </w:tc>
        <w:tc>
          <w:tcPr>
            <w:tcW w:type="dxa" w:w="4320"/>
          </w:tcPr>
          <w:p>
            <w:r>
              <w:t>fear 26%, sadness 48%, anger 58%, joy 90%, neutral/others 92%</w:t>
            </w:r>
          </w:p>
        </w:tc>
      </w:tr>
      <w:tr>
        <w:tc>
          <w:tcPr>
            <w:tcW w:type="dxa" w:w="4320"/>
          </w:tcPr>
          <w:p>
            <w:r>
              <w:t>Coverage Gap Rate - gate / measured</w:t>
            </w:r>
          </w:p>
        </w:tc>
        <w:tc>
          <w:tcPr>
            <w:tcW w:type="dxa" w:w="4320"/>
          </w:tcPr>
          <w:p>
            <w:r>
              <w:t>Precision ≥ 90% / measured precision 95.2%, recall 64.7% (95% CI 51-77%)</w:t>
            </w:r>
          </w:p>
        </w:tc>
      </w:tr>
      <w:tr>
        <w:tc>
          <w:tcPr>
            <w:tcW w:type="dxa" w:w="4320"/>
          </w:tcPr>
          <w:p>
            <w:r>
              <w:t>Coverage Gap Rate - headline figure</w:t>
            </w:r>
          </w:p>
        </w:tc>
        <w:tc>
          <w:tcPr>
            <w:tcW w:type="dxa" w:w="4320"/>
          </w:tcPr>
          <w:p>
            <w:r>
              <w:t>25.5% of users (user grain), 11.0% of turns (turn grain), reported as a floor</w:t>
            </w:r>
          </w:p>
        </w:tc>
      </w:tr>
      <w:tr>
        <w:tc>
          <w:tcPr>
            <w:tcW w:type="dxa" w:w="4320"/>
          </w:tcPr>
          <w:p>
            <w:r>
              <w:t>Human Handoff Rate</w:t>
            </w:r>
          </w:p>
        </w:tc>
        <w:tc>
          <w:tcPr>
            <w:tcW w:type="dxa" w:w="4320"/>
          </w:tcPr>
          <w:p>
            <w:r>
              <w:t>Unvalidated, no gold set - always reported directionally, never as a KPI card</w:t>
            </w:r>
          </w:p>
        </w:tc>
      </w:tr>
      <w:tr>
        <w:tc>
          <w:tcPr>
            <w:tcW w:type="dxa" w:w="4320"/>
          </w:tcPr>
          <w:p>
            <w:r>
              <w:t>Cluster-coverage floor / measured</w:t>
            </w:r>
          </w:p>
        </w:tc>
        <w:tc>
          <w:tcPr>
            <w:tcW w:type="dxa" w:w="4320"/>
          </w:tcPr>
          <w:p>
            <w:r>
              <w:t>≥ 80% of users assigned a real cluster / measured 85.1%</w:t>
            </w:r>
          </w:p>
        </w:tc>
      </w:tr>
      <w:tr>
        <w:tc>
          <w:tcPr>
            <w:tcW w:type="dxa" w:w="4320"/>
          </w:tcPr>
          <w:p>
            <w:r>
              <w:t>Entity-dictionary coverage - hard / warn floors / measured</w:t>
            </w:r>
          </w:p>
        </w:tc>
        <w:tc>
          <w:tcPr>
            <w:tcW w:type="dxa" w:w="4320"/>
          </w:tcPr>
          <w:p>
            <w:r>
              <w:t>20% (hard) / 35% (warn) / measured 40.1%</w:t>
            </w:r>
          </w:p>
        </w:tc>
      </w:tr>
      <w:tr>
        <w:tc>
          <w:tcPr>
            <w:tcW w:type="dxa" w:w="4320"/>
          </w:tcPr>
          <w:p>
            <w:r>
              <w:t>Random seed (all stochastic steps)</w:t>
            </w:r>
          </w:p>
        </w:tc>
        <w:tc>
          <w:tcPr>
            <w:tcW w:type="dxa" w:w="4320"/>
          </w:tcPr>
          <w:p>
            <w:r>
              <w:t>0</w:t>
            </w:r>
          </w:p>
        </w:tc>
      </w:tr>
      <w:tr>
        <w:tc>
          <w:tcPr>
            <w:tcW w:type="dxa" w:w="4320"/>
          </w:tcPr>
          <w:p>
            <w:r>
              <w:t>Dashboard pages</w:t>
            </w:r>
          </w:p>
        </w:tc>
        <w:tc>
          <w:tcPr>
            <w:tcW w:type="dxa" w:w="4320"/>
          </w:tcPr>
          <w:p>
            <w:r>
              <w:t>5 - Home, Sami User Profile, Conversational Analysis, Demands &amp; Needs, MEAL Analysis</w:t>
            </w:r>
          </w:p>
        </w:tc>
      </w:tr>
      <w:tr>
        <w:tc>
          <w:tcPr>
            <w:tcW w:type="dxa" w:w="4320"/>
          </w:tcPr>
          <w:p>
            <w:r>
              <w:t>Dashboard global filters</w:t>
            </w:r>
          </w:p>
        </w:tc>
        <w:tc>
          <w:tcPr>
            <w:tcW w:type="dxa" w:w="4320"/>
          </w:tcPr>
          <w:p>
            <w:r>
              <w:t>7 - Date, Nationality, City, Category, Gender, Destination, Presence of Children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