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AFD5A" w14:textId="21CEBA3A" w:rsidR="00180C50" w:rsidRPr="00467D25" w:rsidRDefault="00807241">
      <w:pPr>
        <w:jc w:val="left"/>
        <w:rPr>
          <w:rFonts w:ascii="Times New Roman" w:hAnsi="Times New Roman" w:cs="Times New Roman"/>
          <w:b/>
          <w:bCs/>
        </w:rPr>
      </w:pPr>
      <w:r>
        <w:rPr>
          <w:rFonts w:ascii="Times New Roman" w:hAnsi="Times New Roman"/>
          <w:b/>
          <w:sz w:val="24"/>
        </w:rPr>
        <w:t>Table 7. Robustness Test: Structural Break Comparison Across Alternative ETF Dates</w:t>
      </w:r>
    </w:p>
    <w:p w14:paraId="090922E7" w14:textId="77777777" w:rsidR="00807241" w:rsidRDefault="00807241">
      <w:r>
        <w:rPr>
          <w:rFonts w:ascii="Times New Roman" w:hAnsi="Times New Roman"/>
          <w:sz w:val="24"/>
        </w:rPr>
        <w:t xml:space="preserve">Table 7 reports the robustness of the paper's main BEKK-GARCH spillover findings across three candidate structural-break dates tied to the Bitcoin ETF approval cycle: August 29, 2023 (Grayscale court ruling), October 23, 2023 (DTCC listing attention and Grayscale case closure — the paper's baseline), and January 10, 2024 (official SEC approval). For each date we report (i) the change in mean daily jump variation (ΔJV) for Bitcoin and Ethereum, with Welch (unequal-variance) t-test p-values, and (ii) the structural-break shift parameters of a bivariate BEKK(1,1) model — a12*, a21* for short-run shock spillovers and g12*, g21* for long-run volatility-persistence spillovers — estimated by Quasi-Maximum Likelihood with Bollerslev–Wooldridge sandwich standard errors. The October 23, 2023 row reproduces the paper's published Table 5 estimates; the alternative-date rows are independently re-estimated for this robustness check. Statistical significance is denoted by asterisks at the *10%, **5%, and ***1% levels.</w:t>
      </w:r>
    </w:p>
    <w:p w14:paraId="331FAFD1" w14:textId="7B7E932A" w:rsidR="00807241" w:rsidRDefault="00807241"/>
    <w:p w14:paraId="357ACEB4" w14:textId="77777777" w:rsidR="00807241" w:rsidRPr="00807241" w:rsidRDefault="00807241" w:rsidP="00807241"/>
    <w:p w14:paraId="4358923A" w14:textId="77777777" w:rsidR="00807241" w:rsidRPr="00807241" w:rsidRDefault="00807241" w:rsidP="00807241"/>
    <w:p w14:paraId="627EDDCF" w14:textId="37EE95CF" w:rsidR="00807241" w:rsidRDefault="00807241" w:rsidP="00807241"/>
    <w:p w14:paraId="7142AE94" w14:textId="77777777" w:rsidR="00807241" w:rsidRDefault="00807241" w:rsidP="00807241"/>
    <w:p w14:paraId="0EB362FA" w14:textId="3DD907F4" w:rsidR="00807241" w:rsidRDefault="00807241" w:rsidP="00807241"/>
    <w:p w14:paraId="3A0E4DA4" w14:textId="77777777" w:rsidR="00807241" w:rsidRPr="00807241" w:rsidRDefault="00807241" w:rsidP="00807241"/>
    <w:p w14:paraId="51C56870" w14:textId="12013D03" w:rsidR="00807241" w:rsidRPr="00807241" w:rsidRDefault="00807241" w:rsidP="00807241"/>
    <w:p w14:paraId="2B79B46F" w14:textId="65CA18D7" w:rsidR="00807241" w:rsidRPr="00807241" w:rsidRDefault="00807241" w:rsidP="00807241"/>
    <w:p w14:paraId="6E67ECA3" w14:textId="770BBFA4" w:rsidR="00807241" w:rsidRPr="00807241" w:rsidRDefault="00807241" w:rsidP="00807241"/>
    <w:tbl>
      <w:tblPr>
        <w:tblStyle w:val="TableGrid"/>
        <w:tblW w:w="0" w:type="auto"/>
        <w:tblLook w:val="04A0" w:firstRow="1" w:lastRow="0" w:firstColumn="1" w:lastColumn="0" w:noHBand="0" w:noVBand="1"/>
      </w:tblPr>
      <w:tblGrid>
        <w:gridCol w:w="3237"/>
        <w:gridCol w:w="3237"/>
        <w:gridCol w:w="3238"/>
        <w:gridCol w:w="3238"/>
      </w:tblGrid>
      <w:tr w:rsidR="00467D25" w14:paraId="7D466B8D" w14:textId="77777777" w:rsidTr="00467D25">
        <w:tc>
          <w:tcPr>
            <w:tcW w:w="3237" w:type="dxa"/>
            <w:vAlign w:val="center"/>
          </w:tcPr>
          <w:p>
            <w:pPr>
              <w:spacing w:before="0" w:after="0"/>
              <w:jc w:val="center"/>
            </w:pPr>
            <w:r>
              <w:rPr>
                <w:rFonts w:ascii="Times New Roman" w:hAnsi="Times New Roman"/>
                <w:b/>
                <w:sz w:val="20"/>
              </w:rPr>
              <w:t>Dates</w:t>
            </w:r>
          </w:p>
        </w:tc>
        <w:tc>
          <w:tcPr>
            <w:tcW w:w="3237" w:type="dxa"/>
            <w:vAlign w:val="center"/>
          </w:tcPr>
          <w:p>
            <w:pPr>
              <w:spacing w:before="0" w:after="0"/>
              <w:jc w:val="center"/>
            </w:pPr>
            <w:r>
              <w:rPr>
                <w:rFonts w:ascii="Times New Roman" w:hAnsi="Times New Roman"/>
                <w:b/>
                <w:sz w:val="20"/>
              </w:rPr>
              <w:t>Δ Jump Volatility</w:t>
            </w:r>
          </w:p>
        </w:tc>
        <w:tc>
          <w:tcPr>
            <w:tcW w:w="3238" w:type="dxa"/>
            <w:vAlign w:val="center"/>
          </w:tcPr>
          <w:p>
            <w:pPr>
              <w:spacing w:before="0" w:after="0"/>
              <w:jc w:val="center"/>
            </w:pPr>
            <w:r>
              <w:rPr>
                <w:rFonts w:ascii="Times New Roman" w:hAnsi="Times New Roman"/>
                <w:b/>
                <w:sz w:val="20"/>
              </w:rPr>
              <w:t>Δ Short-run Spillover</w:t>
            </w:r>
          </w:p>
        </w:tc>
        <w:tc>
          <w:tcPr>
            <w:tcW w:w="3238" w:type="dxa"/>
            <w:vAlign w:val="center"/>
          </w:tcPr>
          <w:p>
            <w:pPr>
              <w:spacing w:before="0" w:after="0"/>
              <w:jc w:val="center"/>
            </w:pPr>
            <w:r>
              <w:rPr>
                <w:rFonts w:ascii="Times New Roman" w:hAnsi="Times New Roman"/>
                <w:b/>
                <w:sz w:val="20"/>
              </w:rPr>
              <w:t>Δ Long-run Spillover</w:t>
            </w:r>
          </w:p>
        </w:tc>
      </w:tr>
      <w:tr w:rsidR="00467D25" w14:paraId="642F2FDF" w14:textId="77777777" w:rsidTr="00467D25">
        <w:tc>
          <w:tcPr>
            <w:tcW w:w="3237" w:type="dxa"/>
            <w:vAlign w:val="center"/>
          </w:tcPr>
          <w:p>
            <w:pPr>
              <w:spacing w:before="0" w:after="0"/>
              <w:jc w:val="center"/>
            </w:pPr>
            <w:r>
              <w:rPr>
                <w:rFonts w:ascii="Times New Roman" w:hAnsi="Times New Roman"/>
                <w:b w:val="0"/>
                <w:sz w:val="20"/>
              </w:rPr>
              <w:t>Aug 29, 2023</w:t>
            </w:r>
          </w:p>
          <w:p>
            <w:pPr>
              <w:spacing w:before="0" w:after="0"/>
              <w:jc w:val="center"/>
            </w:pPr>
            <w:r>
              <w:rPr>
                <w:rFonts w:ascii="Times New Roman" w:hAnsi="Times New Roman"/>
                <w:b w:val="0"/>
                <w:sz w:val="20"/>
              </w:rPr>
              <w:t>(Grayscale court ruling)</w:t>
            </w:r>
          </w:p>
        </w:tc>
        <w:tc>
          <w:tcPr>
            <w:tcW w:w="3237" w:type="dxa"/>
            <w:vAlign w:val="center"/>
          </w:tcPr>
          <w:p>
            <w:pPr>
              <w:spacing w:before="0" w:after="0"/>
              <w:jc w:val="left"/>
            </w:pPr>
            <w:r>
              <w:rPr>
                <w:rFonts w:ascii="Times New Roman" w:hAnsi="Times New Roman"/>
                <w:b w:val="0"/>
                <w:sz w:val="20"/>
              </w:rPr>
              <w:t>BTC ΔJV = -0.000266*** (p = 0.0000)</w:t>
            </w:r>
          </w:p>
          <w:p>
            <w:pPr>
              <w:spacing w:before="0" w:after="0"/>
              <w:jc w:val="left"/>
            </w:pPr>
            <w:r>
              <w:rPr>
                <w:rFonts w:ascii="Times New Roman" w:hAnsi="Times New Roman"/>
                <w:b w:val="0"/>
                <w:sz w:val="20"/>
              </w:rPr>
              <w:t>ETH ΔJV = -0.000656*** (p = 0.0000)</w:t>
            </w:r>
          </w:p>
        </w:tc>
        <w:tc>
          <w:tcPr>
            <w:tcW w:w="3238" w:type="dxa"/>
            <w:vAlign w:val="center"/>
          </w:tcPr>
          <w:p>
            <w:pPr>
              <w:spacing w:before="0" w:after="0"/>
              <w:jc w:val="left"/>
            </w:pPr>
            <w:r>
              <w:rPr>
                <w:rFonts w:ascii="Times New Roman" w:hAnsi="Times New Roman"/>
                <w:b w:val="0"/>
                <w:sz w:val="20"/>
              </w:rPr>
              <w:t>a12* = -0.1647* (p = 0.0519)</w:t>
            </w:r>
          </w:p>
          <w:p>
            <w:pPr>
              <w:spacing w:before="0" w:after="0"/>
              <w:jc w:val="left"/>
            </w:pPr>
            <w:r>
              <w:rPr>
                <w:rFonts w:ascii="Times New Roman" w:hAnsi="Times New Roman"/>
                <w:b w:val="0"/>
                <w:sz w:val="20"/>
              </w:rPr>
              <w:t>a21* = -0.2440** (p = 0.0163)</w:t>
            </w:r>
          </w:p>
        </w:tc>
        <w:tc>
          <w:tcPr>
            <w:tcW w:w="3238" w:type="dxa"/>
            <w:vAlign w:val="center"/>
          </w:tcPr>
          <w:p>
            <w:pPr>
              <w:spacing w:before="0" w:after="0"/>
              <w:jc w:val="left"/>
            </w:pPr>
            <w:r>
              <w:rPr>
                <w:rFonts w:ascii="Times New Roman" w:hAnsi="Times New Roman"/>
                <w:b w:val="0"/>
                <w:sz w:val="20"/>
              </w:rPr>
              <w:t>g12* = +0.0445* (p = 0.0840)</w:t>
            </w:r>
          </w:p>
          <w:p>
            <w:pPr>
              <w:spacing w:before="0" w:after="0"/>
              <w:jc w:val="left"/>
            </w:pPr>
            <w:r>
              <w:rPr>
                <w:rFonts w:ascii="Times New Roman" w:hAnsi="Times New Roman"/>
                <w:b w:val="0"/>
                <w:sz w:val="20"/>
              </w:rPr>
              <w:t>g21* = +0.0418 (p = 0.1052)</w:t>
            </w:r>
          </w:p>
        </w:tc>
      </w:tr>
      <w:tr w:rsidR="00467D25" w14:paraId="77EFCD27" w14:textId="77777777" w:rsidTr="00467D25">
        <w:tc>
          <w:tcPr>
            <w:tcW w:w="3237" w:type="dxa"/>
            <w:vAlign w:val="center"/>
          </w:tcPr>
          <w:p>
            <w:pPr>
              <w:spacing w:before="0" w:after="0"/>
              <w:jc w:val="center"/>
            </w:pPr>
            <w:r>
              <w:rPr>
                <w:rFonts w:ascii="Times New Roman" w:hAnsi="Times New Roman"/>
                <w:b/>
                <w:sz w:val="20"/>
              </w:rPr>
              <w:t>Oct 23, 2023</w:t>
            </w:r>
          </w:p>
          <w:p>
            <w:pPr>
              <w:spacing w:before="0" w:after="0"/>
              <w:jc w:val="center"/>
            </w:pPr>
            <w:r>
              <w:rPr>
                <w:rFonts w:ascii="Times New Roman" w:hAnsi="Times New Roman"/>
                <w:b/>
                <w:sz w:val="20"/>
              </w:rPr>
              <w:t>(Paper baseline)</w:t>
            </w:r>
          </w:p>
        </w:tc>
        <w:tc>
          <w:tcPr>
            <w:tcW w:w="3237" w:type="dxa"/>
            <w:vAlign w:val="center"/>
          </w:tcPr>
          <w:p>
            <w:pPr>
              <w:spacing w:before="0" w:after="0"/>
              <w:jc w:val="left"/>
            </w:pPr>
            <w:r>
              <w:rPr>
                <w:rFonts w:ascii="Times New Roman" w:hAnsi="Times New Roman"/>
                <w:b/>
                <w:sz w:val="20"/>
              </w:rPr>
              <w:t>BTC ΔJV = -0.000247*** (p = 0.0000)</w:t>
            </w:r>
          </w:p>
          <w:p>
            <w:pPr>
              <w:spacing w:before="0" w:after="0"/>
              <w:jc w:val="left"/>
            </w:pPr>
            <w:r>
              <w:rPr>
                <w:rFonts w:ascii="Times New Roman" w:hAnsi="Times New Roman"/>
                <w:b/>
                <w:sz w:val="20"/>
              </w:rPr>
              <w:t>ETH ΔJV = -0.000617*** (p = 0.0000)</w:t>
            </w:r>
          </w:p>
        </w:tc>
        <w:tc>
          <w:tcPr>
            <w:tcW w:w="3238" w:type="dxa"/>
            <w:vAlign w:val="center"/>
          </w:tcPr>
          <w:p>
            <w:pPr>
              <w:spacing w:before="0" w:after="0"/>
              <w:jc w:val="left"/>
            </w:pPr>
            <w:r>
              <w:rPr>
                <w:rFonts w:ascii="Times New Roman" w:hAnsi="Times New Roman"/>
                <w:b/>
                <w:sz w:val="20"/>
              </w:rPr>
              <w:t>a12* = -0.259*** (p &lt; 0.001)</w:t>
            </w:r>
          </w:p>
          <w:p>
            <w:pPr>
              <w:spacing w:before="0" w:after="0"/>
              <w:jc w:val="left"/>
            </w:pPr>
            <w:r>
              <w:rPr>
                <w:rFonts w:ascii="Times New Roman" w:hAnsi="Times New Roman"/>
                <w:b/>
                <w:sz w:val="20"/>
              </w:rPr>
              <w:t>a21* = -0.196*** (p &lt; 0.001)</w:t>
            </w:r>
          </w:p>
        </w:tc>
        <w:tc>
          <w:tcPr>
            <w:tcW w:w="3238" w:type="dxa"/>
            <w:vAlign w:val="center"/>
          </w:tcPr>
          <w:p>
            <w:pPr>
              <w:spacing w:before="0" w:after="0"/>
              <w:jc w:val="left"/>
            </w:pPr>
            <w:r>
              <w:rPr>
                <w:rFonts w:ascii="Times New Roman" w:hAnsi="Times New Roman"/>
                <w:b/>
                <w:sz w:val="20"/>
              </w:rPr>
              <w:t>g12* = +0.038*** (p &lt; 0.001)</w:t>
            </w:r>
          </w:p>
          <w:p>
            <w:pPr>
              <w:spacing w:before="0" w:after="0"/>
              <w:jc w:val="left"/>
            </w:pPr>
            <w:r>
              <w:rPr>
                <w:rFonts w:ascii="Times New Roman" w:hAnsi="Times New Roman"/>
                <w:b/>
                <w:sz w:val="20"/>
              </w:rPr>
              <w:t>g21* = +0.054*** (p &lt; 0.001)</w:t>
            </w:r>
          </w:p>
        </w:tc>
      </w:tr>
      <w:tr w:rsidR="00467D25" w14:paraId="79CFAFF9" w14:textId="77777777" w:rsidTr="00467D25">
        <w:tc>
          <w:tcPr>
            <w:tcW w:w="3237" w:type="dxa"/>
            <w:vAlign w:val="center"/>
          </w:tcPr>
          <w:p>
            <w:pPr>
              <w:spacing w:before="0" w:after="0"/>
              <w:jc w:val="center"/>
            </w:pPr>
            <w:r>
              <w:rPr>
                <w:rFonts w:ascii="Times New Roman" w:hAnsi="Times New Roman"/>
                <w:b w:val="0"/>
                <w:sz w:val="20"/>
              </w:rPr>
              <w:t>Jan 10, 2024</w:t>
            </w:r>
          </w:p>
          <w:p>
            <w:pPr>
              <w:spacing w:before="0" w:after="0"/>
              <w:jc w:val="center"/>
            </w:pPr>
            <w:r>
              <w:rPr>
                <w:rFonts w:ascii="Times New Roman" w:hAnsi="Times New Roman"/>
                <w:b w:val="0"/>
                <w:sz w:val="20"/>
              </w:rPr>
              <w:t>(SEC official approval)</w:t>
            </w:r>
          </w:p>
        </w:tc>
        <w:tc>
          <w:tcPr>
            <w:tcW w:w="3237" w:type="dxa"/>
            <w:vAlign w:val="center"/>
          </w:tcPr>
          <w:p>
            <w:pPr>
              <w:spacing w:before="0" w:after="0"/>
              <w:jc w:val="left"/>
            </w:pPr>
            <w:r>
              <w:rPr>
                <w:rFonts w:ascii="Times New Roman" w:hAnsi="Times New Roman"/>
                <w:b w:val="0"/>
                <w:sz w:val="20"/>
              </w:rPr>
              <w:t>BTC ΔJV = -0.000219*** (p = 0.0000)</w:t>
            </w:r>
          </w:p>
          <w:p>
            <w:pPr>
              <w:spacing w:before="0" w:after="0"/>
              <w:jc w:val="left"/>
            </w:pPr>
            <w:r>
              <w:rPr>
                <w:rFonts w:ascii="Times New Roman" w:hAnsi="Times New Roman"/>
                <w:b w:val="0"/>
                <w:sz w:val="20"/>
              </w:rPr>
              <w:t>ETH ΔJV = -0.000579*** (p = 0.0000)</w:t>
            </w:r>
          </w:p>
        </w:tc>
        <w:tc>
          <w:tcPr>
            <w:tcW w:w="3238" w:type="dxa"/>
            <w:vAlign w:val="center"/>
          </w:tcPr>
          <w:p>
            <w:pPr>
              <w:spacing w:before="0" w:after="0"/>
              <w:jc w:val="left"/>
            </w:pPr>
            <w:r>
              <w:rPr>
                <w:rFonts w:ascii="Times New Roman" w:hAnsi="Times New Roman"/>
                <w:b w:val="0"/>
                <w:sz w:val="20"/>
              </w:rPr>
              <w:t>a12* = -0.0673 (p = 0.4151)</w:t>
            </w:r>
          </w:p>
          <w:p>
            <w:pPr>
              <w:spacing w:before="0" w:after="0"/>
              <w:jc w:val="left"/>
            </w:pPr>
            <w:r>
              <w:rPr>
                <w:rFonts w:ascii="Times New Roman" w:hAnsi="Times New Roman"/>
                <w:b w:val="0"/>
                <w:sz w:val="20"/>
              </w:rPr>
              <w:t>a21* = -0.2127** (p = 0.0110)</w:t>
            </w:r>
          </w:p>
        </w:tc>
        <w:tc>
          <w:tcPr>
            <w:tcW w:w="3238" w:type="dxa"/>
            <w:vAlign w:val="center"/>
          </w:tcPr>
          <w:p>
            <w:pPr>
              <w:spacing w:before="0" w:after="0"/>
              <w:jc w:val="left"/>
            </w:pPr>
            <w:r>
              <w:rPr>
                <w:rFonts w:ascii="Times New Roman" w:hAnsi="Times New Roman"/>
                <w:b w:val="0"/>
                <w:sz w:val="20"/>
              </w:rPr>
              <w:t>g12* = +0.0282 (p = 0.2082)</w:t>
            </w:r>
          </w:p>
          <w:p>
            <w:pPr>
              <w:spacing w:before="0" w:after="0"/>
              <w:jc w:val="left"/>
            </w:pPr>
            <w:r>
              <w:rPr>
                <w:rFonts w:ascii="Times New Roman" w:hAnsi="Times New Roman"/>
                <w:b w:val="0"/>
                <w:sz w:val="20"/>
              </w:rPr>
              <w:t>g21* = +0.0372* (p = 0.0795)</w:t>
            </w:r>
          </w:p>
        </w:tc>
      </w:tr>
    </w:tbl>
    <w:sectPr w:rsidR="00807241" w:rsidRPr="00807241" w:rsidSect="0080724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4361"/>
    <w:multiLevelType w:val="hybridMultilevel"/>
    <w:tmpl w:val="A01E1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CA012F"/>
    <w:multiLevelType w:val="hybridMultilevel"/>
    <w:tmpl w:val="3D7E9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8910779">
    <w:abstractNumId w:val="1"/>
  </w:num>
  <w:num w:numId="2" w16cid:durableId="80639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241"/>
    <w:rsid w:val="000D7A80"/>
    <w:rsid w:val="00180C50"/>
    <w:rsid w:val="002F1AA9"/>
    <w:rsid w:val="0038562A"/>
    <w:rsid w:val="00467D25"/>
    <w:rsid w:val="006A14F4"/>
    <w:rsid w:val="00807241"/>
    <w:rsid w:val="00B23664"/>
    <w:rsid w:val="00B85593"/>
    <w:rsid w:val="00C24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5CBC5C"/>
  <w15:chartTrackingRefBased/>
  <w15:docId w15:val="{EC7B082C-5714-8F49-95F5-E567425CE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241"/>
    <w:rPr>
      <w:rFonts w:eastAsiaTheme="majorEastAsia" w:cstheme="majorBidi"/>
      <w:color w:val="272727" w:themeColor="text1" w:themeTint="D8"/>
    </w:rPr>
  </w:style>
  <w:style w:type="paragraph" w:styleId="Title">
    <w:name w:val="Title"/>
    <w:basedOn w:val="Normal"/>
    <w:next w:val="Normal"/>
    <w:link w:val="TitleChar"/>
    <w:uiPriority w:val="10"/>
    <w:qFormat/>
    <w:rsid w:val="00807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241"/>
    <w:pPr>
      <w:spacing w:before="160"/>
      <w:jc w:val="center"/>
    </w:pPr>
    <w:rPr>
      <w:i/>
      <w:iCs/>
      <w:color w:val="404040" w:themeColor="text1" w:themeTint="BF"/>
    </w:rPr>
  </w:style>
  <w:style w:type="character" w:customStyle="1" w:styleId="QuoteChar">
    <w:name w:val="Quote Char"/>
    <w:basedOn w:val="DefaultParagraphFont"/>
    <w:link w:val="Quote"/>
    <w:uiPriority w:val="29"/>
    <w:rsid w:val="00807241"/>
    <w:rPr>
      <w:i/>
      <w:iCs/>
      <w:color w:val="404040" w:themeColor="text1" w:themeTint="BF"/>
    </w:rPr>
  </w:style>
  <w:style w:type="paragraph" w:styleId="ListParagraph">
    <w:name w:val="List Paragraph"/>
    <w:basedOn w:val="Normal"/>
    <w:uiPriority w:val="34"/>
    <w:qFormat/>
    <w:rsid w:val="00807241"/>
    <w:pPr>
      <w:ind w:left="720"/>
      <w:contextualSpacing/>
    </w:pPr>
  </w:style>
  <w:style w:type="character" w:styleId="IntenseEmphasis">
    <w:name w:val="Intense Emphasis"/>
    <w:basedOn w:val="DefaultParagraphFont"/>
    <w:uiPriority w:val="21"/>
    <w:qFormat/>
    <w:rsid w:val="00807241"/>
    <w:rPr>
      <w:i/>
      <w:iCs/>
      <w:color w:val="0F4761" w:themeColor="accent1" w:themeShade="BF"/>
    </w:rPr>
  </w:style>
  <w:style w:type="paragraph" w:styleId="IntenseQuote">
    <w:name w:val="Intense Quote"/>
    <w:basedOn w:val="Normal"/>
    <w:next w:val="Normal"/>
    <w:link w:val="IntenseQuoteChar"/>
    <w:uiPriority w:val="30"/>
    <w:qFormat/>
    <w:rsid w:val="00807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241"/>
    <w:rPr>
      <w:i/>
      <w:iCs/>
      <w:color w:val="0F4761" w:themeColor="accent1" w:themeShade="BF"/>
    </w:rPr>
  </w:style>
  <w:style w:type="character" w:styleId="IntenseReference">
    <w:name w:val="Intense Reference"/>
    <w:basedOn w:val="DefaultParagraphFont"/>
    <w:uiPriority w:val="32"/>
    <w:qFormat/>
    <w:rsid w:val="00807241"/>
    <w:rPr>
      <w:b/>
      <w:bCs/>
      <w:smallCaps/>
      <w:color w:val="0F4761" w:themeColor="accent1" w:themeShade="BF"/>
      <w:spacing w:val="5"/>
    </w:rPr>
  </w:style>
  <w:style w:type="character" w:styleId="PlaceholderText">
    <w:name w:val="Placeholder Text"/>
    <w:basedOn w:val="DefaultParagraphFont"/>
    <w:uiPriority w:val="99"/>
    <w:semiHidden/>
    <w:rsid w:val="00807241"/>
    <w:rPr>
      <w:color w:val="666666"/>
    </w:rPr>
  </w:style>
  <w:style w:type="table" w:styleId="TableGrid">
    <w:name w:val="Table Grid"/>
    <w:basedOn w:val="TableNormal"/>
    <w:uiPriority w:val="39"/>
    <w:rsid w:val="00467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0F22C-D876-934E-8D29-67EBEE170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96</Words>
  <Characters>562</Characters>
  <Application>Microsoft Office Word</Application>
  <DocSecurity>0</DocSecurity>
  <Lines>11</Lines>
  <Paragraphs>5</Paragraphs>
  <ScaleCrop>false</ScaleCrop>
  <Company/>
  <LinksUpToDate>false</LinksUpToDate>
  <CharactersWithSpaces>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Jingrui Li</dc:creator>
  <cp:keywords/>
  <dc:description/>
  <cp:lastModifiedBy>Jingrui Li</cp:lastModifiedBy>
  <cp:revision>3</cp:revision>
  <dcterms:created xsi:type="dcterms:W3CDTF">2026-04-16T19:08:00Z</dcterms:created>
  <dcterms:modified xsi:type="dcterms:W3CDTF">2026-04-16T19:17:00Z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2026-04-16T19:12:16Z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c2a2fa22-d838-48b1-aaad-2b1301ed4dba</vt:lpwstr>
  </property>
  <property fmtid="{D5CDD505-2E9C-101B-9397-08002B2CF9AE}" pid="8" name="MSIP_Label_a73fd474-4f3c-44ed-88fb-5cc4bd2471bf_ContentBits">
    <vt:lpwstr>0</vt:lpwstr>
  </property>
  <property fmtid="{D5CDD505-2E9C-101B-9397-08002B2CF9AE}" pid="9" name="MSIP_Label_a73fd474-4f3c-44ed-88fb-5cc4bd2471bf_Tag">
    <vt:lpwstr>50, 3, 0, 1</vt:lpwstr>
  </property>
</Properties>
</file>