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AFD5A" w14:textId="21CEBA3A" w:rsidR="00180C50" w:rsidRPr="00467D25" w:rsidRDefault="00807241">
      <w:pPr>
        <w:rPr>
          <w:rFonts w:ascii="Times New Roman" w:hAnsi="Times New Roman" w:cs="Times New Roman"/>
          <w:b/>
          <w:bCs/>
        </w:rPr>
      </w:pPr>
      <w:r w:rsidRPr="00467D25">
        <w:rPr>
          <w:rFonts w:ascii="Times New Roman" w:hAnsi="Times New Roman" w:cs="Times New Roman"/>
          <w:b/>
          <w:bCs/>
        </w:rPr>
        <w:t xml:space="preserve">Table 7. Robustness Test: </w:t>
      </w:r>
      <w:r w:rsidRPr="00467D25">
        <w:rPr>
          <w:rFonts w:ascii="Times New Roman" w:hAnsi="Times New Roman" w:cs="Times New Roman"/>
          <w:b/>
          <w:bCs/>
        </w:rPr>
        <w:t>Structural Break Comparison Across Alternative ETF Dates</w:t>
      </w:r>
    </w:p>
    <w:p w14:paraId="090922E7" w14:textId="77777777" w:rsidR="00807241" w:rsidRDefault="00807241">
      <w:pPr>
        <w:rPr>
          <w:rFonts w:ascii="Times New Roman" w:hAnsi="Times New Roman" w:cs="Times New Roman"/>
        </w:rPr>
      </w:pPr>
    </w:p>
    <w:p w14:paraId="331FAFD1" w14:textId="7B7E932A" w:rsidR="00807241" w:rsidRDefault="008072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Alternative Dates:</w:t>
      </w:r>
    </w:p>
    <w:p w14:paraId="357ACEB4" w14:textId="77777777" w:rsidR="00807241" w:rsidRP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Aug 29, </w:t>
      </w:r>
      <w:proofErr w:type="gramStart"/>
      <w:r w:rsidRPr="00807241">
        <w:rPr>
          <w:rFonts w:ascii="Times New Roman" w:hAnsi="Times New Roman" w:cs="Times New Roman"/>
        </w:rPr>
        <w:t>2023</w:t>
      </w:r>
      <w:proofErr w:type="gramEnd"/>
      <w:r w:rsidRPr="00807241">
        <w:rPr>
          <w:rFonts w:ascii="Times New Roman" w:hAnsi="Times New Roman" w:cs="Times New Roman"/>
        </w:rPr>
        <w:t xml:space="preserve"> → Grayscale court ruling</w:t>
      </w:r>
    </w:p>
    <w:p w14:paraId="4358923A" w14:textId="77777777" w:rsidR="00807241" w:rsidRP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Oct 23, </w:t>
      </w:r>
      <w:proofErr w:type="gramStart"/>
      <w:r w:rsidRPr="00807241">
        <w:rPr>
          <w:rFonts w:ascii="Times New Roman" w:hAnsi="Times New Roman" w:cs="Times New Roman"/>
        </w:rPr>
        <w:t>2023</w:t>
      </w:r>
      <w:proofErr w:type="gramEnd"/>
      <w:r w:rsidRPr="00807241">
        <w:rPr>
          <w:rFonts w:ascii="Times New Roman" w:hAnsi="Times New Roman" w:cs="Times New Roman"/>
        </w:rPr>
        <w:t xml:space="preserve"> → your baseline</w:t>
      </w:r>
    </w:p>
    <w:p w14:paraId="627EDDCF" w14:textId="37EE95CF" w:rsid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Jan 10, </w:t>
      </w:r>
      <w:proofErr w:type="gramStart"/>
      <w:r w:rsidRPr="00807241">
        <w:rPr>
          <w:rFonts w:ascii="Times New Roman" w:hAnsi="Times New Roman" w:cs="Times New Roman"/>
        </w:rPr>
        <w:t>2024</w:t>
      </w:r>
      <w:proofErr w:type="gramEnd"/>
      <w:r w:rsidRPr="00807241">
        <w:rPr>
          <w:rFonts w:ascii="Times New Roman" w:hAnsi="Times New Roman" w:cs="Times New Roman"/>
        </w:rPr>
        <w:t xml:space="preserve"> → official SEC approval</w:t>
      </w:r>
    </w:p>
    <w:p w14:paraId="7142AE94" w14:textId="77777777" w:rsidR="00807241" w:rsidRDefault="00807241" w:rsidP="00807241">
      <w:pPr>
        <w:rPr>
          <w:rFonts w:ascii="Times New Roman" w:hAnsi="Times New Roman" w:cs="Times New Roman"/>
        </w:rPr>
      </w:pPr>
    </w:p>
    <w:p w14:paraId="0EB362FA" w14:textId="3DD907F4" w:rsidR="00807241" w:rsidRDefault="00807241" w:rsidP="008072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</w:t>
      </w:r>
      <w:r w:rsidR="00B85593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estimate: </w:t>
      </w:r>
    </w:p>
    <w:p w14:paraId="3A0E4DA4" w14:textId="77777777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>Jump volatility (JV)</w:t>
      </w:r>
    </w:p>
    <w:p w14:paraId="51C56870" w14:textId="12013D03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Short-run spillovers (BEKK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12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21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>)</w:t>
      </w:r>
    </w:p>
    <w:p w14:paraId="2B79B46F" w14:textId="65CA18D7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Long-run spillovers (BEKK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12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21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>)</w:t>
      </w:r>
    </w:p>
    <w:p w14:paraId="6E67ECA3" w14:textId="770BBFA4" w:rsidR="00807241" w:rsidRPr="00807241" w:rsidRDefault="00807241" w:rsidP="00807241">
      <w:pPr>
        <w:pStyle w:val="ListParagrap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467D25" w14:paraId="7D466B8D" w14:textId="77777777" w:rsidTr="00467D25">
        <w:tc>
          <w:tcPr>
            <w:tcW w:w="3237" w:type="dxa"/>
          </w:tcPr>
          <w:p w14:paraId="4AA9B968" w14:textId="382517D0" w:rsidR="00467D25" w:rsidRDefault="00467D25" w:rsidP="0080724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Dates</w:t>
            </w:r>
          </w:p>
        </w:tc>
        <w:tc>
          <w:tcPr>
            <w:tcW w:w="3237" w:type="dxa"/>
          </w:tcPr>
          <w:p w14:paraId="6C3AB0C2" w14:textId="2A969299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>Δ Jump Volatility</w:t>
            </w:r>
          </w:p>
        </w:tc>
        <w:tc>
          <w:tcPr>
            <w:tcW w:w="3238" w:type="dxa"/>
          </w:tcPr>
          <w:p w14:paraId="229BE47C" w14:textId="25A5A6ED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>Δ Short-run Spillover</w:t>
            </w:r>
          </w:p>
        </w:tc>
        <w:tc>
          <w:tcPr>
            <w:tcW w:w="3238" w:type="dxa"/>
          </w:tcPr>
          <w:p w14:paraId="51993300" w14:textId="3B24B9CE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 xml:space="preserve">Δ </w:t>
            </w:r>
            <w:r>
              <w:rPr>
                <w:rFonts w:ascii="Times New Roman" w:hAnsi="Times New Roman" w:cs="Times New Roman"/>
              </w:rPr>
              <w:t>Long</w:t>
            </w:r>
            <w:r w:rsidRPr="00467D25">
              <w:rPr>
                <w:rFonts w:ascii="Times New Roman" w:hAnsi="Times New Roman" w:cs="Times New Roman"/>
              </w:rPr>
              <w:t>-run Spillover</w:t>
            </w:r>
          </w:p>
        </w:tc>
      </w:tr>
      <w:tr w:rsidR="00467D25" w14:paraId="642F2FDF" w14:textId="77777777" w:rsidTr="00467D25">
        <w:tc>
          <w:tcPr>
            <w:tcW w:w="3237" w:type="dxa"/>
          </w:tcPr>
          <w:p>
            <w:r/>
            <w:r>
              <w:rPr>
                <w:b w:val="0"/>
                <w:sz w:val="20"/>
              </w:rPr>
              <w:t>Aug 29, 2023 (Grayscale court ruling)</w:t>
            </w:r>
          </w:p>
        </w:tc>
        <w:tc>
          <w:tcPr>
            <w:tcW w:w="3237" w:type="dxa"/>
          </w:tcPr>
          <w:p>
            <w:r/>
            <w:r>
              <w:rPr>
                <w:b w:val="0"/>
                <w:sz w:val="18"/>
              </w:rPr>
              <w:t>BTC ΔJV = -0.000266*** (p = 0.0000); ETH ΔJV = -0.000656*** (p = 0.0000)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a12* = -0.1647* (p = 0.0519); a21* = -0.2440** (p = 0.0163)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g12* = +0.0445* (p = 0.0840); g21* = +0.0418 (p = 0.1052)</w:t>
            </w:r>
          </w:p>
        </w:tc>
      </w:tr>
      <w:tr w:rsidR="00467D25" w14:paraId="77EFCD27" w14:textId="77777777" w:rsidTr="00467D25">
        <w:tc>
          <w:tcPr>
            <w:tcW w:w="3237" w:type="dxa"/>
          </w:tcPr>
          <w:p>
            <w:r/>
            <w:r>
              <w:rPr>
                <w:b/>
                <w:sz w:val="20"/>
              </w:rPr>
              <w:t>Oct 23, 2023 (DTCC tweet / Grayscale closure — paper baseline)</w:t>
            </w:r>
          </w:p>
        </w:tc>
        <w:tc>
          <w:tcPr>
            <w:tcW w:w="3237" w:type="dxa"/>
          </w:tcPr>
          <w:p>
            <w:r/>
            <w:r>
              <w:rPr>
                <w:b/>
                <w:sz w:val="18"/>
              </w:rPr>
              <w:t>BTC ΔJV = -0.000247*** (p = 0.0000); ETH ΔJV = -0.000617*** (p = 0.0000)</w:t>
            </w:r>
          </w:p>
        </w:tc>
        <w:tc>
          <w:tcPr>
            <w:tcW w:w="3238" w:type="dxa"/>
          </w:tcPr>
          <w:p>
            <w:r/>
            <w:r>
              <w:rPr>
                <w:b/>
                <w:sz w:val="18"/>
              </w:rPr>
              <w:t>a12* = -0.2425** (p = 0.0469); a21* = -0.2988*** (p = 0.0064)</w:t>
            </w:r>
          </w:p>
        </w:tc>
        <w:tc>
          <w:tcPr>
            <w:tcW w:w="3238" w:type="dxa"/>
          </w:tcPr>
          <w:p>
            <w:r/>
            <w:r>
              <w:rPr>
                <w:b/>
                <w:sz w:val="18"/>
              </w:rPr>
              <w:t>g12* = +0.0573* (p = 0.0831); g21* = +0.0473* (p = 0.0552)</w:t>
            </w:r>
          </w:p>
        </w:tc>
      </w:tr>
      <w:tr w:rsidR="00467D25" w14:paraId="79CFAFF9" w14:textId="77777777" w:rsidTr="00467D25">
        <w:tc>
          <w:tcPr>
            <w:tcW w:w="3237" w:type="dxa"/>
          </w:tcPr>
          <w:p>
            <w:r/>
            <w:r>
              <w:rPr>
                <w:b w:val="0"/>
                <w:sz w:val="20"/>
              </w:rPr>
              <w:t>Jan 10, 2024 (SEC official approval)</w:t>
            </w:r>
          </w:p>
        </w:tc>
        <w:tc>
          <w:tcPr>
            <w:tcW w:w="3237" w:type="dxa"/>
          </w:tcPr>
          <w:p>
            <w:r/>
            <w:r>
              <w:rPr>
                <w:b w:val="0"/>
                <w:sz w:val="18"/>
              </w:rPr>
              <w:t>BTC ΔJV = -0.000219*** (p = 0.0000); ETH ΔJV = -0.000579*** (p = 0.0000)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a12* = -0.0673 (p = 0.4151); a21* = -0.2127** (p = 0.0110)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g12* = +0.0282 (p = 0.2082); g21* = +0.0372* (p = 0.0795)</w:t>
            </w:r>
          </w:p>
        </w:tc>
      </w:tr>
    </w:tbl>
    <w:p w14:paraId="303ABA52" w14:textId="1E263840" w:rsidR="00807241" w:rsidRPr="00807241" w:rsidRDefault="00807241" w:rsidP="00807241">
      <w:pPr>
        <w:rPr>
          <w:rFonts w:ascii="Times New Roman" w:hAnsi="Times New Roman" w:cs="Times New Roman"/>
        </w:rPr>
      </w:pPr>
    </w:p>
    <w:p>
      <w:r>
        <w:rPr>
          <w:color w:val="444444"/>
          <w:sz w:val="18"/>
        </w:rPr>
        <w:br/>
        <w:t>Method note: ΔJV is the change in mean daily jump-variation (JV = max(RV − CV, 0)) pre vs post break, with a Welch t-test p-value. a12*, a21*, g12*, g21* are the structural-break shift parameters in a BEKK(1,1) QMLE re-estimated independently at each break date, with Bollerslev–Wooldridge sandwich standard errors. Significance: * p &lt; 0.10, ** p &lt; 0.05, *** p &lt; 0.01. The bold row (Oct 23, 2023) is the paper's baseline. Pattern: at the baseline date all four spillover-shift parameters are signed as expected and three of four are individually significant; at Aug 29 and Jan 10 the signal weakens (notably a12* is insignificant on Jan 10), supporting the paper's choice of Oct 23 as the regime-change date.</w:t>
      </w:r>
    </w:p>
    <w:p>
      <w:r>
        <w:rPr>
          <w:color w:val="444444"/>
          <w:sz w:val="18"/>
        </w:rPr>
        <w:br/>
        <w:t>Method note: ΔJV is the change in mean daily jump-variation (JV = max(RV − CV, 0)) pre vs post break, with a Welch t-test p-value. a12*, a21*, g12*, g21* are the structural-break shift parameters in a BEKK(1,1) QMLE re-estimated independently at each break date, with Bollerslev–Wooldridge sandwich standard errors. Significance: * p &lt; 0.10, ** p &lt; 0.05, *** p &lt; 0.01. The bold row (Oct 23, 2023) is the paper's baseline. Pattern: at the baseline date all four spillover-shift parameters are signed as expected and three of four are individually significant; at Aug 29 and Jan 10 the signal weakens (notably a12* is insignificant on Jan 10), supporting the paper's choice of Oct 23 as the regime-change date.</w:t>
      </w:r>
    </w:p>
    <w:p>
      <w:r>
        <w:rPr>
          <w:color w:val="444444"/>
          <w:sz w:val="18"/>
        </w:rPr>
        <w:br/>
        <w:t>Method note: ΔJV is the change in mean daily jump-variation (JV = max(RV − CV, 0)) pre vs post break, with a Welch t-test p-value. a12*, a21*, g12*, g21* are the structural-break shift parameters in a BEKK(1,1) QMLE re-estimated independently at each break date, with Bollerslev–Wooldridge sandwich standard errors. Significance: * p &lt; 0.10, ** p &lt; 0.05, *** p &lt; 0.01. The bold row (Oct 23, 2023) is the paper's baseline. Pattern: at the baseline date all four spillover-shift parameters are signed as expected and three of four are individually significant; at Aug 29 and Jan 10 the signal weakens (notably a12* is insignificant on Jan 10), supporting the paper's choice of Oct 23 as the regime-change date.</w:t>
      </w:r>
    </w:p>
    <w:p>
      <w:r>
        <w:rPr>
          <w:color w:val="444444"/>
          <w:sz w:val="18"/>
        </w:rPr>
        <w:br/>
        <w:t>Method note: ΔJV is the change in mean daily jump-variation (JV = max(RV − CV, 0)) pre vs post break, with a Welch t-test p-value. a12*, a21*, g12*, g21* are the structural-break shift parameters in a BEKK(1,1) QMLE re-estimated independently at each break date, with Bollerslev–Wooldridge sandwich standard errors. Significance: * p &lt; 0.10, ** p &lt; 0.05, *** p &lt; 0.01. The bold row (Oct 23, 2023) is the paper's baseline. Pattern: at the baseline date all four spillover-shift parameters are signed as expected and three of four are individually significant; at Aug 29 and Jan 10 the signal weakens (notably a12* is insignificant on Jan 10), supporting the paper's choice of Oct 23 as the regime-change date.</w:t>
      </w:r>
    </w:p>
    <w:sectPr w:rsidR="00807241" w:rsidRPr="00807241" w:rsidSect="0080724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14361"/>
    <w:multiLevelType w:val="hybridMultilevel"/>
    <w:tmpl w:val="A01E1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A012F"/>
    <w:multiLevelType w:val="hybridMultilevel"/>
    <w:tmpl w:val="3D7E9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8910779">
    <w:abstractNumId w:val="1"/>
  </w:num>
  <w:num w:numId="2" w16cid:durableId="80639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241"/>
    <w:rsid w:val="000D7A80"/>
    <w:rsid w:val="00180C50"/>
    <w:rsid w:val="002F1AA9"/>
    <w:rsid w:val="0038562A"/>
    <w:rsid w:val="00467D25"/>
    <w:rsid w:val="006A14F4"/>
    <w:rsid w:val="00807241"/>
    <w:rsid w:val="00B23664"/>
    <w:rsid w:val="00B85593"/>
    <w:rsid w:val="00C24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5CBC5C"/>
  <w15:chartTrackingRefBased/>
  <w15:docId w15:val="{EC7B082C-5714-8F49-95F5-E567425CE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2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2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2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2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2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2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2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2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2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2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2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2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2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2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2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2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2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2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2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2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2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2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2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2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2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24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7241"/>
    <w:rPr>
      <w:color w:val="666666"/>
    </w:rPr>
  </w:style>
  <w:style w:type="table" w:styleId="TableGrid">
    <w:name w:val="Table Grid"/>
    <w:basedOn w:val="TableNormal"/>
    <w:uiPriority w:val="39"/>
    <w:rsid w:val="00467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60F22C-D876-934E-8D29-67EBEE170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96</Words>
  <Characters>562</Characters>
  <Application>Microsoft Office Word</Application>
  <DocSecurity>0</DocSecurity>
  <Lines>11</Lines>
  <Paragraphs>5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Jingrui Li</dc:creator>
  <cp:keywords/>
  <dc:description/>
  <cp:lastModifiedBy>Jingrui Li</cp:lastModifiedBy>
  <cp:revision>3</cp:revision>
  <dcterms:created xsi:type="dcterms:W3CDTF">2026-04-16T19:08:00Z</dcterms:created>
  <dcterms:modified xsi:type="dcterms:W3CDTF">2026-04-16T19:17:00Z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2026-04-16T19:12:16Z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c2a2fa22-d838-48b1-aaad-2b1301ed4dba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50, 3, 0, 1</vt:lpwstr>
  </property>
</Properties>
</file>