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39EBA" w14:textId="77777777" w:rsidR="00777B88" w:rsidRPr="00B432B8" w:rsidRDefault="00777B88" w:rsidP="00AA6ACF">
      <w:pPr>
        <w:jc w:val="both"/>
        <w:rPr>
          <w:b/>
          <w:bCs/>
          <w:color w:val="FF0000"/>
        </w:rPr>
      </w:pPr>
    </w:p>
    <w:p w14:paraId="5CCFE284" w14:textId="08CF2B89" w:rsidR="00777B88" w:rsidRPr="00B432B8" w:rsidRDefault="00777B88" w:rsidP="00AA6ACF">
      <w:pPr>
        <w:jc w:val="both"/>
        <w:rPr>
          <w:b/>
          <w:bCs/>
          <w:color w:val="000000" w:themeColor="text1"/>
        </w:rPr>
      </w:pPr>
      <w:r w:rsidRPr="00B432B8">
        <w:rPr>
          <w:b/>
          <w:bCs/>
          <w:color w:val="000000" w:themeColor="text1"/>
        </w:rPr>
        <w:t>Section A</w:t>
      </w:r>
    </w:p>
    <w:p w14:paraId="044BF895" w14:textId="71E44CD5" w:rsidR="00BD720D" w:rsidRPr="00B432B8" w:rsidRDefault="00984E0B" w:rsidP="00BD720D">
      <w:pPr>
        <w:jc w:val="both"/>
        <w:rPr>
          <w:color w:val="000000" w:themeColor="text1"/>
        </w:rPr>
      </w:pPr>
      <w:r w:rsidRPr="00B432B8">
        <w:rPr>
          <w:color w:val="000000" w:themeColor="text1"/>
        </w:rPr>
        <w:t xml:space="preserve">RNA sequencing is a </w:t>
      </w:r>
      <w:r w:rsidR="002E6CCF" w:rsidRPr="00B432B8">
        <w:rPr>
          <w:color w:val="000000" w:themeColor="text1"/>
        </w:rPr>
        <w:t xml:space="preserve">high-throughput </w:t>
      </w:r>
      <w:r w:rsidR="00B216F6" w:rsidRPr="00B432B8">
        <w:rPr>
          <w:color w:val="000000" w:themeColor="text1"/>
        </w:rPr>
        <w:t>next-generation</w:t>
      </w:r>
      <w:r w:rsidR="002E6CCF" w:rsidRPr="00B432B8">
        <w:rPr>
          <w:color w:val="000000" w:themeColor="text1"/>
        </w:rPr>
        <w:t xml:space="preserve"> sequencing technology</w:t>
      </w:r>
      <w:r w:rsidR="00B216F6" w:rsidRPr="00B432B8">
        <w:rPr>
          <w:color w:val="000000" w:themeColor="text1"/>
        </w:rPr>
        <w:t xml:space="preserve"> that provides a snapshot of the transcriptome by analysing the quantity and sequence of RNA molecules</w:t>
      </w:r>
      <w:r w:rsidR="002A6190" w:rsidRPr="00B432B8">
        <w:rPr>
          <w:color w:val="000000" w:themeColor="text1"/>
        </w:rPr>
        <w:t xml:space="preserve">. </w:t>
      </w:r>
      <w:r w:rsidR="00B216F6" w:rsidRPr="00B432B8">
        <w:rPr>
          <w:color w:val="000000" w:themeColor="text1"/>
        </w:rPr>
        <w:t>It enables researchers to collect quantitative and qualitative data. RNA-</w:t>
      </w:r>
      <w:proofErr w:type="spellStart"/>
      <w:r w:rsidR="00B216F6" w:rsidRPr="00B432B8">
        <w:rPr>
          <w:color w:val="000000" w:themeColor="text1"/>
        </w:rPr>
        <w:t>seq</w:t>
      </w:r>
      <w:proofErr w:type="spellEnd"/>
      <w:r w:rsidR="00BD6C90" w:rsidRPr="00B432B8">
        <w:rPr>
          <w:color w:val="000000" w:themeColor="text1"/>
        </w:rPr>
        <w:t xml:space="preserve"> involves several key steps</w:t>
      </w:r>
      <w:r w:rsidR="00A744E6" w:rsidRPr="00B432B8">
        <w:rPr>
          <w:color w:val="000000" w:themeColor="text1"/>
        </w:rPr>
        <w:t xml:space="preserve">: </w:t>
      </w:r>
      <w:r w:rsidR="00BD6C90" w:rsidRPr="00B432B8">
        <w:rPr>
          <w:color w:val="000000" w:themeColor="text1"/>
        </w:rPr>
        <w:t>consisting of the extraction of RNA,</w:t>
      </w:r>
      <w:r w:rsidR="000C0034" w:rsidRPr="00B432B8">
        <w:rPr>
          <w:color w:val="000000" w:themeColor="text1"/>
        </w:rPr>
        <w:t xml:space="preserve"> </w:t>
      </w:r>
      <w:r w:rsidR="00BD6C90" w:rsidRPr="00B432B8">
        <w:rPr>
          <w:color w:val="000000" w:themeColor="text1"/>
        </w:rPr>
        <w:t xml:space="preserve">conversion into cDNA, and subsequent preparation of the cDNA library with adapters. </w:t>
      </w:r>
      <w:r w:rsidR="000C0034" w:rsidRPr="00B432B8">
        <w:rPr>
          <w:color w:val="000000" w:themeColor="text1"/>
        </w:rPr>
        <w:t xml:space="preserve">It </w:t>
      </w:r>
      <w:r w:rsidRPr="00B432B8">
        <w:rPr>
          <w:color w:val="000000" w:themeColor="text1"/>
        </w:rPr>
        <w:t>holds ma</w:t>
      </w:r>
      <w:r w:rsidR="002A6190" w:rsidRPr="00B432B8">
        <w:rPr>
          <w:color w:val="000000" w:themeColor="text1"/>
        </w:rPr>
        <w:t xml:space="preserve">jor </w:t>
      </w:r>
      <w:r w:rsidRPr="00B432B8">
        <w:rPr>
          <w:color w:val="000000" w:themeColor="text1"/>
        </w:rPr>
        <w:t>advantages over other technologies</w:t>
      </w:r>
      <w:r w:rsidR="002A6190" w:rsidRPr="00B432B8">
        <w:rPr>
          <w:color w:val="000000" w:themeColor="text1"/>
        </w:rPr>
        <w:t xml:space="preserve">, like its ability to detect </w:t>
      </w:r>
      <w:r w:rsidR="000C0034" w:rsidRPr="00B432B8">
        <w:rPr>
          <w:color w:val="000000" w:themeColor="text1"/>
        </w:rPr>
        <w:t xml:space="preserve">novel </w:t>
      </w:r>
      <w:r w:rsidR="001A3EDE" w:rsidRPr="00B432B8">
        <w:rPr>
          <w:color w:val="000000" w:themeColor="text1"/>
        </w:rPr>
        <w:t>transcripts</w:t>
      </w:r>
      <w:r w:rsidR="000C0034" w:rsidRPr="00B432B8">
        <w:rPr>
          <w:color w:val="000000" w:themeColor="text1"/>
        </w:rPr>
        <w:t xml:space="preserve">, unannotated RNA and differences in gene expression that </w:t>
      </w:r>
      <w:r w:rsidR="00153092">
        <w:rPr>
          <w:color w:val="000000" w:themeColor="text1"/>
        </w:rPr>
        <w:t>explore</w:t>
      </w:r>
      <w:r w:rsidR="000C0034" w:rsidRPr="00B432B8">
        <w:rPr>
          <w:color w:val="000000" w:themeColor="text1"/>
        </w:rPr>
        <w:t xml:space="preserve"> cell-to-cell heterogeneity, elucidating the functional links between gene expression and diseases. A study a</w:t>
      </w:r>
      <w:r w:rsidR="00E32232" w:rsidRPr="00B432B8">
        <w:rPr>
          <w:color w:val="000000" w:themeColor="text1"/>
        </w:rPr>
        <w:t>imed to assess</w:t>
      </w:r>
      <w:r w:rsidR="002113ED" w:rsidRPr="00B432B8">
        <w:rPr>
          <w:color w:val="000000" w:themeColor="text1"/>
        </w:rPr>
        <w:t xml:space="preserve"> host transcriptome responses to SARS-CoV-2 </w:t>
      </w:r>
      <w:r w:rsidR="00E32232" w:rsidRPr="00B432B8">
        <w:rPr>
          <w:color w:val="000000" w:themeColor="text1"/>
        </w:rPr>
        <w:t>infection against other respiratory viruses, wherein the findings resulted in further understanding of SARS-CoV-2 pathogenesis to allow informed therapeutic research to be developed</w:t>
      </w:r>
      <w:r w:rsidR="00C3357A" w:rsidRPr="00B432B8">
        <w:rPr>
          <w:color w:val="000000" w:themeColor="text1"/>
        </w:rPr>
        <w:t xml:space="preserve"> </w:t>
      </w:r>
      <w:r w:rsidR="00C3357A" w:rsidRPr="00B432B8">
        <w:rPr>
          <w:color w:val="000000" w:themeColor="text1"/>
          <w:vertAlign w:val="superscript"/>
        </w:rPr>
        <w:t>(1)</w:t>
      </w:r>
      <w:r w:rsidR="00E32232" w:rsidRPr="00B432B8">
        <w:rPr>
          <w:color w:val="000000" w:themeColor="text1"/>
        </w:rPr>
        <w:t xml:space="preserve">. </w:t>
      </w:r>
    </w:p>
    <w:p w14:paraId="268B9BA8" w14:textId="77777777" w:rsidR="00BD720D" w:rsidRPr="00B432B8" w:rsidRDefault="00BD720D" w:rsidP="00BD720D">
      <w:pPr>
        <w:jc w:val="both"/>
        <w:rPr>
          <w:color w:val="000000" w:themeColor="text1"/>
        </w:rPr>
      </w:pPr>
    </w:p>
    <w:p w14:paraId="4257242A" w14:textId="2C624801" w:rsidR="00BD720D" w:rsidRPr="00B432B8" w:rsidRDefault="00BD720D" w:rsidP="00BD720D">
      <w:pPr>
        <w:jc w:val="both"/>
        <w:rPr>
          <w:color w:val="000000" w:themeColor="text1"/>
        </w:rPr>
      </w:pPr>
      <w:r w:rsidRPr="00B432B8">
        <w:rPr>
          <w:color w:val="000000" w:themeColor="text1"/>
        </w:rPr>
        <w:t>In order to ensure accurate and reproducible results, an effective RNA-</w:t>
      </w:r>
      <w:proofErr w:type="spellStart"/>
      <w:r w:rsidRPr="00B432B8">
        <w:rPr>
          <w:color w:val="000000" w:themeColor="text1"/>
        </w:rPr>
        <w:t>seq</w:t>
      </w:r>
      <w:proofErr w:type="spellEnd"/>
      <w:r w:rsidRPr="00B432B8">
        <w:rPr>
          <w:color w:val="000000" w:themeColor="text1"/>
        </w:rPr>
        <w:t xml:space="preserve"> experiment must include the necessary controls, replication, and minimised confounding variables.</w:t>
      </w:r>
      <w:r w:rsidRPr="00B432B8">
        <w:rPr>
          <w:rFonts w:ascii="Times New Roman" w:eastAsia="Times New Roman" w:hAnsi="Times New Roman" w:cs="Times New Roman"/>
          <w:lang w:eastAsia="en-GB"/>
        </w:rPr>
        <w:t xml:space="preserve"> </w:t>
      </w:r>
      <w:r w:rsidR="0019170F" w:rsidRPr="00F31A3F">
        <w:rPr>
          <w:rStyle w:val="Strong"/>
          <w:b w:val="0"/>
          <w:bCs w:val="0"/>
          <w:color w:val="000000"/>
        </w:rPr>
        <w:t>Uninfected (untreated) controls</w:t>
      </w:r>
      <w:r w:rsidR="0019170F" w:rsidRPr="00F31A3F">
        <w:rPr>
          <w:rStyle w:val="apple-converted-space"/>
          <w:color w:val="000000"/>
        </w:rPr>
        <w:t> </w:t>
      </w:r>
      <w:r w:rsidR="0019170F" w:rsidRPr="00F31A3F">
        <w:rPr>
          <w:color w:val="000000"/>
        </w:rPr>
        <w:t>establish the baseline, allowing observed transcriptional differences to be ascribed to infection or therapy rather than intrinsic variability.</w:t>
      </w:r>
      <w:r w:rsidR="0019170F" w:rsidRPr="00F31A3F">
        <w:rPr>
          <w:rStyle w:val="apple-converted-space"/>
          <w:color w:val="000000"/>
        </w:rPr>
        <w:t> </w:t>
      </w:r>
      <w:r w:rsidR="0019170F" w:rsidRPr="00F31A3F">
        <w:rPr>
          <w:rStyle w:val="Strong"/>
          <w:b w:val="0"/>
          <w:bCs w:val="0"/>
          <w:color w:val="000000"/>
        </w:rPr>
        <w:t>Mock-treated controls</w:t>
      </w:r>
      <w:r w:rsidR="0019170F" w:rsidRPr="00F31A3F">
        <w:rPr>
          <w:color w:val="000000"/>
        </w:rPr>
        <w:t>, which replicate all handling and vehicle exposure without the active agent, disentangle procedural and solvent effects from the experimental factor of interest</w:t>
      </w:r>
      <w:r w:rsidR="0019170F" w:rsidRPr="00F31A3F">
        <w:rPr>
          <w:color w:val="000000"/>
          <w:sz w:val="27"/>
          <w:szCs w:val="27"/>
        </w:rPr>
        <w:t>.</w:t>
      </w:r>
      <w:r w:rsidR="0019170F">
        <w:rPr>
          <w:rFonts w:ascii="-webkit-standard" w:hAnsi="-webkit-standard"/>
          <w:color w:val="000000"/>
          <w:sz w:val="27"/>
          <w:szCs w:val="27"/>
        </w:rPr>
        <w:t xml:space="preserve"> </w:t>
      </w:r>
      <w:r w:rsidR="0019170F">
        <w:rPr>
          <w:color w:val="000000" w:themeColor="text1"/>
        </w:rPr>
        <w:t>Additionally, replicates form the backbone of reliable RNA-</w:t>
      </w:r>
      <w:proofErr w:type="spellStart"/>
      <w:r w:rsidR="0019170F">
        <w:rPr>
          <w:color w:val="000000" w:themeColor="text1"/>
        </w:rPr>
        <w:t>seq</w:t>
      </w:r>
      <w:proofErr w:type="spellEnd"/>
      <w:r w:rsidR="0019170F">
        <w:rPr>
          <w:color w:val="000000" w:themeColor="text1"/>
        </w:rPr>
        <w:t xml:space="preserve"> studies with a major importance to specifically biological replicates</w:t>
      </w:r>
      <w:r w:rsidRPr="00B432B8">
        <w:rPr>
          <w:color w:val="000000" w:themeColor="text1"/>
        </w:rPr>
        <w:t>. Additionally, replicates form the backbone of reliable RNA-</w:t>
      </w:r>
      <w:proofErr w:type="spellStart"/>
      <w:r w:rsidRPr="00B432B8">
        <w:rPr>
          <w:color w:val="000000" w:themeColor="text1"/>
        </w:rPr>
        <w:t>seq</w:t>
      </w:r>
      <w:proofErr w:type="spellEnd"/>
      <w:r w:rsidRPr="00B432B8">
        <w:rPr>
          <w:color w:val="000000" w:themeColor="text1"/>
        </w:rPr>
        <w:t xml:space="preserve"> studies with </w:t>
      </w:r>
      <w:r w:rsidR="00DD45FD" w:rsidRPr="00B432B8">
        <w:rPr>
          <w:color w:val="000000" w:themeColor="text1"/>
        </w:rPr>
        <w:t>a major importance to specifically biological replicates. These are independent samples derived from different individuals or organisms for each experimental group, capturing probable natural variability. The generally accepted minimum number of biological replicates for RNA-</w:t>
      </w:r>
      <w:proofErr w:type="spellStart"/>
      <w:r w:rsidR="00DD45FD" w:rsidRPr="00B432B8">
        <w:rPr>
          <w:color w:val="000000" w:themeColor="text1"/>
        </w:rPr>
        <w:t>seq</w:t>
      </w:r>
      <w:proofErr w:type="spellEnd"/>
      <w:r w:rsidR="00DD45FD" w:rsidRPr="00B432B8">
        <w:rPr>
          <w:color w:val="000000" w:themeColor="text1"/>
        </w:rPr>
        <w:t xml:space="preserve"> is three, though four to six replicates are often recommended to increase statistical power, especially when detecting more subtle gene expression differences.</w:t>
      </w:r>
      <w:r w:rsidR="00DD45FD" w:rsidRPr="00B432B8">
        <w:rPr>
          <w:rFonts w:ascii="Segoe UI" w:hAnsi="Segoe UI" w:cs="Segoe UI"/>
          <w:spacing w:val="2"/>
        </w:rPr>
        <w:t xml:space="preserve"> </w:t>
      </w:r>
      <w:r w:rsidR="00DD45FD" w:rsidRPr="00B432B8">
        <w:rPr>
          <w:color w:val="000000" w:themeColor="text1"/>
        </w:rPr>
        <w:t>Technical replicates, in which multiple sequencing runs or library preparations from the same biological sample, assess the reproducibility of the technical workflow. Furthermore, sample quality plays</w:t>
      </w:r>
      <w:r w:rsidR="00020C1A" w:rsidRPr="00B432B8">
        <w:rPr>
          <w:color w:val="000000" w:themeColor="text1"/>
        </w:rPr>
        <w:t xml:space="preserve"> an important role in pre-processing of RNA, ideally where tools like </w:t>
      </w:r>
      <w:r w:rsidR="00153092">
        <w:rPr>
          <w:color w:val="000000" w:themeColor="text1"/>
        </w:rPr>
        <w:t>Bioanalyzer</w:t>
      </w:r>
      <w:r w:rsidR="00020C1A" w:rsidRPr="00B432B8">
        <w:rPr>
          <w:color w:val="000000" w:themeColor="text1"/>
        </w:rPr>
        <w:t xml:space="preserve"> are used to assess </w:t>
      </w:r>
      <w:r w:rsidR="00153092">
        <w:rPr>
          <w:color w:val="000000" w:themeColor="text1"/>
        </w:rPr>
        <w:t xml:space="preserve">the </w:t>
      </w:r>
      <w:r w:rsidR="00020C1A" w:rsidRPr="00B432B8">
        <w:rPr>
          <w:color w:val="000000" w:themeColor="text1"/>
        </w:rPr>
        <w:t xml:space="preserve">integrity of RNA via a RNA Integrity Number (RIN) </w:t>
      </w:r>
      <w:r w:rsidR="00C3357A" w:rsidRPr="00B432B8">
        <w:rPr>
          <w:color w:val="000000" w:themeColor="text1"/>
          <w:vertAlign w:val="superscript"/>
        </w:rPr>
        <w:t>(1)</w:t>
      </w:r>
      <w:r w:rsidR="00020C1A" w:rsidRPr="00B432B8">
        <w:rPr>
          <w:color w:val="000000" w:themeColor="text1"/>
        </w:rPr>
        <w:t xml:space="preserve">. Where high RIN values (≥7–8) indicate minimal degradation and </w:t>
      </w:r>
      <w:r w:rsidR="00020C1A" w:rsidRPr="00B432B8">
        <w:rPr>
          <w:color w:val="000000" w:themeColor="text1"/>
        </w:rPr>
        <w:lastRenderedPageBreak/>
        <w:t xml:space="preserve">are generally selected for downstream library preparation. </w:t>
      </w:r>
      <w:r w:rsidR="00DD45FD" w:rsidRPr="00B432B8">
        <w:rPr>
          <w:color w:val="000000" w:themeColor="text1"/>
        </w:rPr>
        <w:t>A combination of these replicates allows robust conclusions to be drawn from the RNA-</w:t>
      </w:r>
      <w:proofErr w:type="spellStart"/>
      <w:r w:rsidR="00DD45FD" w:rsidRPr="00B432B8">
        <w:rPr>
          <w:color w:val="000000" w:themeColor="text1"/>
        </w:rPr>
        <w:t>seq</w:t>
      </w:r>
      <w:proofErr w:type="spellEnd"/>
      <w:r w:rsidR="00DD45FD" w:rsidRPr="00B432B8">
        <w:rPr>
          <w:color w:val="000000" w:themeColor="text1"/>
        </w:rPr>
        <w:t xml:space="preserve"> data</w:t>
      </w:r>
      <w:r w:rsidR="00C3357A" w:rsidRPr="00B432B8">
        <w:rPr>
          <w:color w:val="000000" w:themeColor="text1"/>
        </w:rPr>
        <w:t xml:space="preserve"> </w:t>
      </w:r>
      <w:r w:rsidR="00C3357A" w:rsidRPr="00B432B8">
        <w:rPr>
          <w:vertAlign w:val="superscript"/>
        </w:rPr>
        <w:t>(3)</w:t>
      </w:r>
      <w:r w:rsidR="00DD45FD" w:rsidRPr="00B432B8">
        <w:rPr>
          <w:color w:val="000000" w:themeColor="text1"/>
        </w:rPr>
        <w:t xml:space="preserve">. </w:t>
      </w:r>
    </w:p>
    <w:p w14:paraId="6DE51A85" w14:textId="5BC906D7" w:rsidR="00020C1A" w:rsidRPr="00B432B8" w:rsidRDefault="00997DFF" w:rsidP="00BD720D">
      <w:pPr>
        <w:jc w:val="both"/>
        <w:rPr>
          <w:color w:val="000000" w:themeColor="text1"/>
        </w:rPr>
      </w:pPr>
      <w:r w:rsidRPr="00B432B8">
        <w:rPr>
          <w:color w:val="000000" w:themeColor="text1"/>
        </w:rPr>
        <w:t xml:space="preserve">Raw reads are subjected to quality control checks post sequencing to test for adaptor contamination, GC content, and base quality.  Programs are used to trim low-quality reads and adaptor sequences, and aligners such as HISAT2 are used to align cleaned reads to a reference genome or transcriptome. These aligners map reads to known gene characteristics while </w:t>
      </w:r>
      <w:r w:rsidR="00C302E1" w:rsidRPr="00B432B8">
        <w:rPr>
          <w:color w:val="000000" w:themeColor="text1"/>
        </w:rPr>
        <w:t>considering splice junctions</w:t>
      </w:r>
      <w:r w:rsidRPr="00B432B8">
        <w:rPr>
          <w:color w:val="000000" w:themeColor="text1"/>
        </w:rPr>
        <w:t>.</w:t>
      </w:r>
      <w:r w:rsidRPr="00B432B8">
        <w:t xml:space="preserve"> </w:t>
      </w:r>
      <w:r w:rsidRPr="00B432B8">
        <w:rPr>
          <w:color w:val="000000" w:themeColor="text1"/>
        </w:rPr>
        <w:t>A count matrix is generated by quantifying the aligned reads into gene-level counts, where each row denotes a gene.  Genes with extremely low read counts add noise and lower statistical power, so across all samples</w:t>
      </w:r>
      <w:r w:rsidR="00032761">
        <w:rPr>
          <w:color w:val="000000" w:themeColor="text1"/>
        </w:rPr>
        <w:t>,</w:t>
      </w:r>
      <w:r w:rsidRPr="00B432B8">
        <w:rPr>
          <w:color w:val="000000" w:themeColor="text1"/>
        </w:rPr>
        <w:t xml:space="preserve"> they are filtered out</w:t>
      </w:r>
      <w:r w:rsidR="00C302E1" w:rsidRPr="00B432B8">
        <w:rPr>
          <w:color w:val="000000" w:themeColor="text1"/>
        </w:rPr>
        <w:t xml:space="preserve">. </w:t>
      </w:r>
      <w:r w:rsidRPr="00B432B8">
        <w:rPr>
          <w:color w:val="000000" w:themeColor="text1"/>
        </w:rPr>
        <w:t>This carefully curated count data serves as the input for DESeq2's subsequent statistical analysis</w:t>
      </w:r>
      <w:r w:rsidR="00851613">
        <w:rPr>
          <w:color w:val="000000" w:themeColor="text1"/>
        </w:rPr>
        <w:t>,</w:t>
      </w:r>
      <w:r w:rsidR="006E43D7">
        <w:rPr>
          <w:color w:val="000000" w:themeColor="text1"/>
        </w:rPr>
        <w:t xml:space="preserve"> </w:t>
      </w:r>
      <w:r w:rsidR="00851613" w:rsidRPr="00851613">
        <w:rPr>
          <w:color w:val="000000" w:themeColor="text1"/>
        </w:rPr>
        <w:t>a widely used R package for RNA-</w:t>
      </w:r>
      <w:proofErr w:type="spellStart"/>
      <w:r w:rsidR="00851613" w:rsidRPr="00851613">
        <w:rPr>
          <w:color w:val="000000" w:themeColor="text1"/>
        </w:rPr>
        <w:t>seq</w:t>
      </w:r>
      <w:proofErr w:type="spellEnd"/>
      <w:r w:rsidR="00851613" w:rsidRPr="00851613">
        <w:rPr>
          <w:color w:val="000000" w:themeColor="text1"/>
        </w:rPr>
        <w:t xml:space="preserve"> differential expression. It performs </w:t>
      </w:r>
      <w:r w:rsidR="00032761">
        <w:rPr>
          <w:color w:val="000000" w:themeColor="text1"/>
        </w:rPr>
        <w:t>normalisation</w:t>
      </w:r>
      <w:r w:rsidR="00851613" w:rsidRPr="00851613">
        <w:rPr>
          <w:color w:val="000000" w:themeColor="text1"/>
        </w:rPr>
        <w:t>, models counts, and runs statistical tests to find genes that change between groups.</w:t>
      </w:r>
    </w:p>
    <w:p w14:paraId="287352A3" w14:textId="77777777" w:rsidR="00C302E1" w:rsidRPr="00B432B8" w:rsidRDefault="00C302E1" w:rsidP="00BD720D">
      <w:pPr>
        <w:jc w:val="both"/>
        <w:rPr>
          <w:color w:val="000000" w:themeColor="text1"/>
        </w:rPr>
      </w:pPr>
    </w:p>
    <w:p w14:paraId="12842B6B" w14:textId="61390125" w:rsidR="00C302E1" w:rsidRPr="00B432B8" w:rsidRDefault="00C302E1" w:rsidP="00BD720D">
      <w:pPr>
        <w:jc w:val="both"/>
        <w:rPr>
          <w:b/>
          <w:bCs/>
          <w:color w:val="000000" w:themeColor="text1"/>
        </w:rPr>
      </w:pPr>
      <w:r w:rsidRPr="00B432B8">
        <w:rPr>
          <w:b/>
          <w:bCs/>
          <w:color w:val="000000" w:themeColor="text1"/>
        </w:rPr>
        <w:t>Section B</w:t>
      </w:r>
    </w:p>
    <w:p w14:paraId="5B81796E" w14:textId="77777777" w:rsidR="00C302E1" w:rsidRPr="00B432B8" w:rsidRDefault="00C302E1" w:rsidP="00BD720D">
      <w:pPr>
        <w:jc w:val="both"/>
        <w:rPr>
          <w:color w:val="000000" w:themeColor="text1"/>
        </w:rPr>
      </w:pPr>
    </w:p>
    <w:p w14:paraId="7AEB4B3C" w14:textId="13B7863C" w:rsidR="00C302E1" w:rsidRPr="00B432B8" w:rsidRDefault="00C302E1" w:rsidP="00C302E1">
      <w:pPr>
        <w:jc w:val="both"/>
        <w:rPr>
          <w:color w:val="000000" w:themeColor="text1"/>
        </w:rPr>
      </w:pPr>
      <w:r w:rsidRPr="00B432B8">
        <w:rPr>
          <w:color w:val="000000" w:themeColor="text1"/>
        </w:rPr>
        <w:t xml:space="preserve">1.  Creating the dataset </w:t>
      </w:r>
    </w:p>
    <w:p w14:paraId="7408511D" w14:textId="77777777" w:rsidR="00C302E1" w:rsidRPr="00B432B8" w:rsidRDefault="00C302E1" w:rsidP="00C302E1">
      <w:pPr>
        <w:jc w:val="both"/>
        <w:rPr>
          <w:color w:val="000000" w:themeColor="text1"/>
        </w:rPr>
      </w:pPr>
      <w:r w:rsidRPr="00B432B8">
        <w:rPr>
          <w:color w:val="000000" w:themeColor="text1"/>
        </w:rPr>
        <w:t xml:space="preserve"># Create a reduced dataset containing only RSV and SARS-CoV-2 infections </w:t>
      </w:r>
    </w:p>
    <w:p w14:paraId="317BAE2A" w14:textId="77777777" w:rsidR="00C302E1" w:rsidRPr="00B432B8" w:rsidRDefault="00C302E1" w:rsidP="00C302E1">
      <w:pPr>
        <w:jc w:val="both"/>
        <w:rPr>
          <w:color w:val="000000" w:themeColor="text1"/>
        </w:rPr>
      </w:pPr>
    </w:p>
    <w:p w14:paraId="70D56117" w14:textId="77777777" w:rsidR="00C302E1" w:rsidRPr="00B432B8" w:rsidRDefault="00C302E1" w:rsidP="00C302E1">
      <w:pPr>
        <w:jc w:val="both"/>
        <w:rPr>
          <w:color w:val="000000" w:themeColor="text1"/>
        </w:rPr>
      </w:pPr>
      <w:r w:rsidRPr="00B432B8">
        <w:rPr>
          <w:color w:val="000000" w:themeColor="text1"/>
        </w:rPr>
        <w:t xml:space="preserve">dat3 &lt;- </w:t>
      </w:r>
      <w:proofErr w:type="spellStart"/>
      <w:r w:rsidRPr="00B432B8">
        <w:rPr>
          <w:color w:val="000000" w:themeColor="text1"/>
        </w:rPr>
        <w:t>as.matrix</w:t>
      </w:r>
      <w:proofErr w:type="spellEnd"/>
      <w:r w:rsidRPr="00B432B8">
        <w:rPr>
          <w:color w:val="000000" w:themeColor="text1"/>
        </w:rPr>
        <w:t>(</w:t>
      </w:r>
      <w:proofErr w:type="spellStart"/>
      <w:r w:rsidRPr="00B432B8">
        <w:rPr>
          <w:color w:val="000000" w:themeColor="text1"/>
        </w:rPr>
        <w:t>dat</w:t>
      </w:r>
      <w:proofErr w:type="spellEnd"/>
      <w:r w:rsidRPr="00B432B8">
        <w:rPr>
          <w:color w:val="000000" w:themeColor="text1"/>
        </w:rPr>
        <w:t xml:space="preserve">[,c(14:17, 22:27)]) </w:t>
      </w:r>
    </w:p>
    <w:p w14:paraId="44FA9568" w14:textId="77777777" w:rsidR="00C302E1" w:rsidRPr="00B432B8" w:rsidRDefault="00C302E1" w:rsidP="00C302E1">
      <w:pPr>
        <w:jc w:val="both"/>
        <w:rPr>
          <w:color w:val="000000" w:themeColor="text1"/>
        </w:rPr>
      </w:pPr>
      <w:proofErr w:type="spellStart"/>
      <w:r w:rsidRPr="00B432B8">
        <w:rPr>
          <w:color w:val="000000" w:themeColor="text1"/>
        </w:rPr>
        <w:t>rownames</w:t>
      </w:r>
      <w:proofErr w:type="spellEnd"/>
      <w:r w:rsidRPr="00B432B8">
        <w:rPr>
          <w:color w:val="000000" w:themeColor="text1"/>
        </w:rPr>
        <w:t xml:space="preserve">(dat3) &lt;- </w:t>
      </w:r>
      <w:proofErr w:type="spellStart"/>
      <w:r w:rsidRPr="00B432B8">
        <w:rPr>
          <w:color w:val="000000" w:themeColor="text1"/>
        </w:rPr>
        <w:t>dat$Gene</w:t>
      </w:r>
      <w:proofErr w:type="spellEnd"/>
      <w:r w:rsidRPr="00B432B8">
        <w:rPr>
          <w:color w:val="000000" w:themeColor="text1"/>
        </w:rPr>
        <w:t xml:space="preserve"> </w:t>
      </w:r>
    </w:p>
    <w:p w14:paraId="5C429FE7" w14:textId="77777777" w:rsidR="00C302E1" w:rsidRPr="00B432B8" w:rsidRDefault="00C302E1" w:rsidP="00C302E1">
      <w:pPr>
        <w:jc w:val="both"/>
        <w:rPr>
          <w:color w:val="000000" w:themeColor="text1"/>
        </w:rPr>
      </w:pPr>
    </w:p>
    <w:p w14:paraId="02FD5B0E" w14:textId="1CA7419B" w:rsidR="00C302E1" w:rsidRPr="00B432B8" w:rsidRDefault="00C302E1" w:rsidP="00C302E1">
      <w:pPr>
        <w:jc w:val="both"/>
        <w:rPr>
          <w:color w:val="000000" w:themeColor="text1"/>
        </w:rPr>
      </w:pPr>
      <w:r w:rsidRPr="00B432B8">
        <w:rPr>
          <w:color w:val="000000" w:themeColor="text1"/>
        </w:rPr>
        <w:t># Define sample conditions for metadata</w:t>
      </w:r>
    </w:p>
    <w:p w14:paraId="4C9ADE69" w14:textId="77777777" w:rsidR="00C302E1" w:rsidRPr="00B432B8" w:rsidRDefault="00C302E1" w:rsidP="00C302E1">
      <w:pPr>
        <w:jc w:val="both"/>
        <w:rPr>
          <w:color w:val="000000" w:themeColor="text1"/>
        </w:rPr>
      </w:pPr>
      <w:proofErr w:type="spellStart"/>
      <w:r w:rsidRPr="00B432B8">
        <w:rPr>
          <w:color w:val="000000" w:themeColor="text1"/>
        </w:rPr>
        <w:t>sample_table</w:t>
      </w:r>
      <w:proofErr w:type="spellEnd"/>
      <w:r w:rsidRPr="00B432B8">
        <w:rPr>
          <w:color w:val="000000" w:themeColor="text1"/>
        </w:rPr>
        <w:t xml:space="preserve"> &lt;- </w:t>
      </w:r>
      <w:proofErr w:type="spellStart"/>
      <w:r w:rsidRPr="00B432B8">
        <w:rPr>
          <w:color w:val="000000" w:themeColor="text1"/>
        </w:rPr>
        <w:t>data.frame</w:t>
      </w:r>
      <w:proofErr w:type="spellEnd"/>
      <w:r w:rsidRPr="00B432B8">
        <w:rPr>
          <w:color w:val="000000" w:themeColor="text1"/>
        </w:rPr>
        <w:t>(</w:t>
      </w:r>
      <w:proofErr w:type="spellStart"/>
      <w:r w:rsidRPr="00B432B8">
        <w:rPr>
          <w:color w:val="000000" w:themeColor="text1"/>
        </w:rPr>
        <w:t>sample_id</w:t>
      </w:r>
      <w:proofErr w:type="spellEnd"/>
      <w:r w:rsidRPr="00B432B8">
        <w:rPr>
          <w:color w:val="000000" w:themeColor="text1"/>
        </w:rPr>
        <w:t>=</w:t>
      </w:r>
      <w:proofErr w:type="spellStart"/>
      <w:r w:rsidRPr="00B432B8">
        <w:rPr>
          <w:color w:val="000000" w:themeColor="text1"/>
        </w:rPr>
        <w:t>colnames</w:t>
      </w:r>
      <w:proofErr w:type="spellEnd"/>
      <w:r w:rsidRPr="00B432B8">
        <w:rPr>
          <w:color w:val="000000" w:themeColor="text1"/>
        </w:rPr>
        <w:t xml:space="preserve">(dat3), </w:t>
      </w:r>
    </w:p>
    <w:p w14:paraId="6C533012" w14:textId="77777777" w:rsidR="00C302E1" w:rsidRPr="00B432B8" w:rsidRDefault="00C302E1" w:rsidP="00C302E1">
      <w:pPr>
        <w:jc w:val="both"/>
        <w:rPr>
          <w:color w:val="000000" w:themeColor="text1"/>
        </w:rPr>
      </w:pPr>
      <w:r w:rsidRPr="00B432B8">
        <w:rPr>
          <w:color w:val="000000" w:themeColor="text1"/>
        </w:rPr>
        <w:t xml:space="preserve">                           condition=c('</w:t>
      </w:r>
      <w:proofErr w:type="spellStart"/>
      <w:r w:rsidRPr="00B432B8">
        <w:rPr>
          <w:color w:val="000000" w:themeColor="text1"/>
        </w:rPr>
        <w:t>Mock_RSV','Mock_RSV','RSV','RSV</w:t>
      </w:r>
      <w:proofErr w:type="spellEnd"/>
      <w:r w:rsidRPr="00B432B8">
        <w:rPr>
          <w:color w:val="000000" w:themeColor="text1"/>
        </w:rPr>
        <w:t>',</w:t>
      </w:r>
    </w:p>
    <w:p w14:paraId="4E680FC9" w14:textId="77777777" w:rsidR="00C302E1" w:rsidRPr="00B432B8" w:rsidRDefault="00C302E1" w:rsidP="00C302E1">
      <w:pPr>
        <w:jc w:val="both"/>
        <w:rPr>
          <w:color w:val="000000" w:themeColor="text1"/>
        </w:rPr>
      </w:pPr>
      <w:r w:rsidRPr="00B432B8">
        <w:rPr>
          <w:color w:val="000000" w:themeColor="text1"/>
        </w:rPr>
        <w:t xml:space="preserve">                                       'Mock_Covid','Mock_Covid','</w:t>
      </w:r>
      <w:proofErr w:type="spellStart"/>
      <w:r w:rsidRPr="00B432B8">
        <w:rPr>
          <w:color w:val="000000" w:themeColor="text1"/>
        </w:rPr>
        <w:t>Mock_Covid</w:t>
      </w:r>
      <w:proofErr w:type="spellEnd"/>
      <w:r w:rsidRPr="00B432B8">
        <w:rPr>
          <w:color w:val="000000" w:themeColor="text1"/>
        </w:rPr>
        <w:t>',</w:t>
      </w:r>
    </w:p>
    <w:p w14:paraId="09326591" w14:textId="77777777" w:rsidR="00C302E1" w:rsidRPr="00B432B8" w:rsidRDefault="00C302E1" w:rsidP="00C302E1">
      <w:pPr>
        <w:jc w:val="both"/>
        <w:rPr>
          <w:color w:val="000000" w:themeColor="text1"/>
        </w:rPr>
      </w:pPr>
      <w:r w:rsidRPr="00B432B8">
        <w:rPr>
          <w:color w:val="000000" w:themeColor="text1"/>
        </w:rPr>
        <w:t xml:space="preserve">                                       '</w:t>
      </w:r>
      <w:proofErr w:type="spellStart"/>
      <w:r w:rsidRPr="00B432B8">
        <w:rPr>
          <w:color w:val="000000" w:themeColor="text1"/>
        </w:rPr>
        <w:t>Covid','Covid','Covid</w:t>
      </w:r>
      <w:proofErr w:type="spellEnd"/>
      <w:r w:rsidRPr="00B432B8">
        <w:rPr>
          <w:color w:val="000000" w:themeColor="text1"/>
        </w:rPr>
        <w:t>'))</w:t>
      </w:r>
    </w:p>
    <w:p w14:paraId="6D6F3374" w14:textId="77777777" w:rsidR="00C302E1" w:rsidRPr="00B432B8" w:rsidRDefault="00C302E1" w:rsidP="00C302E1">
      <w:pPr>
        <w:jc w:val="both"/>
        <w:rPr>
          <w:color w:val="000000" w:themeColor="text1"/>
        </w:rPr>
      </w:pPr>
    </w:p>
    <w:p w14:paraId="5E15E9CA" w14:textId="77777777" w:rsidR="00C302E1" w:rsidRPr="00B432B8" w:rsidRDefault="00C302E1" w:rsidP="00C302E1">
      <w:pPr>
        <w:jc w:val="both"/>
        <w:rPr>
          <w:color w:val="000000" w:themeColor="text1"/>
        </w:rPr>
      </w:pPr>
      <w:r w:rsidRPr="00B432B8">
        <w:rPr>
          <w:color w:val="000000" w:themeColor="text1"/>
        </w:rPr>
        <w:t># Construct a DESeq2 dataset from the count matrix and metadata</w:t>
      </w:r>
    </w:p>
    <w:p w14:paraId="09B6E5F1" w14:textId="77777777" w:rsidR="00C302E1" w:rsidRPr="00B432B8" w:rsidRDefault="00C302E1" w:rsidP="00C302E1">
      <w:pPr>
        <w:jc w:val="both"/>
        <w:rPr>
          <w:color w:val="000000" w:themeColor="text1"/>
        </w:rPr>
      </w:pPr>
      <w:r w:rsidRPr="00B432B8">
        <w:rPr>
          <w:color w:val="000000" w:themeColor="text1"/>
        </w:rPr>
        <w:t xml:space="preserve">dds3 &lt;- </w:t>
      </w:r>
      <w:proofErr w:type="spellStart"/>
      <w:r w:rsidRPr="00B432B8">
        <w:rPr>
          <w:color w:val="000000" w:themeColor="text1"/>
        </w:rPr>
        <w:t>DESeqDataSetFromMatrix</w:t>
      </w:r>
      <w:proofErr w:type="spellEnd"/>
      <w:r w:rsidRPr="00B432B8">
        <w:rPr>
          <w:color w:val="000000" w:themeColor="text1"/>
        </w:rPr>
        <w:t xml:space="preserve">(dat3, </w:t>
      </w:r>
      <w:proofErr w:type="spellStart"/>
      <w:r w:rsidRPr="00B432B8">
        <w:rPr>
          <w:color w:val="000000" w:themeColor="text1"/>
        </w:rPr>
        <w:t>colData</w:t>
      </w:r>
      <w:proofErr w:type="spellEnd"/>
      <w:r w:rsidRPr="00B432B8">
        <w:rPr>
          <w:color w:val="000000" w:themeColor="text1"/>
        </w:rPr>
        <w:t>=</w:t>
      </w:r>
      <w:proofErr w:type="spellStart"/>
      <w:r w:rsidRPr="00B432B8">
        <w:rPr>
          <w:color w:val="000000" w:themeColor="text1"/>
        </w:rPr>
        <w:t>sample_table</w:t>
      </w:r>
      <w:proofErr w:type="spellEnd"/>
      <w:r w:rsidRPr="00B432B8">
        <w:rPr>
          <w:color w:val="000000" w:themeColor="text1"/>
        </w:rPr>
        <w:t>, design=~condition)</w:t>
      </w:r>
    </w:p>
    <w:p w14:paraId="7971C224" w14:textId="48A0162F" w:rsidR="00C302E1" w:rsidRPr="00B432B8" w:rsidRDefault="00C302E1" w:rsidP="00C302E1">
      <w:pPr>
        <w:jc w:val="both"/>
        <w:rPr>
          <w:color w:val="000000" w:themeColor="text1"/>
        </w:rPr>
      </w:pPr>
      <w:r w:rsidRPr="00B432B8">
        <w:rPr>
          <w:color w:val="000000" w:themeColor="text1"/>
        </w:rPr>
        <w:t xml:space="preserve">dds3 &lt;- </w:t>
      </w:r>
      <w:proofErr w:type="spellStart"/>
      <w:r w:rsidRPr="00B432B8">
        <w:rPr>
          <w:color w:val="000000" w:themeColor="text1"/>
        </w:rPr>
        <w:t>DESeq</w:t>
      </w:r>
      <w:proofErr w:type="spellEnd"/>
      <w:r w:rsidRPr="00B432B8">
        <w:rPr>
          <w:color w:val="000000" w:themeColor="text1"/>
        </w:rPr>
        <w:t>(dds3)</w:t>
      </w:r>
    </w:p>
    <w:p w14:paraId="4763E2CD" w14:textId="77777777" w:rsidR="00CD52C5" w:rsidRPr="00B432B8" w:rsidRDefault="00CD52C5" w:rsidP="00C302E1">
      <w:pPr>
        <w:jc w:val="both"/>
        <w:rPr>
          <w:color w:val="000000" w:themeColor="text1"/>
        </w:rPr>
      </w:pPr>
    </w:p>
    <w:p w14:paraId="2FE74C4C" w14:textId="77777777" w:rsidR="00CD52C5" w:rsidRPr="00B432B8" w:rsidRDefault="00CD52C5" w:rsidP="00CD52C5">
      <w:pPr>
        <w:jc w:val="both"/>
        <w:rPr>
          <w:color w:val="000000" w:themeColor="text1"/>
        </w:rPr>
      </w:pPr>
      <w:r w:rsidRPr="00B432B8">
        <w:rPr>
          <w:color w:val="000000" w:themeColor="text1"/>
        </w:rPr>
        <w:lastRenderedPageBreak/>
        <w:t>Only RSV and SARS-CoV-2 infections with corresponding controls were included in the dataset. A DESeq2 dataset object (dds3) was produced and processed to allow for downstream differential expression analysis, and a metadata table was made to define sample conditions.</w:t>
      </w:r>
    </w:p>
    <w:p w14:paraId="1B2D0F8C" w14:textId="24133128" w:rsidR="00BD720D" w:rsidRPr="00B432B8" w:rsidRDefault="00BD720D" w:rsidP="00BD720D">
      <w:pPr>
        <w:jc w:val="both"/>
        <w:rPr>
          <w:color w:val="000000" w:themeColor="text1"/>
        </w:rPr>
      </w:pPr>
    </w:p>
    <w:p w14:paraId="10E7574C" w14:textId="196CF6F2" w:rsidR="00E32232" w:rsidRPr="00B432B8" w:rsidRDefault="00CD52C5" w:rsidP="00AA6ACF">
      <w:pPr>
        <w:jc w:val="both"/>
        <w:rPr>
          <w:color w:val="000000" w:themeColor="text1"/>
        </w:rPr>
      </w:pPr>
      <w:r w:rsidRPr="00B432B8">
        <w:rPr>
          <w:color w:val="000000" w:themeColor="text1"/>
        </w:rPr>
        <w:t>2. Volcano plots</w:t>
      </w:r>
    </w:p>
    <w:p w14:paraId="69EFDC65" w14:textId="14EF16C0" w:rsidR="00CD52C5" w:rsidRPr="00B432B8" w:rsidRDefault="00CD52C5" w:rsidP="00CD52C5">
      <w:pPr>
        <w:jc w:val="both"/>
        <w:rPr>
          <w:color w:val="000000" w:themeColor="text1"/>
        </w:rPr>
      </w:pPr>
      <w:r w:rsidRPr="00B432B8">
        <w:rPr>
          <w:color w:val="000000" w:themeColor="text1"/>
        </w:rPr>
        <w:t># Results for RSV vs mock control</w:t>
      </w:r>
    </w:p>
    <w:p w14:paraId="31E70441" w14:textId="77777777" w:rsidR="00CD52C5" w:rsidRPr="00B432B8" w:rsidRDefault="00CD52C5" w:rsidP="00CD52C5">
      <w:pPr>
        <w:jc w:val="both"/>
        <w:rPr>
          <w:color w:val="000000" w:themeColor="text1"/>
        </w:rPr>
      </w:pPr>
      <w:proofErr w:type="spellStart"/>
      <w:r w:rsidRPr="00B432B8">
        <w:rPr>
          <w:color w:val="000000" w:themeColor="text1"/>
        </w:rPr>
        <w:t>rsv_results</w:t>
      </w:r>
      <w:proofErr w:type="spellEnd"/>
      <w:r w:rsidRPr="00B432B8">
        <w:rPr>
          <w:color w:val="000000" w:themeColor="text1"/>
        </w:rPr>
        <w:t xml:space="preserve"> &lt;- results(dds3, contrast=c('condition','RSV','</w:t>
      </w:r>
      <w:proofErr w:type="spellStart"/>
      <w:r w:rsidRPr="00B432B8">
        <w:rPr>
          <w:color w:val="000000" w:themeColor="text1"/>
        </w:rPr>
        <w:t>Mock_RSV</w:t>
      </w:r>
      <w:proofErr w:type="spellEnd"/>
      <w:r w:rsidRPr="00B432B8">
        <w:rPr>
          <w:color w:val="000000" w:themeColor="text1"/>
        </w:rPr>
        <w:t>'))</w:t>
      </w:r>
    </w:p>
    <w:p w14:paraId="069B0B3B" w14:textId="77777777" w:rsidR="00CD52C5" w:rsidRPr="00B432B8" w:rsidRDefault="00CD52C5" w:rsidP="00CD52C5">
      <w:pPr>
        <w:jc w:val="both"/>
        <w:rPr>
          <w:color w:val="000000" w:themeColor="text1"/>
        </w:rPr>
      </w:pPr>
    </w:p>
    <w:p w14:paraId="050A9334" w14:textId="3236416A" w:rsidR="00CD52C5" w:rsidRPr="00B432B8" w:rsidRDefault="00CD52C5" w:rsidP="00CD52C5">
      <w:pPr>
        <w:jc w:val="both"/>
        <w:rPr>
          <w:color w:val="000000" w:themeColor="text1"/>
        </w:rPr>
      </w:pPr>
      <w:r w:rsidRPr="00B432B8">
        <w:rPr>
          <w:color w:val="000000" w:themeColor="text1"/>
        </w:rPr>
        <w:t># Results for SARS-CoV-2 vs mock control</w:t>
      </w:r>
    </w:p>
    <w:p w14:paraId="01BDF149" w14:textId="77777777" w:rsidR="00CD52C5" w:rsidRPr="00B432B8" w:rsidRDefault="00CD52C5" w:rsidP="00CD52C5">
      <w:pPr>
        <w:jc w:val="both"/>
        <w:rPr>
          <w:color w:val="000000" w:themeColor="text1"/>
        </w:rPr>
      </w:pPr>
      <w:proofErr w:type="spellStart"/>
      <w:r w:rsidRPr="00B432B8">
        <w:rPr>
          <w:color w:val="000000" w:themeColor="text1"/>
        </w:rPr>
        <w:t>covid_results</w:t>
      </w:r>
      <w:proofErr w:type="spellEnd"/>
      <w:r w:rsidRPr="00B432B8">
        <w:rPr>
          <w:color w:val="000000" w:themeColor="text1"/>
        </w:rPr>
        <w:t xml:space="preserve"> &lt;- results(dds3, contrast=c('condition','Covid','</w:t>
      </w:r>
      <w:proofErr w:type="spellStart"/>
      <w:r w:rsidRPr="00B432B8">
        <w:rPr>
          <w:color w:val="000000" w:themeColor="text1"/>
        </w:rPr>
        <w:t>Mock_Covid</w:t>
      </w:r>
      <w:proofErr w:type="spellEnd"/>
      <w:r w:rsidRPr="00B432B8">
        <w:rPr>
          <w:color w:val="000000" w:themeColor="text1"/>
        </w:rPr>
        <w:t>'))</w:t>
      </w:r>
    </w:p>
    <w:p w14:paraId="6EDE2441" w14:textId="77777777" w:rsidR="00CD52C5" w:rsidRPr="00B432B8" w:rsidRDefault="00CD52C5" w:rsidP="00CD52C5">
      <w:pPr>
        <w:jc w:val="both"/>
        <w:rPr>
          <w:color w:val="000000" w:themeColor="text1"/>
        </w:rPr>
      </w:pPr>
    </w:p>
    <w:p w14:paraId="5B21CE4C" w14:textId="6678596B" w:rsidR="00CD52C5" w:rsidRPr="00B432B8" w:rsidRDefault="00CD52C5" w:rsidP="00CD52C5">
      <w:pPr>
        <w:jc w:val="both"/>
        <w:rPr>
          <w:color w:val="000000" w:themeColor="text1"/>
        </w:rPr>
      </w:pPr>
      <w:r w:rsidRPr="00B432B8">
        <w:rPr>
          <w:color w:val="000000" w:themeColor="text1"/>
        </w:rPr>
        <w:t xml:space="preserve"># Define significance thresholds </w:t>
      </w:r>
    </w:p>
    <w:p w14:paraId="3AF40DC1" w14:textId="77777777" w:rsidR="00CD52C5" w:rsidRPr="00B432B8" w:rsidRDefault="00CD52C5" w:rsidP="00CD52C5">
      <w:pPr>
        <w:jc w:val="both"/>
        <w:rPr>
          <w:color w:val="000000" w:themeColor="text1"/>
        </w:rPr>
      </w:pPr>
      <w:r w:rsidRPr="00B432B8">
        <w:rPr>
          <w:color w:val="000000" w:themeColor="text1"/>
        </w:rPr>
        <w:t xml:space="preserve">cols &lt;- </w:t>
      </w:r>
      <w:proofErr w:type="spellStart"/>
      <w:r w:rsidRPr="00B432B8">
        <w:rPr>
          <w:color w:val="000000" w:themeColor="text1"/>
        </w:rPr>
        <w:t>ifelse</w:t>
      </w:r>
      <w:proofErr w:type="spellEnd"/>
      <w:r w:rsidRPr="00B432B8">
        <w:rPr>
          <w:color w:val="000000" w:themeColor="text1"/>
        </w:rPr>
        <w:t>(</w:t>
      </w:r>
      <w:proofErr w:type="spellStart"/>
      <w:r w:rsidRPr="00B432B8">
        <w:rPr>
          <w:color w:val="000000" w:themeColor="text1"/>
        </w:rPr>
        <w:t>rsv_results$padj</w:t>
      </w:r>
      <w:proofErr w:type="spellEnd"/>
      <w:r w:rsidRPr="00B432B8">
        <w:rPr>
          <w:color w:val="000000" w:themeColor="text1"/>
        </w:rPr>
        <w:t xml:space="preserve"> &lt;= </w:t>
      </w:r>
      <w:r w:rsidRPr="00B432B8">
        <w:rPr>
          <w:color w:val="000000" w:themeColor="text1"/>
          <w:highlight w:val="yellow"/>
        </w:rPr>
        <w:t>0.05</w:t>
      </w:r>
      <w:r w:rsidRPr="00B432B8">
        <w:rPr>
          <w:color w:val="000000" w:themeColor="text1"/>
        </w:rPr>
        <w:t xml:space="preserve"> &amp; abs(rsv_results$log2FoldChange) &gt;= </w:t>
      </w:r>
      <w:r w:rsidRPr="00B432B8">
        <w:rPr>
          <w:color w:val="000000" w:themeColor="text1"/>
          <w:highlight w:val="yellow"/>
        </w:rPr>
        <w:t>1</w:t>
      </w:r>
      <w:r w:rsidRPr="00B432B8">
        <w:rPr>
          <w:color w:val="000000" w:themeColor="text1"/>
        </w:rPr>
        <w:t>, "red", "black")</w:t>
      </w:r>
    </w:p>
    <w:p w14:paraId="3FC07E47" w14:textId="77777777" w:rsidR="00CD52C5" w:rsidRPr="00B432B8" w:rsidRDefault="00CD52C5" w:rsidP="00CD52C5">
      <w:pPr>
        <w:jc w:val="both"/>
        <w:rPr>
          <w:color w:val="000000" w:themeColor="text1"/>
        </w:rPr>
      </w:pPr>
    </w:p>
    <w:p w14:paraId="56B9497A" w14:textId="2AD54E8F" w:rsidR="00CD52C5" w:rsidRPr="00B432B8" w:rsidRDefault="00CD52C5" w:rsidP="00CD52C5">
      <w:pPr>
        <w:jc w:val="both"/>
        <w:rPr>
          <w:color w:val="000000" w:themeColor="text1"/>
        </w:rPr>
      </w:pPr>
      <w:r w:rsidRPr="00B432B8">
        <w:rPr>
          <w:color w:val="000000" w:themeColor="text1"/>
        </w:rPr>
        <w:t># Plot volcano plot for RSV</w:t>
      </w:r>
    </w:p>
    <w:p w14:paraId="1D44A570" w14:textId="77777777" w:rsidR="00CD52C5" w:rsidRPr="00B432B8" w:rsidRDefault="00CD52C5" w:rsidP="00CD52C5">
      <w:pPr>
        <w:jc w:val="both"/>
        <w:rPr>
          <w:color w:val="000000" w:themeColor="text1"/>
        </w:rPr>
      </w:pPr>
      <w:r w:rsidRPr="00B432B8">
        <w:rPr>
          <w:color w:val="000000" w:themeColor="text1"/>
        </w:rPr>
        <w:t>plot(rsv_results$log2FoldChange, -log10(</w:t>
      </w:r>
      <w:proofErr w:type="spellStart"/>
      <w:r w:rsidRPr="00B432B8">
        <w:rPr>
          <w:color w:val="000000" w:themeColor="text1"/>
        </w:rPr>
        <w:t>rsv_results$padj</w:t>
      </w:r>
      <w:proofErr w:type="spellEnd"/>
      <w:r w:rsidRPr="00B432B8">
        <w:rPr>
          <w:color w:val="000000" w:themeColor="text1"/>
        </w:rPr>
        <w:t>),</w:t>
      </w:r>
    </w:p>
    <w:p w14:paraId="6D8B848A" w14:textId="77777777" w:rsidR="00CD52C5" w:rsidRPr="00B432B8" w:rsidRDefault="00CD52C5" w:rsidP="00CD52C5">
      <w:pPr>
        <w:jc w:val="both"/>
        <w:rPr>
          <w:color w:val="000000" w:themeColor="text1"/>
        </w:rPr>
      </w:pPr>
      <w:r w:rsidRPr="00B432B8">
        <w:rPr>
          <w:color w:val="000000" w:themeColor="text1"/>
        </w:rPr>
        <w:t xml:space="preserve">     col=cols, </w:t>
      </w:r>
      <w:proofErr w:type="spellStart"/>
      <w:r w:rsidRPr="00B432B8">
        <w:rPr>
          <w:color w:val="000000" w:themeColor="text1"/>
        </w:rPr>
        <w:t>pch</w:t>
      </w:r>
      <w:proofErr w:type="spellEnd"/>
      <w:r w:rsidRPr="00B432B8">
        <w:rPr>
          <w:color w:val="000000" w:themeColor="text1"/>
        </w:rPr>
        <w:t>=</w:t>
      </w:r>
      <w:r w:rsidRPr="00B432B8">
        <w:rPr>
          <w:color w:val="000000" w:themeColor="text1"/>
          <w:highlight w:val="yellow"/>
        </w:rPr>
        <w:t>16</w:t>
      </w:r>
      <w:r w:rsidRPr="00B432B8">
        <w:rPr>
          <w:color w:val="000000" w:themeColor="text1"/>
        </w:rPr>
        <w:t>,</w:t>
      </w:r>
    </w:p>
    <w:p w14:paraId="1C688D95" w14:textId="77777777" w:rsidR="00CD52C5" w:rsidRPr="00B432B8" w:rsidRDefault="00CD52C5" w:rsidP="00CD52C5">
      <w:pPr>
        <w:jc w:val="both"/>
        <w:rPr>
          <w:color w:val="000000" w:themeColor="text1"/>
        </w:rPr>
      </w:pPr>
      <w:r w:rsidRPr="00B432B8">
        <w:rPr>
          <w:color w:val="000000" w:themeColor="text1"/>
        </w:rPr>
        <w:t xml:space="preserve">     </w:t>
      </w:r>
      <w:proofErr w:type="spellStart"/>
      <w:r w:rsidRPr="00B432B8">
        <w:rPr>
          <w:color w:val="000000" w:themeColor="text1"/>
        </w:rPr>
        <w:t>xlab</w:t>
      </w:r>
      <w:proofErr w:type="spellEnd"/>
      <w:r w:rsidRPr="00B432B8">
        <w:rPr>
          <w:color w:val="000000" w:themeColor="text1"/>
        </w:rPr>
        <w:t xml:space="preserve">="Log2 Fold Change", </w:t>
      </w:r>
      <w:proofErr w:type="spellStart"/>
      <w:r w:rsidRPr="00B432B8">
        <w:rPr>
          <w:color w:val="000000" w:themeColor="text1"/>
        </w:rPr>
        <w:t>ylab</w:t>
      </w:r>
      <w:proofErr w:type="spellEnd"/>
      <w:r w:rsidRPr="00B432B8">
        <w:rPr>
          <w:color w:val="000000" w:themeColor="text1"/>
        </w:rPr>
        <w:t>="-Log10 adjusted p-value",</w:t>
      </w:r>
    </w:p>
    <w:p w14:paraId="720C52E2" w14:textId="77777777" w:rsidR="00CD52C5" w:rsidRPr="00B432B8" w:rsidRDefault="00CD52C5" w:rsidP="00CD52C5">
      <w:pPr>
        <w:jc w:val="both"/>
        <w:rPr>
          <w:color w:val="000000" w:themeColor="text1"/>
        </w:rPr>
      </w:pPr>
      <w:r w:rsidRPr="00B432B8">
        <w:rPr>
          <w:color w:val="000000" w:themeColor="text1"/>
        </w:rPr>
        <w:t xml:space="preserve">     main="RSV vs Mock Volcano Plot")</w:t>
      </w:r>
    </w:p>
    <w:p w14:paraId="5DD4AC6C" w14:textId="77777777" w:rsidR="00CD52C5" w:rsidRPr="00B432B8" w:rsidRDefault="00CD52C5" w:rsidP="00CD52C5">
      <w:pPr>
        <w:jc w:val="both"/>
        <w:rPr>
          <w:color w:val="000000" w:themeColor="text1"/>
        </w:rPr>
      </w:pPr>
      <w:proofErr w:type="spellStart"/>
      <w:r w:rsidRPr="00B432B8">
        <w:rPr>
          <w:color w:val="000000" w:themeColor="text1"/>
        </w:rPr>
        <w:t>abline</w:t>
      </w:r>
      <w:proofErr w:type="spellEnd"/>
      <w:r w:rsidRPr="00B432B8">
        <w:rPr>
          <w:color w:val="000000" w:themeColor="text1"/>
        </w:rPr>
        <w:t>(h=-log10(</w:t>
      </w:r>
      <w:r w:rsidRPr="00B432B8">
        <w:rPr>
          <w:color w:val="000000" w:themeColor="text1"/>
          <w:highlight w:val="yellow"/>
        </w:rPr>
        <w:t>0.05</w:t>
      </w:r>
      <w:r w:rsidRPr="00B432B8">
        <w:rPr>
          <w:color w:val="000000" w:themeColor="text1"/>
        </w:rPr>
        <w:t xml:space="preserve">), col="blue", </w:t>
      </w:r>
      <w:proofErr w:type="spellStart"/>
      <w:r w:rsidRPr="00B432B8">
        <w:rPr>
          <w:color w:val="000000" w:themeColor="text1"/>
        </w:rPr>
        <w:t>lty</w:t>
      </w:r>
      <w:proofErr w:type="spellEnd"/>
      <w:r w:rsidRPr="00B432B8">
        <w:rPr>
          <w:color w:val="000000" w:themeColor="text1"/>
        </w:rPr>
        <w:t>=</w:t>
      </w:r>
      <w:r w:rsidRPr="00B432B8">
        <w:rPr>
          <w:color w:val="000000" w:themeColor="text1"/>
          <w:highlight w:val="yellow"/>
        </w:rPr>
        <w:t>2</w:t>
      </w:r>
      <w:r w:rsidRPr="00B432B8">
        <w:rPr>
          <w:color w:val="000000" w:themeColor="text1"/>
        </w:rPr>
        <w:t>)</w:t>
      </w:r>
    </w:p>
    <w:p w14:paraId="59E58D0B" w14:textId="42E7A30B" w:rsidR="00CD52C5" w:rsidRPr="00B432B8" w:rsidRDefault="00CD52C5" w:rsidP="00CD52C5">
      <w:pPr>
        <w:jc w:val="both"/>
        <w:rPr>
          <w:color w:val="000000" w:themeColor="text1"/>
        </w:rPr>
      </w:pPr>
      <w:proofErr w:type="spellStart"/>
      <w:r w:rsidRPr="00B432B8">
        <w:rPr>
          <w:color w:val="000000" w:themeColor="text1"/>
        </w:rPr>
        <w:t>abline</w:t>
      </w:r>
      <w:proofErr w:type="spellEnd"/>
      <w:r w:rsidRPr="00B432B8">
        <w:rPr>
          <w:color w:val="000000" w:themeColor="text1"/>
        </w:rPr>
        <w:t>(v=c(-</w:t>
      </w:r>
      <w:r w:rsidRPr="00B432B8">
        <w:rPr>
          <w:color w:val="000000" w:themeColor="text1"/>
          <w:highlight w:val="yellow"/>
        </w:rPr>
        <w:t>1,1</w:t>
      </w:r>
      <w:r w:rsidRPr="00B432B8">
        <w:rPr>
          <w:color w:val="000000" w:themeColor="text1"/>
        </w:rPr>
        <w:t xml:space="preserve">), col="blue", </w:t>
      </w:r>
      <w:proofErr w:type="spellStart"/>
      <w:r w:rsidRPr="00B432B8">
        <w:rPr>
          <w:color w:val="000000" w:themeColor="text1"/>
        </w:rPr>
        <w:t>lty</w:t>
      </w:r>
      <w:proofErr w:type="spellEnd"/>
      <w:r w:rsidRPr="00B432B8">
        <w:rPr>
          <w:color w:val="000000" w:themeColor="text1"/>
        </w:rPr>
        <w:t>=</w:t>
      </w:r>
      <w:r w:rsidRPr="00B432B8">
        <w:rPr>
          <w:color w:val="000000" w:themeColor="text1"/>
          <w:highlight w:val="yellow"/>
        </w:rPr>
        <w:t>2</w:t>
      </w:r>
      <w:r w:rsidRPr="00B432B8">
        <w:rPr>
          <w:color w:val="000000" w:themeColor="text1"/>
        </w:rPr>
        <w:t>)</w:t>
      </w:r>
    </w:p>
    <w:p w14:paraId="5F695563" w14:textId="77777777" w:rsidR="00AA6ACF" w:rsidRPr="00B432B8" w:rsidRDefault="00AA6ACF" w:rsidP="00AA6ACF">
      <w:pPr>
        <w:jc w:val="both"/>
      </w:pPr>
    </w:p>
    <w:p w14:paraId="063EFFB4" w14:textId="0D25E219" w:rsidR="00A711FD" w:rsidRPr="00B432B8" w:rsidRDefault="00CD52C5" w:rsidP="00AA6ACF">
      <w:pPr>
        <w:jc w:val="both"/>
      </w:pPr>
      <w:r w:rsidRPr="00B432B8">
        <w:t>Differential expression results were obtained by comparing infected samples against mock controls. A volcano plot was generated for RSV, where genes with significant adjusted p-values and large fold-changes are highlighted. Threshold lines indicate the significance cut-off (horizontal) and fold-change cut-offs (vertical), allowing easy identification of strongly regulated genes. A similar plot was produced for SARS-CoV-2.</w:t>
      </w:r>
    </w:p>
    <w:p w14:paraId="6640BC6A" w14:textId="77777777" w:rsidR="00CD52C5" w:rsidRPr="00B432B8" w:rsidRDefault="00CD52C5" w:rsidP="00AA6ACF">
      <w:pPr>
        <w:jc w:val="both"/>
      </w:pPr>
    </w:p>
    <w:p w14:paraId="0D84C628" w14:textId="5F7EB3DE" w:rsidR="00CD52C5" w:rsidRPr="00B432B8" w:rsidRDefault="00CD52C5" w:rsidP="00AA6ACF">
      <w:pPr>
        <w:jc w:val="both"/>
      </w:pPr>
      <w:r w:rsidRPr="00B432B8">
        <w:t>3. Interferon Heatmap</w:t>
      </w:r>
    </w:p>
    <w:p w14:paraId="5051C064" w14:textId="77777777" w:rsidR="00CD52C5" w:rsidRPr="00B432B8" w:rsidRDefault="00CD52C5" w:rsidP="00CD52C5">
      <w:pPr>
        <w:jc w:val="both"/>
      </w:pPr>
      <w:r w:rsidRPr="00B432B8">
        <w:t># Transform count data to stabilise variance</w:t>
      </w:r>
    </w:p>
    <w:p w14:paraId="40AD23C0" w14:textId="6E50198F" w:rsidR="00CD52C5" w:rsidRPr="00B432B8" w:rsidRDefault="00CD52C5" w:rsidP="00CD52C5">
      <w:pPr>
        <w:jc w:val="both"/>
      </w:pPr>
      <w:r w:rsidRPr="00B432B8">
        <w:t xml:space="preserve">rld2 &lt;- </w:t>
      </w:r>
      <w:proofErr w:type="spellStart"/>
      <w:r w:rsidRPr="00B432B8">
        <w:t>rlog</w:t>
      </w:r>
      <w:proofErr w:type="spellEnd"/>
      <w:r w:rsidRPr="00B432B8">
        <w:t>(dds3, blind=TRUE)</w:t>
      </w:r>
    </w:p>
    <w:p w14:paraId="4D4157CA" w14:textId="77777777" w:rsidR="00CD52C5" w:rsidRPr="00B432B8" w:rsidRDefault="00CD52C5" w:rsidP="00CD52C5">
      <w:pPr>
        <w:jc w:val="both"/>
      </w:pPr>
      <w:r w:rsidRPr="00B432B8">
        <w:lastRenderedPageBreak/>
        <w:t># Extract variance-stabilised expression for interferon-related genes</w:t>
      </w:r>
    </w:p>
    <w:p w14:paraId="5ED1AE75" w14:textId="77777777" w:rsidR="00CD52C5" w:rsidRPr="00B432B8" w:rsidRDefault="00CD52C5" w:rsidP="00CD52C5">
      <w:pPr>
        <w:jc w:val="both"/>
      </w:pPr>
      <w:proofErr w:type="spellStart"/>
      <w:r w:rsidRPr="00B432B8">
        <w:t>ifn_genes</w:t>
      </w:r>
      <w:proofErr w:type="spellEnd"/>
      <w:r w:rsidRPr="00B432B8">
        <w:t xml:space="preserve"> &lt;- c("IFNA1","IFNA2","IFNB1","IFNL1","IFNL2","IFNL3") # example list</w:t>
      </w:r>
    </w:p>
    <w:p w14:paraId="2D1EA2AF" w14:textId="77777777" w:rsidR="00CD52C5" w:rsidRPr="00B432B8" w:rsidRDefault="00CD52C5" w:rsidP="00CD52C5">
      <w:pPr>
        <w:jc w:val="both"/>
      </w:pPr>
      <w:proofErr w:type="spellStart"/>
      <w:r w:rsidRPr="00B432B8">
        <w:t>ifn_mat</w:t>
      </w:r>
      <w:proofErr w:type="spellEnd"/>
      <w:r w:rsidRPr="00B432B8">
        <w:t xml:space="preserve"> &lt;- assay(rld2)[</w:t>
      </w:r>
      <w:proofErr w:type="spellStart"/>
      <w:r w:rsidRPr="00B432B8">
        <w:t>ifn_genes</w:t>
      </w:r>
      <w:proofErr w:type="spellEnd"/>
      <w:r w:rsidRPr="00B432B8">
        <w:t>, ]</w:t>
      </w:r>
    </w:p>
    <w:p w14:paraId="0B53E7CC" w14:textId="77777777" w:rsidR="00CD52C5" w:rsidRPr="00B432B8" w:rsidRDefault="00CD52C5" w:rsidP="00CD52C5">
      <w:pPr>
        <w:jc w:val="both"/>
      </w:pPr>
    </w:p>
    <w:p w14:paraId="2CF036E1" w14:textId="77777777" w:rsidR="00CD52C5" w:rsidRPr="00B432B8" w:rsidRDefault="00CD52C5" w:rsidP="00CD52C5">
      <w:pPr>
        <w:jc w:val="both"/>
      </w:pPr>
      <w:r w:rsidRPr="00B432B8">
        <w:t># Generate clustered heatmap</w:t>
      </w:r>
    </w:p>
    <w:p w14:paraId="1676314E" w14:textId="77777777" w:rsidR="00CD52C5" w:rsidRPr="00B432B8" w:rsidRDefault="00CD52C5" w:rsidP="00CD52C5">
      <w:pPr>
        <w:jc w:val="both"/>
      </w:pPr>
      <w:proofErr w:type="spellStart"/>
      <w:r w:rsidRPr="00B432B8">
        <w:t>pheatmap</w:t>
      </w:r>
      <w:proofErr w:type="spellEnd"/>
      <w:r w:rsidRPr="00B432B8">
        <w:t>(</w:t>
      </w:r>
      <w:proofErr w:type="spellStart"/>
      <w:r w:rsidRPr="00B432B8">
        <w:t>ifn_mat</w:t>
      </w:r>
      <w:proofErr w:type="spellEnd"/>
      <w:r w:rsidRPr="00B432B8">
        <w:t xml:space="preserve">, </w:t>
      </w:r>
    </w:p>
    <w:p w14:paraId="4F4E2F76" w14:textId="77777777" w:rsidR="00CD52C5" w:rsidRPr="00B432B8" w:rsidRDefault="00CD52C5" w:rsidP="00CD52C5">
      <w:pPr>
        <w:jc w:val="both"/>
      </w:pPr>
      <w:r w:rsidRPr="00B432B8">
        <w:t xml:space="preserve">         </w:t>
      </w:r>
      <w:proofErr w:type="spellStart"/>
      <w:r w:rsidRPr="00B432B8">
        <w:t>cluster_rows</w:t>
      </w:r>
      <w:proofErr w:type="spellEnd"/>
      <w:r w:rsidRPr="00B432B8">
        <w:t xml:space="preserve">=TRUE, </w:t>
      </w:r>
      <w:proofErr w:type="spellStart"/>
      <w:r w:rsidRPr="00B432B8">
        <w:t>cluster_cols</w:t>
      </w:r>
      <w:proofErr w:type="spellEnd"/>
      <w:r w:rsidRPr="00B432B8">
        <w:t xml:space="preserve">=TRUE, </w:t>
      </w:r>
    </w:p>
    <w:p w14:paraId="057FAF91" w14:textId="77777777" w:rsidR="00CD52C5" w:rsidRPr="00B432B8" w:rsidRDefault="00CD52C5" w:rsidP="00CD52C5">
      <w:pPr>
        <w:jc w:val="both"/>
      </w:pPr>
      <w:r w:rsidRPr="00B432B8">
        <w:t xml:space="preserve">         </w:t>
      </w:r>
      <w:proofErr w:type="spellStart"/>
      <w:r w:rsidRPr="00B432B8">
        <w:t>show_rownames</w:t>
      </w:r>
      <w:proofErr w:type="spellEnd"/>
      <w:r w:rsidRPr="00B432B8">
        <w:t xml:space="preserve">=TRUE, </w:t>
      </w:r>
      <w:proofErr w:type="spellStart"/>
      <w:r w:rsidRPr="00B432B8">
        <w:t>show_colnames</w:t>
      </w:r>
      <w:proofErr w:type="spellEnd"/>
      <w:r w:rsidRPr="00B432B8">
        <w:t>=TRUE,</w:t>
      </w:r>
    </w:p>
    <w:p w14:paraId="0E7EFE28" w14:textId="77777777" w:rsidR="00CD52C5" w:rsidRPr="00B432B8" w:rsidRDefault="00CD52C5" w:rsidP="00CD52C5">
      <w:pPr>
        <w:jc w:val="both"/>
      </w:pPr>
      <w:r w:rsidRPr="00B432B8">
        <w:t xml:space="preserve">         </w:t>
      </w:r>
      <w:proofErr w:type="spellStart"/>
      <w:r w:rsidRPr="00B432B8">
        <w:t>color</w:t>
      </w:r>
      <w:proofErr w:type="spellEnd"/>
      <w:r w:rsidRPr="00B432B8">
        <w:t>=</w:t>
      </w:r>
      <w:proofErr w:type="spellStart"/>
      <w:r w:rsidRPr="00B432B8">
        <w:t>colorRampPalette</w:t>
      </w:r>
      <w:proofErr w:type="spellEnd"/>
      <w:r w:rsidRPr="00B432B8">
        <w:t>(rev(</w:t>
      </w:r>
      <w:proofErr w:type="spellStart"/>
      <w:r w:rsidRPr="00B432B8">
        <w:t>brewer.pal</w:t>
      </w:r>
      <w:proofErr w:type="spellEnd"/>
      <w:r w:rsidRPr="00B432B8">
        <w:t>(9,"RdBu")))(255),</w:t>
      </w:r>
    </w:p>
    <w:p w14:paraId="59DB2B67" w14:textId="26C099A4" w:rsidR="00F81F30" w:rsidRPr="00B432B8" w:rsidRDefault="00CD52C5" w:rsidP="00CD52C5">
      <w:pPr>
        <w:jc w:val="both"/>
      </w:pPr>
      <w:r w:rsidRPr="00B432B8">
        <w:t xml:space="preserve">         main="Interferon Gene Expression: RSV vs SARS-CoV-2")</w:t>
      </w:r>
    </w:p>
    <w:p w14:paraId="20274C35" w14:textId="2754082D" w:rsidR="00F81F30" w:rsidRPr="00B432B8" w:rsidRDefault="00F81F30" w:rsidP="00F81F30">
      <w:pPr>
        <w:jc w:val="both"/>
      </w:pPr>
      <w:r w:rsidRPr="00B432B8">
        <w:t xml:space="preserve">To compare host interferon responses, variance-stabilised counts were extracted for selected interferon genes. A heatmap was generated to visualise expression differences between RSV and SARS-CoV-2 samples. Hierarchical clustering highlights </w:t>
      </w:r>
      <w:r w:rsidR="002E2D1E">
        <w:t xml:space="preserve">the </w:t>
      </w:r>
      <w:r w:rsidRPr="00B432B8">
        <w:t>grouping of conditions, making it clear how interferon signalling differs between the two viral infections.</w:t>
      </w:r>
    </w:p>
    <w:p w14:paraId="49D182E6" w14:textId="77777777" w:rsidR="00EA0380" w:rsidRPr="00B432B8" w:rsidRDefault="00EA0380" w:rsidP="00F81F30">
      <w:pPr>
        <w:jc w:val="both"/>
      </w:pPr>
    </w:p>
    <w:p w14:paraId="11387A25" w14:textId="4F3E13E1" w:rsidR="009D14AB" w:rsidRPr="00B432B8" w:rsidRDefault="00F74837" w:rsidP="00F81F30">
      <w:pPr>
        <w:jc w:val="both"/>
        <w:rPr>
          <w:b/>
          <w:bCs/>
        </w:rPr>
      </w:pPr>
      <w:r w:rsidRPr="00B432B8">
        <w:rPr>
          <w:b/>
          <w:bCs/>
        </w:rPr>
        <w:t>Section C</w:t>
      </w:r>
    </w:p>
    <w:p w14:paraId="149E29D6" w14:textId="7E9D4B95" w:rsidR="00B76BCF" w:rsidRPr="00B432B8" w:rsidRDefault="00AE7DD8" w:rsidP="00330F43">
      <w:pPr>
        <w:jc w:val="center"/>
      </w:pPr>
      <w:r>
        <w:rPr>
          <w:noProof/>
        </w:rPr>
        <w:drawing>
          <wp:inline distT="0" distB="0" distL="0" distR="0" wp14:anchorId="7369805F" wp14:editId="0E2B9693">
            <wp:extent cx="5242561" cy="3352800"/>
            <wp:effectExtent l="0" t="0" r="0" b="0"/>
            <wp:docPr id="1940565362" name="Picture 2" descr="A graph with red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65362" name="Picture 2" descr="A graph with red green and blue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686" cy="3379740"/>
                    </a:xfrm>
                    <a:prstGeom prst="rect">
                      <a:avLst/>
                    </a:prstGeom>
                    <a:noFill/>
                  </pic:spPr>
                </pic:pic>
              </a:graphicData>
            </a:graphic>
          </wp:inline>
        </w:drawing>
      </w:r>
    </w:p>
    <w:p w14:paraId="2B21B5C0" w14:textId="25C415C4" w:rsidR="00B76BCF" w:rsidRPr="00B432B8" w:rsidRDefault="00B76BCF" w:rsidP="00330F43">
      <w:pPr>
        <w:jc w:val="center"/>
        <w:rPr>
          <w:sz w:val="16"/>
          <w:szCs w:val="16"/>
        </w:rPr>
      </w:pPr>
      <w:r w:rsidRPr="00B432B8">
        <w:rPr>
          <w:sz w:val="16"/>
          <w:szCs w:val="16"/>
        </w:rPr>
        <w:t xml:space="preserve">Figure 1: PCA plot of </w:t>
      </w:r>
      <w:r w:rsidR="00F74837" w:rsidRPr="00B432B8">
        <w:rPr>
          <w:sz w:val="16"/>
          <w:szCs w:val="16"/>
        </w:rPr>
        <w:t>A549 transcriptomes post-</w:t>
      </w:r>
      <w:r w:rsidRPr="00B432B8">
        <w:rPr>
          <w:sz w:val="16"/>
          <w:szCs w:val="16"/>
        </w:rPr>
        <w:t>infect</w:t>
      </w:r>
      <w:r w:rsidR="00F74837" w:rsidRPr="00B432B8">
        <w:rPr>
          <w:sz w:val="16"/>
          <w:szCs w:val="16"/>
        </w:rPr>
        <w:t xml:space="preserve">ion </w:t>
      </w:r>
      <w:r w:rsidRPr="00B432B8">
        <w:rPr>
          <w:sz w:val="16"/>
          <w:szCs w:val="16"/>
        </w:rPr>
        <w:t xml:space="preserve">with RSV and SARS-CoV-2 and </w:t>
      </w:r>
      <w:r w:rsidR="00330F43">
        <w:rPr>
          <w:sz w:val="16"/>
          <w:szCs w:val="16"/>
        </w:rPr>
        <w:t>IAV.</w:t>
      </w:r>
    </w:p>
    <w:p w14:paraId="39502CE0" w14:textId="2DECB6C8" w:rsidR="00B76BCF" w:rsidRPr="00B432B8" w:rsidRDefault="009D14AB" w:rsidP="00F81F30">
      <w:pPr>
        <w:jc w:val="both"/>
      </w:pPr>
      <w:r w:rsidRPr="00B432B8">
        <w:lastRenderedPageBreak/>
        <w:drawing>
          <wp:inline distT="0" distB="0" distL="0" distR="0" wp14:anchorId="75C2B528" wp14:editId="0788CB41">
            <wp:extent cx="2727960" cy="2731358"/>
            <wp:effectExtent l="0" t="0" r="0" b="0"/>
            <wp:docPr id="147242626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26263" name="Picture 1" descr="A screen shot of a graph&#10;&#10;AI-generated content may be incorrect."/>
                    <pic:cNvPicPr/>
                  </pic:nvPicPr>
                  <pic:blipFill>
                    <a:blip r:embed="rId8"/>
                    <a:stretch>
                      <a:fillRect/>
                    </a:stretch>
                  </pic:blipFill>
                  <pic:spPr>
                    <a:xfrm>
                      <a:off x="0" y="0"/>
                      <a:ext cx="2733753" cy="2737158"/>
                    </a:xfrm>
                    <a:prstGeom prst="rect">
                      <a:avLst/>
                    </a:prstGeom>
                  </pic:spPr>
                </pic:pic>
              </a:graphicData>
            </a:graphic>
          </wp:inline>
        </w:drawing>
      </w:r>
      <w:r w:rsidRPr="00B432B8">
        <w:drawing>
          <wp:inline distT="0" distB="0" distL="0" distR="0" wp14:anchorId="02AC96C8" wp14:editId="77F164F8">
            <wp:extent cx="2712479" cy="2715857"/>
            <wp:effectExtent l="0" t="0" r="0" b="8890"/>
            <wp:docPr id="1691119127"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9127" name="Picture 1" descr="A diagram of a heatmap&#10;&#10;AI-generated content may be incorrect."/>
                    <pic:cNvPicPr/>
                  </pic:nvPicPr>
                  <pic:blipFill>
                    <a:blip r:embed="rId9"/>
                    <a:stretch>
                      <a:fillRect/>
                    </a:stretch>
                  </pic:blipFill>
                  <pic:spPr>
                    <a:xfrm>
                      <a:off x="0" y="0"/>
                      <a:ext cx="2712479" cy="2715857"/>
                    </a:xfrm>
                    <a:prstGeom prst="rect">
                      <a:avLst/>
                    </a:prstGeom>
                  </pic:spPr>
                </pic:pic>
              </a:graphicData>
            </a:graphic>
          </wp:inline>
        </w:drawing>
      </w:r>
    </w:p>
    <w:p w14:paraId="39C7275B" w14:textId="27345386" w:rsidR="00B76BCF" w:rsidRPr="00B432B8" w:rsidRDefault="00B76BCF" w:rsidP="00B76BCF">
      <w:pPr>
        <w:ind w:left="4320" w:hanging="4320"/>
        <w:jc w:val="both"/>
        <w:rPr>
          <w:sz w:val="16"/>
          <w:szCs w:val="16"/>
        </w:rPr>
      </w:pPr>
      <w:r w:rsidRPr="00B432B8">
        <w:rPr>
          <w:sz w:val="16"/>
          <w:szCs w:val="16"/>
        </w:rPr>
        <w:t>Figure 2:</w:t>
      </w:r>
      <w:r w:rsidRPr="00B432B8">
        <w:t xml:space="preserve"> </w:t>
      </w:r>
      <w:r w:rsidRPr="00B432B8">
        <w:rPr>
          <w:sz w:val="16"/>
          <w:szCs w:val="16"/>
        </w:rPr>
        <w:t>Sample-to-sample distance heatmap of infections</w:t>
      </w:r>
      <w:r w:rsidRPr="00B432B8">
        <w:rPr>
          <w:sz w:val="16"/>
          <w:szCs w:val="16"/>
        </w:rPr>
        <w:tab/>
        <w:t>Figure 3: Heatmap of interferon-stimulated gene expression in RSV- and                                                    SARS-CoV-2–infected A549 cells.</w:t>
      </w:r>
    </w:p>
    <w:p w14:paraId="627A0409" w14:textId="7F1F7C03" w:rsidR="009D14AB" w:rsidRPr="00B432B8" w:rsidRDefault="009D14AB" w:rsidP="00F81F30">
      <w:pPr>
        <w:jc w:val="both"/>
      </w:pPr>
      <w:r w:rsidRPr="00B432B8">
        <w:drawing>
          <wp:inline distT="0" distB="0" distL="0" distR="0" wp14:anchorId="1DD1B927" wp14:editId="0BD20085">
            <wp:extent cx="2776819" cy="2803919"/>
            <wp:effectExtent l="0" t="0" r="5080" b="0"/>
            <wp:docPr id="991734476" name="Picture 1" descr="A graph of 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34476" name="Picture 1" descr="A graph of a graph with red dots&#10;&#10;AI-generated content may be incorrect."/>
                    <pic:cNvPicPr/>
                  </pic:nvPicPr>
                  <pic:blipFill>
                    <a:blip r:embed="rId10"/>
                    <a:stretch>
                      <a:fillRect/>
                    </a:stretch>
                  </pic:blipFill>
                  <pic:spPr>
                    <a:xfrm>
                      <a:off x="0" y="0"/>
                      <a:ext cx="2790745" cy="2817981"/>
                    </a:xfrm>
                    <a:prstGeom prst="rect">
                      <a:avLst/>
                    </a:prstGeom>
                  </pic:spPr>
                </pic:pic>
              </a:graphicData>
            </a:graphic>
          </wp:inline>
        </w:drawing>
      </w:r>
      <w:r w:rsidR="00DB26C0" w:rsidRPr="00B432B8">
        <w:drawing>
          <wp:inline distT="0" distB="0" distL="0" distR="0" wp14:anchorId="367D6A0B" wp14:editId="01365910">
            <wp:extent cx="2796540" cy="2803218"/>
            <wp:effectExtent l="0" t="0" r="3810" b="0"/>
            <wp:docPr id="929253048" name="Picture 1" descr="A graph of red and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3048" name="Picture 1" descr="A graph of red and black dots&#10;&#10;AI-generated content may be incorrect."/>
                    <pic:cNvPicPr/>
                  </pic:nvPicPr>
                  <pic:blipFill>
                    <a:blip r:embed="rId11"/>
                    <a:stretch>
                      <a:fillRect/>
                    </a:stretch>
                  </pic:blipFill>
                  <pic:spPr>
                    <a:xfrm>
                      <a:off x="0" y="0"/>
                      <a:ext cx="2814966" cy="2821688"/>
                    </a:xfrm>
                    <a:prstGeom prst="rect">
                      <a:avLst/>
                    </a:prstGeom>
                  </pic:spPr>
                </pic:pic>
              </a:graphicData>
            </a:graphic>
          </wp:inline>
        </w:drawing>
      </w:r>
    </w:p>
    <w:p w14:paraId="1A1D07D7" w14:textId="693810CD" w:rsidR="00F74837" w:rsidRPr="00B432B8" w:rsidRDefault="00F74837" w:rsidP="00F81F30">
      <w:pPr>
        <w:jc w:val="both"/>
        <w:rPr>
          <w:sz w:val="16"/>
          <w:szCs w:val="16"/>
        </w:rPr>
      </w:pPr>
      <w:r w:rsidRPr="00B432B8">
        <w:rPr>
          <w:sz w:val="16"/>
          <w:szCs w:val="16"/>
        </w:rPr>
        <w:t xml:space="preserve">Figure </w:t>
      </w:r>
      <w:r w:rsidR="00881A6B" w:rsidRPr="00B432B8">
        <w:rPr>
          <w:sz w:val="16"/>
          <w:szCs w:val="16"/>
        </w:rPr>
        <w:t>4</w:t>
      </w:r>
      <w:r w:rsidRPr="00B432B8">
        <w:rPr>
          <w:sz w:val="16"/>
          <w:szCs w:val="16"/>
        </w:rPr>
        <w:t>. Volcano plots of differential gene expression in A549 cells infected with RSV or SARS-CoV-2.</w:t>
      </w:r>
    </w:p>
    <w:p w14:paraId="328137EE" w14:textId="404166D2" w:rsidR="00EF4CC8" w:rsidRPr="00B432B8" w:rsidRDefault="00EF4CC8" w:rsidP="00330F43">
      <w:pPr>
        <w:jc w:val="center"/>
        <w:rPr>
          <w:sz w:val="16"/>
          <w:szCs w:val="16"/>
        </w:rPr>
      </w:pPr>
      <w:r w:rsidRPr="00B432B8">
        <w:rPr>
          <w:sz w:val="16"/>
          <w:szCs w:val="16"/>
        </w:rPr>
        <w:drawing>
          <wp:inline distT="0" distB="0" distL="0" distR="0" wp14:anchorId="28126CB8" wp14:editId="5F555846">
            <wp:extent cx="3413760" cy="2183218"/>
            <wp:effectExtent l="0" t="0" r="0" b="7620"/>
            <wp:docPr id="937595055" name="Picture 5" descr="A graph of a vir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95055" name="Picture 5" descr="A graph of a viru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2240" cy="2201432"/>
                    </a:xfrm>
                    <a:prstGeom prst="rect">
                      <a:avLst/>
                    </a:prstGeom>
                    <a:noFill/>
                  </pic:spPr>
                </pic:pic>
              </a:graphicData>
            </a:graphic>
          </wp:inline>
        </w:drawing>
      </w:r>
    </w:p>
    <w:p w14:paraId="1EEE5927" w14:textId="668F80B4" w:rsidR="00EF4CC8" w:rsidRPr="00B432B8" w:rsidRDefault="00EF4CC8" w:rsidP="00F81F30">
      <w:pPr>
        <w:jc w:val="both"/>
        <w:rPr>
          <w:sz w:val="16"/>
          <w:szCs w:val="16"/>
        </w:rPr>
      </w:pPr>
      <w:r w:rsidRPr="00B432B8">
        <w:rPr>
          <w:sz w:val="16"/>
          <w:szCs w:val="16"/>
        </w:rPr>
        <w:t xml:space="preserve">Figure 5: </w:t>
      </w:r>
      <w:r w:rsidR="00B432B8" w:rsidRPr="00B432B8">
        <w:rPr>
          <w:sz w:val="16"/>
          <w:szCs w:val="16"/>
        </w:rPr>
        <w:t xml:space="preserve">A summarised </w:t>
      </w:r>
      <w:r w:rsidR="005E3AF9">
        <w:rPr>
          <w:sz w:val="16"/>
          <w:szCs w:val="16"/>
        </w:rPr>
        <w:t xml:space="preserve">volcano plot representing gene expression between infected cells with RSV in comparison to </w:t>
      </w:r>
      <w:r w:rsidR="00D223B9">
        <w:rPr>
          <w:sz w:val="16"/>
          <w:szCs w:val="16"/>
        </w:rPr>
        <w:t xml:space="preserve">infection with SARS-CoV-2. </w:t>
      </w:r>
    </w:p>
    <w:p w14:paraId="203D3613" w14:textId="77777777" w:rsidR="00F74837" w:rsidRPr="00B432B8" w:rsidRDefault="00F74837" w:rsidP="00F81F30">
      <w:pPr>
        <w:jc w:val="both"/>
        <w:rPr>
          <w:sz w:val="16"/>
          <w:szCs w:val="16"/>
        </w:rPr>
      </w:pPr>
    </w:p>
    <w:p w14:paraId="46D02EB5" w14:textId="776B932C" w:rsidR="0032754D" w:rsidRPr="00B432B8" w:rsidRDefault="00881A6B" w:rsidP="00F81F30">
      <w:pPr>
        <w:jc w:val="both"/>
      </w:pPr>
      <w:r w:rsidRPr="00B432B8">
        <w:t>We analysed a subset of the A549 RNA</w:t>
      </w:r>
      <w:r w:rsidRPr="00B432B8">
        <w:rPr>
          <w:rFonts w:ascii="Cambria Math" w:hAnsi="Cambria Math" w:cs="Cambria Math"/>
        </w:rPr>
        <w:t>‑</w:t>
      </w:r>
      <w:proofErr w:type="spellStart"/>
      <w:r w:rsidRPr="00B432B8">
        <w:t>seq</w:t>
      </w:r>
      <w:proofErr w:type="spellEnd"/>
      <w:r w:rsidRPr="00B432B8">
        <w:t xml:space="preserve"> data corresponding to respiratory virus infections reported</w:t>
      </w:r>
      <w:r w:rsidR="00C3357A" w:rsidRPr="00B432B8">
        <w:t xml:space="preserve"> </w:t>
      </w:r>
      <w:bookmarkStart w:id="0" w:name="_Hlk206533540"/>
      <w:r w:rsidR="00C3357A" w:rsidRPr="00B432B8">
        <w:rPr>
          <w:vertAlign w:val="superscript"/>
        </w:rPr>
        <w:t>(1)</w:t>
      </w:r>
      <w:bookmarkEnd w:id="0"/>
      <w:r w:rsidRPr="00B432B8">
        <w:t>. Our goal was to compare global transcriptional responses across Respiratory Syncytial Virus (RSV) and SARS</w:t>
      </w:r>
      <w:r w:rsidRPr="00B432B8">
        <w:rPr>
          <w:rFonts w:ascii="Cambria Math" w:hAnsi="Cambria Math" w:cs="Cambria Math"/>
        </w:rPr>
        <w:t>‑</w:t>
      </w:r>
      <w:r w:rsidRPr="00B432B8">
        <w:t>CoV</w:t>
      </w:r>
      <w:r w:rsidRPr="00B432B8">
        <w:rPr>
          <w:rFonts w:ascii="Cambria Math" w:hAnsi="Cambria Math" w:cs="Cambria Math"/>
        </w:rPr>
        <w:t>‑</w:t>
      </w:r>
      <w:r w:rsidRPr="00B432B8">
        <w:t>2 infections, and to evaluate the magnitude and character of their interferon</w:t>
      </w:r>
      <w:r w:rsidRPr="00B432B8">
        <w:rPr>
          <w:rFonts w:ascii="Cambria Math" w:hAnsi="Cambria Math" w:cs="Cambria Math"/>
        </w:rPr>
        <w:t>‑</w:t>
      </w:r>
      <w:r w:rsidRPr="00B432B8">
        <w:t xml:space="preserve">stimulated gene (ISG) programs. The first principal component (PC1; </w:t>
      </w:r>
      <w:r w:rsidR="00DF41B2">
        <w:t>58</w:t>
      </w:r>
      <w:r w:rsidRPr="00B432B8">
        <w:t>% of variance) separates RSV samples sharply from their mock controls</w:t>
      </w:r>
      <w:r w:rsidR="008E6570" w:rsidRPr="00B432B8">
        <w:t xml:space="preserve"> (Figure 1)</w:t>
      </w:r>
      <w:r w:rsidRPr="00B432B8">
        <w:t>, indicating a coherent shift in the A549 transcriptome upon RSV infection</w:t>
      </w:r>
      <w:r w:rsidR="008E6570" w:rsidRPr="00B432B8">
        <w:t xml:space="preserve"> (Figure 4)</w:t>
      </w:r>
      <w:r w:rsidRPr="00B432B8">
        <w:t>. SARS-CoV-2 replicates also separate from mock, but chiefly along PC2 (~10–15% of variance) and with a smaller displacement, consistent with a more muted response.</w:t>
      </w:r>
      <w:r w:rsidR="00373727" w:rsidRPr="00B432B8">
        <w:t xml:space="preserve"> The l</w:t>
      </w:r>
      <w:r w:rsidR="008E6570" w:rsidRPr="00B432B8">
        <w:t>arge gap between RSV and mock captures widespread up</w:t>
      </w:r>
      <w:r w:rsidR="008E6570" w:rsidRPr="00B432B8">
        <w:noBreakHyphen/>
        <w:t>regulation of immune pathways documented below. The ordering along PC1 therefore provides a first, unbiased ranking of response magnitude: RSV &gt; SARS-CoV-2. However, the second principal component (PC2</w:t>
      </w:r>
      <w:r w:rsidR="008B5C8F">
        <w:t xml:space="preserve">; </w:t>
      </w:r>
      <w:r w:rsidR="008E6570" w:rsidRPr="00B432B8">
        <w:t>1</w:t>
      </w:r>
      <w:r w:rsidR="00DF41B2">
        <w:t>9.8</w:t>
      </w:r>
      <w:r w:rsidR="008E6570" w:rsidRPr="00B432B8">
        <w:t xml:space="preserve">% variance) portrays a smaller separation in SARS-CoV-2, suggesting </w:t>
      </w:r>
      <w:r w:rsidR="0032754D" w:rsidRPr="00B432B8">
        <w:t xml:space="preserve">lesser </w:t>
      </w:r>
      <w:r w:rsidR="008E6570" w:rsidRPr="00B432B8">
        <w:t>transcriptional alterations</w:t>
      </w:r>
      <w:r w:rsidR="0032754D" w:rsidRPr="00B432B8">
        <w:t xml:space="preserve"> due to the proportional variance observed</w:t>
      </w:r>
      <w:r w:rsidR="008E6570" w:rsidRPr="00B432B8">
        <w:t>.</w:t>
      </w:r>
    </w:p>
    <w:p w14:paraId="073C928C" w14:textId="77777777" w:rsidR="0032754D" w:rsidRPr="00B432B8" w:rsidRDefault="0032754D" w:rsidP="00F81F30">
      <w:pPr>
        <w:jc w:val="both"/>
      </w:pPr>
    </w:p>
    <w:p w14:paraId="0B090ACF" w14:textId="257A8D29" w:rsidR="00F74837" w:rsidRPr="00B432B8" w:rsidRDefault="0032754D" w:rsidP="00F81F30">
      <w:pPr>
        <w:jc w:val="both"/>
      </w:pPr>
      <w:r w:rsidRPr="00B432B8">
        <w:t>A block</w:t>
      </w:r>
      <w:r w:rsidRPr="00B432B8">
        <w:noBreakHyphen/>
        <w:t xml:space="preserve">diagonal structure mirroring the PCA was observed on </w:t>
      </w:r>
      <w:r w:rsidR="00373727" w:rsidRPr="00B432B8">
        <w:t xml:space="preserve">the </w:t>
      </w:r>
      <w:r w:rsidRPr="00B432B8">
        <w:t>sample-to-sample distance matrix (Figure 2). Darker squares</w:t>
      </w:r>
      <w:r w:rsidR="00CF2DF6">
        <w:t xml:space="preserve"> (low distance)</w:t>
      </w:r>
      <w:r w:rsidRPr="00B432B8">
        <w:t xml:space="preserve"> occur along the diagonal within each virus group, confirming replicate consistency. RSV forms a distinct block furthest from mock</w:t>
      </w:r>
      <w:r w:rsidR="00373727" w:rsidRPr="00B432B8">
        <w:t>,</w:t>
      </w:r>
      <w:r w:rsidRPr="00B432B8">
        <w:t xml:space="preserve"> while </w:t>
      </w:r>
      <w:r w:rsidR="00373727" w:rsidRPr="00B432B8">
        <w:t>SARS-CoV-2</w:t>
      </w:r>
      <w:r w:rsidRPr="00B432B8">
        <w:t xml:space="preserve"> shows moderate distances from its mock controls and substantially smaller distances than RSV–mock. Thus, RSV strongly alters the transcriptome while SARS-CoV-2 induces a milder shift</w:t>
      </w:r>
      <w:r w:rsidR="00F568E9" w:rsidRPr="00B432B8">
        <w:t>, mirroring the interferon heatmap.</w:t>
      </w:r>
      <w:r w:rsidRPr="00B432B8">
        <w:t xml:space="preserve"> Together, the PCA and distance heatmap establish that infection status—rather than batch—is the dominant driver of transcriptional variance.</w:t>
      </w:r>
      <w:r w:rsidR="008E6570" w:rsidRPr="00B432B8">
        <w:t xml:space="preserve"> </w:t>
      </w:r>
    </w:p>
    <w:p w14:paraId="20BB2B64" w14:textId="77777777" w:rsidR="00F568E9" w:rsidRPr="00B432B8" w:rsidRDefault="00F568E9" w:rsidP="00F81F30">
      <w:pPr>
        <w:jc w:val="both"/>
      </w:pPr>
    </w:p>
    <w:p w14:paraId="610D46E0" w14:textId="2406DE81" w:rsidR="00F568E9" w:rsidRPr="00B432B8" w:rsidRDefault="00F568E9" w:rsidP="00F568E9">
      <w:pPr>
        <w:jc w:val="both"/>
      </w:pPr>
      <w:r w:rsidRPr="00B432B8">
        <w:t xml:space="preserve">We next contrasted infected versus mock for RSV and for </w:t>
      </w:r>
      <w:r w:rsidR="00745B74">
        <w:t>SARS-CoV-2</w:t>
      </w:r>
      <w:r w:rsidRPr="00B432B8">
        <w:t xml:space="preserve"> (Figure </w:t>
      </w:r>
      <w:r w:rsidR="00D16A31">
        <w:t>4</w:t>
      </w:r>
      <w:r w:rsidRPr="00B432B8">
        <w:t>), then plotted both sets of genes on one volcano to emphasise direction and significance</w:t>
      </w:r>
      <w:r w:rsidR="00D16A31">
        <w:t xml:space="preserve"> (Figure 5)</w:t>
      </w:r>
      <w:r w:rsidRPr="00B432B8">
        <w:t>. Points coloured red</w:t>
      </w:r>
      <w:r w:rsidR="00D16A31">
        <w:t xml:space="preserve"> and blue</w:t>
      </w:r>
      <w:r w:rsidRPr="00B432B8">
        <w:t xml:space="preserve"> meet significance thresholds, and black points do not. RSV shows a strong right</w:t>
      </w:r>
      <w:r w:rsidRPr="00B432B8">
        <w:noBreakHyphen/>
        <w:t>skew</w:t>
      </w:r>
      <w:r w:rsidR="006854C9">
        <w:t>,</w:t>
      </w:r>
      <w:r w:rsidR="00D16A31">
        <w:t xml:space="preserve"> while SARS-CoV-2</w:t>
      </w:r>
      <w:r w:rsidRPr="00B432B8">
        <w:t xml:space="preserve"> exhibits a more balanced distribution with fewer extreme positives and a noticeable set of </w:t>
      </w:r>
      <w:r w:rsidR="00FF113C">
        <w:t>down-regulated</w:t>
      </w:r>
      <w:r w:rsidRPr="00B432B8">
        <w:t xml:space="preserve"> genes</w:t>
      </w:r>
      <w:r w:rsidR="00C3357A" w:rsidRPr="00B432B8">
        <w:rPr>
          <w:vertAlign w:val="superscript"/>
        </w:rPr>
        <w:t>(2)</w:t>
      </w:r>
      <w:r w:rsidRPr="00B432B8">
        <w:t>.</w:t>
      </w:r>
      <w:r w:rsidR="00CD1975">
        <w:t>In contrast, upon plotting the infected cells against each other</w:t>
      </w:r>
      <w:r w:rsidR="006854C9">
        <w:t>,</w:t>
      </w:r>
      <w:r w:rsidR="00CD1975">
        <w:t xml:space="preserve"> it revealed </w:t>
      </w:r>
      <w:r w:rsidR="00F7020A">
        <w:t xml:space="preserve">a small number of </w:t>
      </w:r>
      <w:r w:rsidR="006854C9">
        <w:t>genes</w:t>
      </w:r>
      <w:r w:rsidR="00F7020A">
        <w:t xml:space="preserve"> </w:t>
      </w:r>
      <w:r w:rsidR="006854C9">
        <w:t xml:space="preserve">were </w:t>
      </w:r>
      <w:r w:rsidR="00F7020A">
        <w:t>significantly expressed</w:t>
      </w:r>
      <w:r w:rsidR="006854C9">
        <w:t xml:space="preserve"> (Figure 5), with a higher quantity seen in RSV-infected cells. </w:t>
      </w:r>
      <w:r w:rsidRPr="00B432B8">
        <w:t>The contrasting shapes recapitulate the PCA ranking and suggest that RSV drives a dominant antiviral program</w:t>
      </w:r>
      <w:r w:rsidR="006854C9">
        <w:t>,</w:t>
      </w:r>
      <w:r w:rsidRPr="00B432B8">
        <w:t xml:space="preserve"> whereas </w:t>
      </w:r>
      <w:r w:rsidR="00DB0DD4">
        <w:t>SARS-CoV-2</w:t>
      </w:r>
      <w:r w:rsidRPr="00B432B8">
        <w:t xml:space="preserve"> both </w:t>
      </w:r>
      <w:proofErr w:type="spellStart"/>
      <w:r w:rsidR="006854C9">
        <w:t>underinduces</w:t>
      </w:r>
      <w:proofErr w:type="spellEnd"/>
      <w:r w:rsidRPr="00B432B8">
        <w:t xml:space="preserve"> ISGs and actively represses subsets of host genes.</w:t>
      </w:r>
    </w:p>
    <w:p w14:paraId="2C7AC2B2" w14:textId="77777777" w:rsidR="008F1DF9" w:rsidRPr="00B432B8" w:rsidRDefault="008F1DF9" w:rsidP="00F568E9">
      <w:pPr>
        <w:jc w:val="both"/>
      </w:pPr>
    </w:p>
    <w:p w14:paraId="5E6CCBA5" w14:textId="376DB8A0" w:rsidR="00F568E9" w:rsidRPr="00B432B8" w:rsidRDefault="008F1DF9" w:rsidP="00F81F30">
      <w:pPr>
        <w:jc w:val="both"/>
      </w:pPr>
      <w:r w:rsidRPr="00B432B8">
        <w:t xml:space="preserve">To focus on antiviral </w:t>
      </w:r>
      <w:r w:rsidR="00032761">
        <w:t>signalling</w:t>
      </w:r>
      <w:r w:rsidRPr="00B432B8">
        <w:t xml:space="preserve">, we visualised normalised expression of representative ISGs (e.g., IFIT1/2, MX1, OAS1). Rows were scaled to emphasise relative differences. RSV samples display intense warm colours across most ISGs, denoting robust induction. In contrast, </w:t>
      </w:r>
      <w:r w:rsidR="00032761">
        <w:t>SARS-CoV-2</w:t>
      </w:r>
      <w:r w:rsidRPr="00B432B8">
        <w:t xml:space="preserve"> samples are predominantly cool</w:t>
      </w:r>
      <w:r w:rsidRPr="00B432B8">
        <w:noBreakHyphen/>
        <w:t xml:space="preserve">coloured and cluster with mock (Figure 3), consistent with attenuated type I interferon </w:t>
      </w:r>
      <w:r w:rsidR="00032761">
        <w:t>signalling</w:t>
      </w:r>
      <w:r w:rsidR="00C3357A" w:rsidRPr="00B432B8">
        <w:t xml:space="preserve"> </w:t>
      </w:r>
      <w:r w:rsidR="00C3357A" w:rsidRPr="00B432B8">
        <w:rPr>
          <w:vertAlign w:val="superscript"/>
        </w:rPr>
        <w:t>(2)</w:t>
      </w:r>
      <w:r w:rsidR="00882088" w:rsidRPr="00B432B8">
        <w:rPr>
          <w:vertAlign w:val="superscript"/>
        </w:rPr>
        <w:t>(5)</w:t>
      </w:r>
      <w:r w:rsidRPr="00B432B8">
        <w:t xml:space="preserve">. RSV shows clear induction for many ISGs, typically seen at a substantial magnitude. Dendrograms cluster RSV away from </w:t>
      </w:r>
      <w:r w:rsidR="00032761">
        <w:t>SARS-CoV-2</w:t>
      </w:r>
      <w:r w:rsidRPr="00B432B8">
        <w:t xml:space="preserve"> and mock —again aligning with the </w:t>
      </w:r>
      <w:r w:rsidR="00032761">
        <w:t>genome-wide</w:t>
      </w:r>
      <w:r w:rsidRPr="00B432B8">
        <w:t xml:space="preserve"> patterns.</w:t>
      </w:r>
    </w:p>
    <w:p w14:paraId="70B8AD18" w14:textId="77777777" w:rsidR="008F1DF9" w:rsidRPr="00B432B8" w:rsidRDefault="008F1DF9" w:rsidP="00F81F30">
      <w:pPr>
        <w:jc w:val="both"/>
      </w:pPr>
    </w:p>
    <w:p w14:paraId="4F4181EE" w14:textId="557C3F21" w:rsidR="008F1DF9" w:rsidRPr="00B432B8" w:rsidRDefault="008F1DF9" w:rsidP="00F81F30">
      <w:pPr>
        <w:jc w:val="both"/>
      </w:pPr>
      <w:r w:rsidRPr="00B432B8">
        <w:t xml:space="preserve">A549 cells </w:t>
      </w:r>
      <w:r w:rsidR="00373727" w:rsidRPr="00B432B8">
        <w:t>result in</w:t>
      </w:r>
      <w:r w:rsidRPr="00B432B8">
        <w:t xml:space="preserve"> a vigorous, coordinated antiviral program to RSV, and a comparatively weak response to </w:t>
      </w:r>
      <w:r w:rsidR="00F073DB">
        <w:t>SARS-CoV-2</w:t>
      </w:r>
      <w:r w:rsidRPr="00B432B8">
        <w:t xml:space="preserve">. The weak ISG signature in </w:t>
      </w:r>
      <w:r w:rsidR="00DB0DD4">
        <w:t>SARS-CoV-2</w:t>
      </w:r>
      <w:r w:rsidRPr="00B432B8">
        <w:noBreakHyphen/>
        <w:t>CoV</w:t>
      </w:r>
      <w:r w:rsidRPr="00B432B8">
        <w:noBreakHyphen/>
        <w:t xml:space="preserve">2 despite measurable differential expression elsewhere suggests viral strategies that limit interferon production or </w:t>
      </w:r>
      <w:r w:rsidR="00FA5EFB">
        <w:t>signalling</w:t>
      </w:r>
      <w:r w:rsidRPr="00B432B8">
        <w:t>. This conclusion justifies subsequent experiments</w:t>
      </w:r>
      <w:r w:rsidR="00F073DB">
        <w:t>,</w:t>
      </w:r>
      <w:r w:rsidRPr="00B432B8">
        <w:t xml:space="preserve"> typical</w:t>
      </w:r>
      <w:r w:rsidR="00C3357A" w:rsidRPr="00B432B8">
        <w:t xml:space="preserve"> </w:t>
      </w:r>
      <w:r w:rsidR="00C3357A" w:rsidRPr="00B432B8">
        <w:rPr>
          <w:vertAlign w:val="superscript"/>
        </w:rPr>
        <w:t>(1)</w:t>
      </w:r>
      <w:r w:rsidRPr="00B432B8">
        <w:t>. workflow, such as direct cytokine quantification</w:t>
      </w:r>
      <w:r w:rsidR="00C3357A" w:rsidRPr="00B432B8">
        <w:t xml:space="preserve"> or</w:t>
      </w:r>
      <w:r w:rsidRPr="00B432B8">
        <w:t xml:space="preserve"> time</w:t>
      </w:r>
      <w:r w:rsidRPr="00B432B8">
        <w:noBreakHyphen/>
        <w:t xml:space="preserve">course profiling to detect delayed responses. Overall, our subset analysis reproduces the central theme of Figure 1: coronaviruses elicit a blunted interferon response relative to other respiratory viruses, with RSV provoking a much stronger ISG program. </w:t>
      </w:r>
    </w:p>
    <w:p w14:paraId="173DE0D9" w14:textId="77777777" w:rsidR="008F1DF9" w:rsidRPr="00B432B8" w:rsidRDefault="008F1DF9" w:rsidP="00F81F30">
      <w:pPr>
        <w:jc w:val="both"/>
      </w:pPr>
    </w:p>
    <w:p w14:paraId="142465FC" w14:textId="5935393A" w:rsidR="008F1DF9" w:rsidRPr="00B432B8" w:rsidRDefault="008F1DF9" w:rsidP="00F81F30">
      <w:pPr>
        <w:jc w:val="both"/>
        <w:rPr>
          <w:b/>
          <w:bCs/>
        </w:rPr>
      </w:pPr>
      <w:r w:rsidRPr="00B432B8">
        <w:rPr>
          <w:b/>
          <w:bCs/>
        </w:rPr>
        <w:t>Section D</w:t>
      </w:r>
    </w:p>
    <w:p w14:paraId="01943CDD" w14:textId="722DB37C" w:rsidR="00373727" w:rsidRPr="00B432B8" w:rsidRDefault="00373727" w:rsidP="00F81F30">
      <w:pPr>
        <w:jc w:val="both"/>
      </w:pPr>
      <w:r w:rsidRPr="00B432B8">
        <w:t>A critical direction would be validating interferon pathway suppression by SARS-CoV-2 using proteomic or cytokine assays, as transcriptional data alone cannot confirm protein-level changes, building upon Blanco-Melo et al</w:t>
      </w:r>
      <w:r w:rsidR="00882088" w:rsidRPr="00B432B8">
        <w:t xml:space="preserve"> </w:t>
      </w:r>
      <w:r w:rsidR="00882088" w:rsidRPr="00B432B8">
        <w:rPr>
          <w:vertAlign w:val="superscript"/>
        </w:rPr>
        <w:t>(5)</w:t>
      </w:r>
      <w:r w:rsidR="00C3357A" w:rsidRPr="00B432B8">
        <w:t xml:space="preserve">. </w:t>
      </w:r>
      <w:r w:rsidRPr="00B432B8">
        <w:t>While bulk RNA-</w:t>
      </w:r>
      <w:proofErr w:type="spellStart"/>
      <w:r w:rsidRPr="00B432B8">
        <w:t>seq</w:t>
      </w:r>
      <w:proofErr w:type="spellEnd"/>
      <w:r w:rsidRPr="00B432B8">
        <w:t>, as used here, is powerful for quantifying global expression changes and comparing conditions, it averages signals across populations of cells, masking cellular heterogeneity. Necessitating single-cell RNA-</w:t>
      </w:r>
      <w:proofErr w:type="spellStart"/>
      <w:r w:rsidRPr="00B432B8">
        <w:t>seq</w:t>
      </w:r>
      <w:proofErr w:type="spellEnd"/>
      <w:r w:rsidRPr="00B432B8">
        <w:t xml:space="preserve"> (</w:t>
      </w:r>
      <w:proofErr w:type="spellStart"/>
      <w:r w:rsidRPr="00B432B8">
        <w:t>scRNA-seq</w:t>
      </w:r>
      <w:proofErr w:type="spellEnd"/>
      <w:r w:rsidRPr="00B432B8">
        <w:t xml:space="preserve">) that reveals differential responses within subsets of infected versus bystander cells, identifies rare cell populations, and </w:t>
      </w:r>
      <w:r w:rsidR="002E2D1E">
        <w:t>uncovers</w:t>
      </w:r>
      <w:r w:rsidRPr="00B432B8">
        <w:t xml:space="preserve"> regulatory programs</w:t>
      </w:r>
      <w:r w:rsidR="00882088" w:rsidRPr="00B432B8">
        <w:t xml:space="preserve"> </w:t>
      </w:r>
      <w:r w:rsidR="00882088" w:rsidRPr="00B432B8">
        <w:rPr>
          <w:vertAlign w:val="superscript"/>
        </w:rPr>
        <w:t>(4)</w:t>
      </w:r>
      <w:r w:rsidRPr="00B432B8">
        <w:t xml:space="preserve">—advantages particularly relevant for studying heterogeneous tissues such as the lung. However, </w:t>
      </w:r>
      <w:proofErr w:type="spellStart"/>
      <w:r w:rsidRPr="00B432B8">
        <w:t>scRNA-seq</w:t>
      </w:r>
      <w:proofErr w:type="spellEnd"/>
      <w:r w:rsidRPr="00B432B8">
        <w:t xml:space="preserve"> is more costly, computationally demanding, and often less sensitive for lowly expressed genes compared with bulk RNA-</w:t>
      </w:r>
      <w:proofErr w:type="spellStart"/>
      <w:r w:rsidRPr="00B432B8">
        <w:t>seq</w:t>
      </w:r>
      <w:proofErr w:type="spellEnd"/>
      <w:r w:rsidR="00882088" w:rsidRPr="00B432B8">
        <w:t xml:space="preserve"> </w:t>
      </w:r>
      <w:r w:rsidR="00882088" w:rsidRPr="00B432B8">
        <w:rPr>
          <w:vertAlign w:val="superscript"/>
        </w:rPr>
        <w:t>(6)</w:t>
      </w:r>
      <w:r w:rsidRPr="00B432B8">
        <w:t>. Together, using both approaches strategically can provide a complementary and more complete picture of host–virus interactions.</w:t>
      </w:r>
    </w:p>
    <w:p w14:paraId="3ABDE8BB" w14:textId="68245B6F" w:rsidR="00C3357A" w:rsidRPr="00B432B8" w:rsidRDefault="00C3357A" w:rsidP="00F81F30">
      <w:pPr>
        <w:jc w:val="both"/>
      </w:pPr>
    </w:p>
    <w:p w14:paraId="2FAEC38D" w14:textId="77777777" w:rsidR="00C3357A" w:rsidRPr="00B432B8" w:rsidRDefault="00C3357A" w:rsidP="00F81F30">
      <w:pPr>
        <w:jc w:val="both"/>
      </w:pPr>
    </w:p>
    <w:p w14:paraId="728CAA9D" w14:textId="36831D64" w:rsidR="00C3357A" w:rsidRPr="00B432B8" w:rsidRDefault="00C3357A" w:rsidP="00F81F30">
      <w:pPr>
        <w:jc w:val="both"/>
        <w:rPr>
          <w:b/>
          <w:bCs/>
        </w:rPr>
      </w:pPr>
      <w:r w:rsidRPr="00B432B8">
        <w:rPr>
          <w:b/>
          <w:bCs/>
        </w:rPr>
        <w:lastRenderedPageBreak/>
        <w:t>Word Count: 14</w:t>
      </w:r>
      <w:r w:rsidR="006854C9">
        <w:rPr>
          <w:b/>
          <w:bCs/>
        </w:rPr>
        <w:t>7</w:t>
      </w:r>
      <w:r w:rsidR="008B5C8F">
        <w:rPr>
          <w:b/>
          <w:bCs/>
        </w:rPr>
        <w:t>0</w:t>
      </w:r>
    </w:p>
    <w:p w14:paraId="71CC8487" w14:textId="77777777" w:rsidR="00C3357A" w:rsidRPr="00B432B8" w:rsidRDefault="00C3357A" w:rsidP="00F81F30">
      <w:pPr>
        <w:jc w:val="both"/>
        <w:rPr>
          <w:b/>
          <w:bCs/>
        </w:rPr>
      </w:pPr>
    </w:p>
    <w:p w14:paraId="3884EF1D" w14:textId="5E568E52" w:rsidR="00C3357A" w:rsidRPr="00B432B8" w:rsidRDefault="00C3357A" w:rsidP="00F81F30">
      <w:pPr>
        <w:jc w:val="both"/>
        <w:rPr>
          <w:b/>
          <w:bCs/>
        </w:rPr>
      </w:pPr>
      <w:r w:rsidRPr="00B432B8">
        <w:rPr>
          <w:b/>
          <w:bCs/>
        </w:rPr>
        <w:t xml:space="preserve">References </w:t>
      </w:r>
    </w:p>
    <w:p w14:paraId="3DE4C2D2" w14:textId="77777777" w:rsidR="00C3357A" w:rsidRPr="00B432B8" w:rsidRDefault="00C3357A" w:rsidP="00C3357A">
      <w:r w:rsidRPr="00B432B8">
        <w:t xml:space="preserve">1 - Blanco-Melo D, Nilsson-Payant BE, Liu WC, et al. Imbalanced host response to SARS-CoV-2 drives development of COVID-19. </w:t>
      </w:r>
      <w:r w:rsidRPr="00B432B8">
        <w:rPr>
          <w:i/>
          <w:iCs/>
        </w:rPr>
        <w:t>Cell</w:t>
      </w:r>
      <w:r w:rsidRPr="00B432B8">
        <w:t xml:space="preserve">. 2020;181(5):1036-1045. </w:t>
      </w:r>
      <w:proofErr w:type="spellStart"/>
      <w:r w:rsidRPr="00B432B8">
        <w:t>doi</w:t>
      </w:r>
      <w:proofErr w:type="spellEnd"/>
      <w:r w:rsidRPr="00B432B8">
        <w:t>: 10.1016/j.cell.2020.04.026.</w:t>
      </w:r>
    </w:p>
    <w:p w14:paraId="0C12BDD2" w14:textId="77777777" w:rsidR="00C3357A" w:rsidRPr="00B432B8" w:rsidRDefault="00C3357A" w:rsidP="00C3357A"/>
    <w:p w14:paraId="4608D85C" w14:textId="77777777" w:rsidR="00C3357A" w:rsidRPr="00B432B8" w:rsidRDefault="00C3357A" w:rsidP="00C3357A">
      <w:pPr>
        <w:jc w:val="both"/>
      </w:pPr>
      <w:r w:rsidRPr="00B432B8">
        <w:t xml:space="preserve">2 - </w:t>
      </w:r>
      <w:proofErr w:type="spellStart"/>
      <w:r w:rsidRPr="00B432B8">
        <w:t>Montazersaheb</w:t>
      </w:r>
      <w:proofErr w:type="spellEnd"/>
      <w:r w:rsidRPr="00B432B8">
        <w:t xml:space="preserve">, S., </w:t>
      </w:r>
      <w:proofErr w:type="spellStart"/>
      <w:r w:rsidRPr="00B432B8">
        <w:t>Hosseiniyan</w:t>
      </w:r>
      <w:proofErr w:type="spellEnd"/>
      <w:r w:rsidRPr="00B432B8">
        <w:t xml:space="preserve"> Khatibi, S.M., Hejazi, M.S., et al. COVID-19 infection: an overview on cytokine storm and related interventions. </w:t>
      </w:r>
      <w:proofErr w:type="spellStart"/>
      <w:r w:rsidRPr="00B432B8">
        <w:rPr>
          <w:i/>
          <w:iCs/>
        </w:rPr>
        <w:t>Virol</w:t>
      </w:r>
      <w:proofErr w:type="spellEnd"/>
      <w:r w:rsidRPr="00B432B8">
        <w:rPr>
          <w:i/>
          <w:iCs/>
        </w:rPr>
        <w:t xml:space="preserve"> J</w:t>
      </w:r>
      <w:r w:rsidRPr="00B432B8">
        <w:t xml:space="preserve">. 2022;19:92. doi:10.1186/s12985-022-01814-1. </w:t>
      </w:r>
    </w:p>
    <w:p w14:paraId="24CE193E" w14:textId="77777777" w:rsidR="00C3357A" w:rsidRPr="00B432B8" w:rsidRDefault="00C3357A" w:rsidP="00C3357A">
      <w:pPr>
        <w:jc w:val="both"/>
      </w:pPr>
    </w:p>
    <w:p w14:paraId="5C612EAA" w14:textId="55AFC808" w:rsidR="00C3357A" w:rsidRPr="00B432B8" w:rsidRDefault="00C3357A" w:rsidP="00C3357A">
      <w:pPr>
        <w:jc w:val="both"/>
      </w:pPr>
      <w:r w:rsidRPr="00B432B8">
        <w:t xml:space="preserve">3 - Schroeder A, Mueller O, Stocker S, et al. The RIN: an RNA integrity number for assigning integrity values to RNA measurements. </w:t>
      </w:r>
      <w:r w:rsidRPr="00B432B8">
        <w:rPr>
          <w:i/>
          <w:iCs/>
        </w:rPr>
        <w:t>BMC Mol Biol</w:t>
      </w:r>
      <w:r w:rsidRPr="00B432B8">
        <w:t>. 2006;7:3. doi:10.1186/1471-2199-7-3.</w:t>
      </w:r>
      <w:r w:rsidR="00882088" w:rsidRPr="00B432B8">
        <w:t xml:space="preserve"> </w:t>
      </w:r>
    </w:p>
    <w:p w14:paraId="08CAE2B9" w14:textId="77777777" w:rsidR="00882088" w:rsidRPr="00B432B8" w:rsidRDefault="00882088" w:rsidP="00C3357A">
      <w:pPr>
        <w:jc w:val="both"/>
      </w:pPr>
    </w:p>
    <w:p w14:paraId="49CF900A" w14:textId="41A01A16" w:rsidR="00882088" w:rsidRPr="00B432B8" w:rsidRDefault="00882088" w:rsidP="00C3357A">
      <w:pPr>
        <w:jc w:val="both"/>
      </w:pPr>
      <w:r w:rsidRPr="00B432B8">
        <w:t xml:space="preserve">4 - Fios Genomics. Single-Cell vs Bulk RNA Sequencing [Internet]. 2023 Apr 28 [cited 2025 Aug 19]. Available from: </w:t>
      </w:r>
      <w:hyperlink r:id="rId13" w:history="1">
        <w:r w:rsidRPr="00B432B8">
          <w:rPr>
            <w:rStyle w:val="Hyperlink"/>
          </w:rPr>
          <w:t>https://www.fiosgenomics.com/single-cell-vs-bulk-rna-sequencing/</w:t>
        </w:r>
      </w:hyperlink>
    </w:p>
    <w:p w14:paraId="74FC9A1D" w14:textId="77777777" w:rsidR="00882088" w:rsidRPr="00B432B8" w:rsidRDefault="00882088" w:rsidP="00C3357A">
      <w:pPr>
        <w:jc w:val="both"/>
      </w:pPr>
    </w:p>
    <w:p w14:paraId="67CAB6E1" w14:textId="7633D9C3" w:rsidR="00882088" w:rsidRPr="00B432B8" w:rsidRDefault="00882088" w:rsidP="00C3357A">
      <w:pPr>
        <w:jc w:val="both"/>
      </w:pPr>
      <w:r w:rsidRPr="00B432B8">
        <w:t xml:space="preserve">5 - </w:t>
      </w:r>
      <w:proofErr w:type="spellStart"/>
      <w:r w:rsidRPr="00B432B8">
        <w:t>Znaidia</w:t>
      </w:r>
      <w:proofErr w:type="spellEnd"/>
      <w:r w:rsidRPr="00B432B8">
        <w:t xml:space="preserve"> M, </w:t>
      </w:r>
      <w:proofErr w:type="spellStart"/>
      <w:r w:rsidRPr="00B432B8">
        <w:t>Demeret</w:t>
      </w:r>
      <w:proofErr w:type="spellEnd"/>
      <w:r w:rsidRPr="00B432B8">
        <w:t xml:space="preserve"> C, van der Werf S, Komarova AV. </w:t>
      </w:r>
      <w:r w:rsidR="00DB0DD4">
        <w:t>Characterization</w:t>
      </w:r>
      <w:r w:rsidRPr="00B432B8">
        <w:t xml:space="preserve"> of SARS-CoV-2 evasion: interferon pathway and therapeutic options. Viruses. 2022 Jun 8 [cited 2025 Aug 19];14(6):1247. Available from: </w:t>
      </w:r>
      <w:hyperlink r:id="rId14" w:history="1">
        <w:r w:rsidRPr="00B432B8">
          <w:rPr>
            <w:rStyle w:val="Hyperlink"/>
          </w:rPr>
          <w:t>https://www.mdpi.com/1999-4915/14/6/1247</w:t>
        </w:r>
      </w:hyperlink>
      <w:r w:rsidRPr="00B432B8">
        <w:t xml:space="preserve"> </w:t>
      </w:r>
    </w:p>
    <w:p w14:paraId="41C55295" w14:textId="77777777" w:rsidR="00882088" w:rsidRPr="00B432B8" w:rsidRDefault="00882088" w:rsidP="00C3357A">
      <w:pPr>
        <w:jc w:val="both"/>
      </w:pPr>
    </w:p>
    <w:p w14:paraId="2E33015F" w14:textId="6815F916" w:rsidR="00882088" w:rsidRPr="00B432B8" w:rsidRDefault="00882088" w:rsidP="00C3357A">
      <w:pPr>
        <w:jc w:val="both"/>
      </w:pPr>
      <w:r w:rsidRPr="00B432B8">
        <w:t>6 - Chen G, Ning B, Shi T. Single-Cell RNA-</w:t>
      </w:r>
      <w:proofErr w:type="spellStart"/>
      <w:r w:rsidRPr="00B432B8">
        <w:t>Seq</w:t>
      </w:r>
      <w:proofErr w:type="spellEnd"/>
      <w:r w:rsidRPr="00B432B8">
        <w:t xml:space="preserve"> Technologies and Related Computational Data Analysis. Front Genet. 2019 Apr 5 [cited 2025 Aug 19];10:317. Available from: </w:t>
      </w:r>
      <w:hyperlink r:id="rId15" w:history="1">
        <w:r w:rsidRPr="00B432B8">
          <w:rPr>
            <w:rStyle w:val="Hyperlink"/>
          </w:rPr>
          <w:t>https://www.frontiersin.org/journals/genetics/articles/10.3389/fgene.2019.00317/full</w:t>
        </w:r>
      </w:hyperlink>
      <w:r w:rsidRPr="00B432B8">
        <w:t xml:space="preserve"> </w:t>
      </w:r>
    </w:p>
    <w:p w14:paraId="1D71770E" w14:textId="77777777" w:rsidR="00C3357A" w:rsidRPr="00C3357A" w:rsidRDefault="00C3357A" w:rsidP="00F81F30">
      <w:pPr>
        <w:jc w:val="both"/>
      </w:pPr>
    </w:p>
    <w:sectPr w:rsidR="00C3357A" w:rsidRPr="00C3357A" w:rsidSect="000652D1">
      <w:headerReference w:type="default" r:id="rId16"/>
      <w:footerReference w:type="even" r:id="rId17"/>
      <w:footerReference w:type="default" r:id="rId18"/>
      <w:pgSz w:w="11900" w:h="16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64326" w14:textId="77777777" w:rsidR="00FF6196" w:rsidRPr="00B432B8" w:rsidRDefault="00FF6196" w:rsidP="00AA6ACF">
      <w:r w:rsidRPr="00B432B8">
        <w:separator/>
      </w:r>
    </w:p>
  </w:endnote>
  <w:endnote w:type="continuationSeparator" w:id="0">
    <w:p w14:paraId="7840B945" w14:textId="77777777" w:rsidR="00FF6196" w:rsidRPr="00B432B8" w:rsidRDefault="00FF6196" w:rsidP="00AA6ACF">
      <w:r w:rsidRPr="00B432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6645725"/>
      <w:docPartObj>
        <w:docPartGallery w:val="Page Numbers (Bottom of Page)"/>
        <w:docPartUnique/>
      </w:docPartObj>
    </w:sdtPr>
    <w:sdtEndPr>
      <w:rPr>
        <w:rStyle w:val="PageNumber"/>
      </w:rPr>
    </w:sdtEndPr>
    <w:sdtContent>
      <w:p w14:paraId="1B41A486" w14:textId="77777777" w:rsidR="00AA6ACF" w:rsidRPr="00B432B8" w:rsidRDefault="00AA6ACF" w:rsidP="00A744E6">
        <w:pPr>
          <w:pStyle w:val="Footer"/>
          <w:framePr w:wrap="none" w:vAnchor="text" w:hAnchor="margin" w:xAlign="right" w:y="1"/>
          <w:rPr>
            <w:rStyle w:val="PageNumber"/>
          </w:rPr>
        </w:pPr>
        <w:r w:rsidRPr="00B432B8">
          <w:rPr>
            <w:rStyle w:val="PageNumber"/>
          </w:rPr>
          <w:fldChar w:fldCharType="begin"/>
        </w:r>
        <w:r w:rsidRPr="00B432B8">
          <w:rPr>
            <w:rStyle w:val="PageNumber"/>
          </w:rPr>
          <w:instrText xml:space="preserve"> PAGE </w:instrText>
        </w:r>
        <w:r w:rsidRPr="00B432B8">
          <w:rPr>
            <w:rStyle w:val="PageNumber"/>
          </w:rPr>
          <w:fldChar w:fldCharType="end"/>
        </w:r>
      </w:p>
    </w:sdtContent>
  </w:sdt>
  <w:p w14:paraId="4051799A" w14:textId="77777777" w:rsidR="00AA6ACF" w:rsidRPr="00B432B8" w:rsidRDefault="00AA6ACF" w:rsidP="00AA6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7618674"/>
      <w:docPartObj>
        <w:docPartGallery w:val="Page Numbers (Bottom of Page)"/>
        <w:docPartUnique/>
      </w:docPartObj>
    </w:sdtPr>
    <w:sdtEndPr>
      <w:rPr>
        <w:rStyle w:val="PageNumber"/>
      </w:rPr>
    </w:sdtEndPr>
    <w:sdtContent>
      <w:p w14:paraId="3AAFFF50" w14:textId="77777777" w:rsidR="00AA6ACF" w:rsidRPr="00B432B8" w:rsidRDefault="00AA6ACF" w:rsidP="00A744E6">
        <w:pPr>
          <w:pStyle w:val="Footer"/>
          <w:framePr w:wrap="none" w:vAnchor="text" w:hAnchor="margin" w:xAlign="right" w:y="1"/>
          <w:rPr>
            <w:rStyle w:val="PageNumber"/>
          </w:rPr>
        </w:pPr>
        <w:r w:rsidRPr="00B432B8">
          <w:rPr>
            <w:rStyle w:val="PageNumber"/>
          </w:rPr>
          <w:fldChar w:fldCharType="begin"/>
        </w:r>
        <w:r w:rsidRPr="00B432B8">
          <w:rPr>
            <w:rStyle w:val="PageNumber"/>
          </w:rPr>
          <w:instrText xml:space="preserve"> PAGE </w:instrText>
        </w:r>
        <w:r w:rsidRPr="00B432B8">
          <w:rPr>
            <w:rStyle w:val="PageNumber"/>
          </w:rPr>
          <w:fldChar w:fldCharType="separate"/>
        </w:r>
        <w:r w:rsidRPr="00B432B8">
          <w:rPr>
            <w:rStyle w:val="PageNumber"/>
          </w:rPr>
          <w:t>1</w:t>
        </w:r>
        <w:r w:rsidRPr="00B432B8">
          <w:rPr>
            <w:rStyle w:val="PageNumber"/>
          </w:rPr>
          <w:fldChar w:fldCharType="end"/>
        </w:r>
      </w:p>
    </w:sdtContent>
  </w:sdt>
  <w:p w14:paraId="0CE26812" w14:textId="77777777" w:rsidR="00AA6ACF" w:rsidRPr="00B432B8" w:rsidRDefault="00AA6ACF" w:rsidP="00AA6A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0E06E" w14:textId="77777777" w:rsidR="00FF6196" w:rsidRPr="00B432B8" w:rsidRDefault="00FF6196" w:rsidP="00AA6ACF">
      <w:r w:rsidRPr="00B432B8">
        <w:separator/>
      </w:r>
    </w:p>
  </w:footnote>
  <w:footnote w:type="continuationSeparator" w:id="0">
    <w:p w14:paraId="55173C8C" w14:textId="77777777" w:rsidR="00FF6196" w:rsidRPr="00B432B8" w:rsidRDefault="00FF6196" w:rsidP="00AA6ACF">
      <w:r w:rsidRPr="00B432B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9DD9" w14:textId="77777777" w:rsidR="00AA6ACF" w:rsidRPr="00B432B8" w:rsidRDefault="00AA6ACF">
    <w:pPr>
      <w:pStyle w:val="Header"/>
      <w:rPr>
        <w:b/>
        <w:bCs/>
      </w:rPr>
    </w:pPr>
    <w:r w:rsidRPr="00B432B8">
      <w:rPr>
        <w:b/>
        <w:bCs/>
      </w:rPr>
      <w:t>BMS3025 Data Analysis Report</w:t>
    </w:r>
  </w:p>
  <w:p w14:paraId="56C79201" w14:textId="4D03424A" w:rsidR="00AA6ACF" w:rsidRPr="00B432B8" w:rsidRDefault="00AA6ACF" w:rsidP="00AA6ACF">
    <w:pPr>
      <w:pStyle w:val="Header"/>
      <w:jc w:val="right"/>
      <w:rPr>
        <w:b/>
        <w:bCs/>
      </w:rPr>
    </w:pPr>
    <w:r w:rsidRPr="00B432B8">
      <w:rPr>
        <w:b/>
        <w:bCs/>
      </w:rPr>
      <w:t>Student Number:</w:t>
    </w:r>
    <w:r w:rsidR="00777B88" w:rsidRPr="00B432B8">
      <w:rPr>
        <w:b/>
        <w:bCs/>
      </w:rPr>
      <w:t xml:space="preserve"> 220217378</w:t>
    </w:r>
  </w:p>
  <w:p w14:paraId="41391A16" w14:textId="77777777" w:rsidR="00AA6ACF" w:rsidRPr="00B432B8" w:rsidRDefault="00AA6ACF" w:rsidP="00AA6ACF">
    <w:pPr>
      <w:pStyle w:val="Header"/>
      <w:jc w:val="right"/>
      <w:rPr>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50323"/>
    <w:multiLevelType w:val="hybridMultilevel"/>
    <w:tmpl w:val="3822CD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6114573"/>
    <w:multiLevelType w:val="hybridMultilevel"/>
    <w:tmpl w:val="A1829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2937866">
    <w:abstractNumId w:val="0"/>
  </w:num>
  <w:num w:numId="2" w16cid:durableId="1963269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CF"/>
    <w:rsid w:val="00020C1A"/>
    <w:rsid w:val="00032761"/>
    <w:rsid w:val="00047144"/>
    <w:rsid w:val="000652D1"/>
    <w:rsid w:val="000C0034"/>
    <w:rsid w:val="00153092"/>
    <w:rsid w:val="001550BD"/>
    <w:rsid w:val="0019170F"/>
    <w:rsid w:val="0019721C"/>
    <w:rsid w:val="001A3EDE"/>
    <w:rsid w:val="002113ED"/>
    <w:rsid w:val="00226F00"/>
    <w:rsid w:val="002A1CDC"/>
    <w:rsid w:val="002A6190"/>
    <w:rsid w:val="002E2D1E"/>
    <w:rsid w:val="002E6CCF"/>
    <w:rsid w:val="0032754D"/>
    <w:rsid w:val="00330F43"/>
    <w:rsid w:val="00373727"/>
    <w:rsid w:val="003B3737"/>
    <w:rsid w:val="00417967"/>
    <w:rsid w:val="00417F5C"/>
    <w:rsid w:val="0048118A"/>
    <w:rsid w:val="004B2042"/>
    <w:rsid w:val="004C1A3D"/>
    <w:rsid w:val="004F2EF1"/>
    <w:rsid w:val="00552194"/>
    <w:rsid w:val="00584236"/>
    <w:rsid w:val="005C3D64"/>
    <w:rsid w:val="005E3AF9"/>
    <w:rsid w:val="00612E98"/>
    <w:rsid w:val="00620B0A"/>
    <w:rsid w:val="006518CD"/>
    <w:rsid w:val="006854C9"/>
    <w:rsid w:val="00697E89"/>
    <w:rsid w:val="006E43D7"/>
    <w:rsid w:val="006F3555"/>
    <w:rsid w:val="00745B74"/>
    <w:rsid w:val="00753494"/>
    <w:rsid w:val="00770289"/>
    <w:rsid w:val="00774F70"/>
    <w:rsid w:val="00777B88"/>
    <w:rsid w:val="00851613"/>
    <w:rsid w:val="00881A6B"/>
    <w:rsid w:val="00882088"/>
    <w:rsid w:val="008831EF"/>
    <w:rsid w:val="008B5C8F"/>
    <w:rsid w:val="008E6570"/>
    <w:rsid w:val="008F1DF9"/>
    <w:rsid w:val="00914009"/>
    <w:rsid w:val="00941258"/>
    <w:rsid w:val="00984E0B"/>
    <w:rsid w:val="00997DFF"/>
    <w:rsid w:val="009A5202"/>
    <w:rsid w:val="009D14AB"/>
    <w:rsid w:val="009F0617"/>
    <w:rsid w:val="00A53744"/>
    <w:rsid w:val="00A711FD"/>
    <w:rsid w:val="00A744E6"/>
    <w:rsid w:val="00AA6ACF"/>
    <w:rsid w:val="00AE7DD8"/>
    <w:rsid w:val="00B15F9A"/>
    <w:rsid w:val="00B216F6"/>
    <w:rsid w:val="00B432B8"/>
    <w:rsid w:val="00B76BCF"/>
    <w:rsid w:val="00B92ADA"/>
    <w:rsid w:val="00BA1626"/>
    <w:rsid w:val="00BD6C90"/>
    <w:rsid w:val="00BD720D"/>
    <w:rsid w:val="00C302E1"/>
    <w:rsid w:val="00C3357A"/>
    <w:rsid w:val="00CD1975"/>
    <w:rsid w:val="00CD52C5"/>
    <w:rsid w:val="00CF2DF6"/>
    <w:rsid w:val="00D16A31"/>
    <w:rsid w:val="00D223B9"/>
    <w:rsid w:val="00DB0DD4"/>
    <w:rsid w:val="00DB26C0"/>
    <w:rsid w:val="00DB7274"/>
    <w:rsid w:val="00DD45FD"/>
    <w:rsid w:val="00DF41B2"/>
    <w:rsid w:val="00E32232"/>
    <w:rsid w:val="00EA0380"/>
    <w:rsid w:val="00EF4CC8"/>
    <w:rsid w:val="00F07383"/>
    <w:rsid w:val="00F073DB"/>
    <w:rsid w:val="00F36B8B"/>
    <w:rsid w:val="00F568E9"/>
    <w:rsid w:val="00F57282"/>
    <w:rsid w:val="00F7020A"/>
    <w:rsid w:val="00F74837"/>
    <w:rsid w:val="00F81F30"/>
    <w:rsid w:val="00FA0755"/>
    <w:rsid w:val="00FA1F22"/>
    <w:rsid w:val="00FA5EFB"/>
    <w:rsid w:val="00FF113C"/>
    <w:rsid w:val="00FF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74C4A"/>
  <w14:defaultImageDpi w14:val="32767"/>
  <w15:chartTrackingRefBased/>
  <w15:docId w15:val="{45EB1C98-538C-46DB-910A-2B5FD92C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75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ACF"/>
    <w:pPr>
      <w:tabs>
        <w:tab w:val="center" w:pos="4513"/>
        <w:tab w:val="right" w:pos="9026"/>
      </w:tabs>
    </w:pPr>
  </w:style>
  <w:style w:type="character" w:customStyle="1" w:styleId="HeaderChar">
    <w:name w:val="Header Char"/>
    <w:basedOn w:val="DefaultParagraphFont"/>
    <w:link w:val="Header"/>
    <w:uiPriority w:val="99"/>
    <w:rsid w:val="00AA6ACF"/>
  </w:style>
  <w:style w:type="paragraph" w:styleId="Footer">
    <w:name w:val="footer"/>
    <w:basedOn w:val="Normal"/>
    <w:link w:val="FooterChar"/>
    <w:uiPriority w:val="99"/>
    <w:unhideWhenUsed/>
    <w:rsid w:val="00AA6ACF"/>
    <w:pPr>
      <w:tabs>
        <w:tab w:val="center" w:pos="4513"/>
        <w:tab w:val="right" w:pos="9026"/>
      </w:tabs>
    </w:pPr>
  </w:style>
  <w:style w:type="character" w:customStyle="1" w:styleId="FooterChar">
    <w:name w:val="Footer Char"/>
    <w:basedOn w:val="DefaultParagraphFont"/>
    <w:link w:val="Footer"/>
    <w:uiPriority w:val="99"/>
    <w:rsid w:val="00AA6ACF"/>
  </w:style>
  <w:style w:type="character" w:styleId="PageNumber">
    <w:name w:val="page number"/>
    <w:basedOn w:val="DefaultParagraphFont"/>
    <w:uiPriority w:val="99"/>
    <w:semiHidden/>
    <w:unhideWhenUsed/>
    <w:rsid w:val="00AA6ACF"/>
  </w:style>
  <w:style w:type="paragraph" w:styleId="ListParagraph">
    <w:name w:val="List Paragraph"/>
    <w:basedOn w:val="Normal"/>
    <w:uiPriority w:val="34"/>
    <w:qFormat/>
    <w:rsid w:val="00C302E1"/>
    <w:pPr>
      <w:ind w:left="720"/>
      <w:contextualSpacing/>
    </w:pPr>
  </w:style>
  <w:style w:type="character" w:styleId="Hyperlink">
    <w:name w:val="Hyperlink"/>
    <w:basedOn w:val="DefaultParagraphFont"/>
    <w:uiPriority w:val="99"/>
    <w:unhideWhenUsed/>
    <w:rsid w:val="00882088"/>
    <w:rPr>
      <w:color w:val="0563C1" w:themeColor="hyperlink"/>
      <w:u w:val="single"/>
    </w:rPr>
  </w:style>
  <w:style w:type="character" w:styleId="UnresolvedMention">
    <w:name w:val="Unresolved Mention"/>
    <w:basedOn w:val="DefaultParagraphFont"/>
    <w:uiPriority w:val="99"/>
    <w:rsid w:val="00882088"/>
    <w:rPr>
      <w:color w:val="605E5C"/>
      <w:shd w:val="clear" w:color="auto" w:fill="E1DFDD"/>
    </w:rPr>
  </w:style>
  <w:style w:type="character" w:styleId="Strong">
    <w:name w:val="Strong"/>
    <w:basedOn w:val="DefaultParagraphFont"/>
    <w:uiPriority w:val="22"/>
    <w:qFormat/>
    <w:rsid w:val="0019170F"/>
    <w:rPr>
      <w:b/>
      <w:bCs/>
    </w:rPr>
  </w:style>
  <w:style w:type="character" w:customStyle="1" w:styleId="apple-converted-space">
    <w:name w:val="apple-converted-space"/>
    <w:basedOn w:val="DefaultParagraphFont"/>
    <w:rsid w:val="0019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osgenomics.com/single-cell-vs-bulk-rna-sequenc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rontiersin.org/journals/genetics/articles/10.3389/fgene.2019.00317/ful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dpi.com/1999-4915/14/6/1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800F8E-0529-4E13-9928-DDC82269A94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1709</Words>
  <Characters>11757</Characters>
  <Application>Microsoft Office Word</Application>
  <DocSecurity>0</DocSecurity>
  <Lines>226</Lines>
  <Paragraphs>78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Aldridge</dc:creator>
  <cp:keywords/>
  <dc:description/>
  <cp:lastModifiedBy>Divin John (UG)</cp:lastModifiedBy>
  <cp:revision>31</cp:revision>
  <dcterms:created xsi:type="dcterms:W3CDTF">2025-08-19T21:14:00Z</dcterms:created>
  <dcterms:modified xsi:type="dcterms:W3CDTF">2025-08-21T17:14:00Z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8b29becb-57db-4fbc-89b6-658b7941a3cf</vt:lpwstr>
  </property>
</Properties>
</file>